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9C7" w:rsidRPr="005525C5" w:rsidRDefault="00E8557E" w:rsidP="005525C5">
      <w:pPr>
        <w:spacing w:line="400" w:lineRule="atLeast"/>
        <w:jc w:val="center"/>
        <w:rPr>
          <w:rFonts w:asciiTheme="minorHAnsi" w:eastAsiaTheme="minorHAnsi" w:hAnsiTheme="minorHAnsi"/>
          <w:szCs w:val="22"/>
          <w:lang w:eastAsia="en-US"/>
        </w:rPr>
      </w:pPr>
      <w:bookmarkStart w:id="0" w:name="_GoBack"/>
      <w:bookmarkEnd w:id="0"/>
      <w:r>
        <w:rPr>
          <w:rFonts w:asciiTheme="minorHAnsi" w:eastAsiaTheme="minorHAnsi" w:hAnsiTheme="minorHAnsi"/>
          <w:noProof/>
          <w:szCs w:val="22"/>
        </w:rPr>
        <w:drawing>
          <wp:anchor distT="0" distB="0" distL="114300" distR="114300" simplePos="0" relativeHeight="251658240" behindDoc="0" locked="0" layoutInCell="1" allowOverlap="1">
            <wp:simplePos x="0" y="0"/>
            <wp:positionH relativeFrom="column">
              <wp:posOffset>94615</wp:posOffset>
            </wp:positionH>
            <wp:positionV relativeFrom="paragraph">
              <wp:posOffset>4445</wp:posOffset>
            </wp:positionV>
            <wp:extent cx="5448300" cy="5981700"/>
            <wp:effectExtent l="171450" t="133350" r="361950" b="304800"/>
            <wp:wrapSquare wrapText="bothSides"/>
            <wp:docPr id="1" name="0 - Εικόνα" descr="χωρίς τίτλ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χωρίς τίτλο.JPG"/>
                    <pic:cNvPicPr/>
                  </pic:nvPicPr>
                  <pic:blipFill>
                    <a:blip r:embed="rId8" cstate="print">
                      <a:duotone>
                        <a:schemeClr val="bg2">
                          <a:shade val="45000"/>
                          <a:satMod val="135000"/>
                        </a:schemeClr>
                        <a:prstClr val="white"/>
                      </a:duotone>
                    </a:blip>
                    <a:stretch>
                      <a:fillRect/>
                    </a:stretch>
                  </pic:blipFill>
                  <pic:spPr>
                    <a:xfrm>
                      <a:off x="0" y="0"/>
                      <a:ext cx="5448300" cy="5981700"/>
                    </a:xfrm>
                    <a:prstGeom prst="rect">
                      <a:avLst/>
                    </a:prstGeom>
                    <a:ln>
                      <a:noFill/>
                    </a:ln>
                    <a:effectLst>
                      <a:outerShdw blurRad="292100" dist="139700" dir="2700000" algn="tl" rotWithShape="0">
                        <a:srgbClr val="333333">
                          <a:alpha val="65000"/>
                        </a:srgbClr>
                      </a:outerShdw>
                    </a:effectLst>
                  </pic:spPr>
                </pic:pic>
              </a:graphicData>
            </a:graphic>
          </wp:anchor>
        </w:drawing>
      </w:r>
    </w:p>
    <w:p w:rsidR="00E8557E" w:rsidRDefault="00E8557E" w:rsidP="005525C5">
      <w:pPr>
        <w:spacing w:line="400" w:lineRule="atLeast"/>
        <w:jc w:val="center"/>
        <w:rPr>
          <w:rFonts w:asciiTheme="minorHAnsi" w:eastAsiaTheme="minorHAnsi" w:hAnsiTheme="minorHAnsi"/>
          <w:b/>
          <w:sz w:val="28"/>
          <w:szCs w:val="22"/>
          <w:lang w:val="en-US" w:eastAsia="en-US"/>
        </w:rPr>
      </w:pPr>
    </w:p>
    <w:p w:rsidR="00E8557E" w:rsidRDefault="00E8557E" w:rsidP="005525C5">
      <w:pPr>
        <w:spacing w:line="400" w:lineRule="atLeast"/>
        <w:jc w:val="center"/>
        <w:rPr>
          <w:rFonts w:asciiTheme="minorHAnsi" w:eastAsiaTheme="minorHAnsi" w:hAnsiTheme="minorHAnsi"/>
          <w:b/>
          <w:sz w:val="28"/>
          <w:szCs w:val="22"/>
          <w:lang w:val="en-US" w:eastAsia="en-US"/>
        </w:rPr>
      </w:pPr>
    </w:p>
    <w:p w:rsidR="00E8557E" w:rsidRDefault="00E8557E" w:rsidP="005525C5">
      <w:pPr>
        <w:spacing w:line="400" w:lineRule="atLeast"/>
        <w:jc w:val="center"/>
        <w:rPr>
          <w:rFonts w:asciiTheme="minorHAnsi" w:eastAsiaTheme="minorHAnsi" w:hAnsiTheme="minorHAnsi"/>
          <w:b/>
          <w:sz w:val="28"/>
          <w:szCs w:val="22"/>
          <w:lang w:val="en-US" w:eastAsia="en-US"/>
        </w:rPr>
      </w:pPr>
    </w:p>
    <w:p w:rsidR="003F1E20" w:rsidRPr="005525C5" w:rsidRDefault="00E8557E" w:rsidP="005525C5">
      <w:pPr>
        <w:spacing w:line="400" w:lineRule="atLeast"/>
        <w:jc w:val="center"/>
        <w:rPr>
          <w:rFonts w:asciiTheme="minorHAnsi" w:eastAsiaTheme="minorHAnsi" w:hAnsiTheme="minorHAnsi"/>
          <w:b/>
          <w:sz w:val="28"/>
          <w:szCs w:val="22"/>
          <w:lang w:eastAsia="en-US"/>
        </w:rPr>
      </w:pPr>
      <w:r>
        <w:rPr>
          <w:rFonts w:asciiTheme="minorHAnsi" w:eastAsiaTheme="minorHAnsi" w:hAnsiTheme="minorHAnsi"/>
          <w:b/>
          <w:sz w:val="28"/>
          <w:szCs w:val="22"/>
          <w:lang w:eastAsia="en-US"/>
        </w:rPr>
        <w:t xml:space="preserve">Η </w:t>
      </w:r>
      <w:r w:rsidR="00625AFD" w:rsidRPr="005525C5">
        <w:rPr>
          <w:rFonts w:asciiTheme="minorHAnsi" w:eastAsiaTheme="minorHAnsi" w:hAnsiTheme="minorHAnsi"/>
          <w:b/>
          <w:sz w:val="28"/>
          <w:szCs w:val="22"/>
          <w:lang w:eastAsia="en-US"/>
        </w:rPr>
        <w:t xml:space="preserve">Οικονομική Κατάσταση στην Ελλάδα σε </w:t>
      </w:r>
      <w:proofErr w:type="spellStart"/>
      <w:r w:rsidR="003F1E20" w:rsidRPr="005525C5">
        <w:rPr>
          <w:rFonts w:asciiTheme="minorHAnsi" w:eastAsiaTheme="minorHAnsi" w:hAnsiTheme="minorHAnsi"/>
          <w:b/>
          <w:sz w:val="28"/>
          <w:szCs w:val="22"/>
          <w:lang w:eastAsia="en-US"/>
        </w:rPr>
        <w:t>υποεθνικό</w:t>
      </w:r>
      <w:proofErr w:type="spellEnd"/>
      <w:r w:rsidR="003F1E20" w:rsidRPr="005525C5">
        <w:rPr>
          <w:rFonts w:asciiTheme="minorHAnsi" w:eastAsiaTheme="minorHAnsi" w:hAnsiTheme="minorHAnsi"/>
          <w:b/>
          <w:sz w:val="28"/>
          <w:szCs w:val="22"/>
          <w:lang w:eastAsia="en-US"/>
        </w:rPr>
        <w:t xml:space="preserve"> </w:t>
      </w:r>
      <w:r w:rsidR="00625AFD" w:rsidRPr="005525C5">
        <w:rPr>
          <w:rFonts w:asciiTheme="minorHAnsi" w:eastAsiaTheme="minorHAnsi" w:hAnsiTheme="minorHAnsi"/>
          <w:b/>
          <w:sz w:val="28"/>
          <w:szCs w:val="22"/>
          <w:lang w:eastAsia="en-US"/>
        </w:rPr>
        <w:t>επίπεδο</w:t>
      </w:r>
    </w:p>
    <w:p w:rsidR="00625AFD" w:rsidRPr="005525C5" w:rsidRDefault="00625AFD" w:rsidP="005525C5">
      <w:pPr>
        <w:spacing w:line="400" w:lineRule="atLeast"/>
        <w:jc w:val="center"/>
        <w:rPr>
          <w:rFonts w:asciiTheme="minorHAnsi" w:eastAsiaTheme="minorHAnsi" w:hAnsiTheme="minorHAnsi"/>
          <w:b/>
          <w:sz w:val="28"/>
          <w:szCs w:val="22"/>
          <w:lang w:eastAsia="en-US"/>
        </w:rPr>
      </w:pPr>
    </w:p>
    <w:p w:rsidR="00625AFD" w:rsidRPr="005525C5" w:rsidRDefault="00625AFD" w:rsidP="005525C5">
      <w:pPr>
        <w:spacing w:line="400" w:lineRule="atLeast"/>
        <w:jc w:val="center"/>
        <w:rPr>
          <w:rFonts w:asciiTheme="minorHAnsi" w:eastAsiaTheme="minorHAnsi" w:hAnsiTheme="minorHAnsi"/>
          <w:b/>
          <w:sz w:val="28"/>
          <w:szCs w:val="22"/>
          <w:lang w:eastAsia="en-US"/>
        </w:rPr>
      </w:pPr>
      <w:r w:rsidRPr="005525C5">
        <w:rPr>
          <w:rFonts w:asciiTheme="minorHAnsi" w:eastAsiaTheme="minorHAnsi" w:hAnsiTheme="minorHAnsi"/>
          <w:b/>
          <w:sz w:val="28"/>
          <w:szCs w:val="22"/>
          <w:lang w:eastAsia="en-US"/>
        </w:rPr>
        <w:t xml:space="preserve">Μελέτη Συμβουλίου </w:t>
      </w:r>
      <w:r w:rsidR="002D1B2B" w:rsidRPr="005525C5">
        <w:rPr>
          <w:rFonts w:asciiTheme="minorHAnsi" w:eastAsiaTheme="minorHAnsi" w:hAnsiTheme="minorHAnsi"/>
          <w:b/>
          <w:sz w:val="28"/>
          <w:szCs w:val="22"/>
          <w:lang w:eastAsia="en-US"/>
        </w:rPr>
        <w:t>Ευρωπαϊκών</w:t>
      </w:r>
      <w:r w:rsidRPr="005525C5">
        <w:rPr>
          <w:rFonts w:asciiTheme="minorHAnsi" w:eastAsiaTheme="minorHAnsi" w:hAnsiTheme="minorHAnsi"/>
          <w:b/>
          <w:sz w:val="28"/>
          <w:szCs w:val="22"/>
          <w:lang w:eastAsia="en-US"/>
        </w:rPr>
        <w:t xml:space="preserve"> Δήμων και Περιφερειών</w:t>
      </w:r>
    </w:p>
    <w:p w:rsidR="00625AFD" w:rsidRPr="005525C5" w:rsidRDefault="00625AFD" w:rsidP="005525C5">
      <w:pPr>
        <w:spacing w:line="400" w:lineRule="atLeast"/>
        <w:jc w:val="center"/>
        <w:rPr>
          <w:rFonts w:asciiTheme="minorHAnsi" w:eastAsiaTheme="minorHAnsi" w:hAnsiTheme="minorHAnsi"/>
          <w:b/>
          <w:sz w:val="28"/>
          <w:szCs w:val="22"/>
          <w:lang w:eastAsia="en-US"/>
        </w:rPr>
      </w:pPr>
      <w:r w:rsidRPr="005525C5">
        <w:rPr>
          <w:rFonts w:asciiTheme="minorHAnsi" w:eastAsiaTheme="minorHAnsi" w:hAnsiTheme="minorHAnsi"/>
          <w:b/>
          <w:sz w:val="28"/>
          <w:szCs w:val="22"/>
          <w:lang w:eastAsia="en-US"/>
        </w:rPr>
        <w:t>Απρίλιος 2015</w:t>
      </w:r>
    </w:p>
    <w:p w:rsidR="00625AFD" w:rsidRPr="005525C5" w:rsidRDefault="00625AFD" w:rsidP="00B57015">
      <w:pPr>
        <w:spacing w:line="400" w:lineRule="atLeast"/>
        <w:rPr>
          <w:rFonts w:asciiTheme="minorHAnsi" w:eastAsiaTheme="minorHAnsi" w:hAnsiTheme="minorHAnsi"/>
          <w:szCs w:val="22"/>
          <w:lang w:eastAsia="en-US"/>
        </w:rPr>
      </w:pPr>
    </w:p>
    <w:p w:rsidR="00625AFD" w:rsidRPr="005525C5" w:rsidRDefault="00625AFD" w:rsidP="00B57015">
      <w:pPr>
        <w:spacing w:line="400" w:lineRule="atLeast"/>
        <w:rPr>
          <w:rFonts w:asciiTheme="minorHAnsi" w:eastAsiaTheme="minorHAnsi" w:hAnsiTheme="minorHAnsi"/>
          <w:szCs w:val="22"/>
          <w:lang w:eastAsia="en-US"/>
        </w:rPr>
      </w:pPr>
    </w:p>
    <w:p w:rsidR="00625AFD" w:rsidRPr="005525C5" w:rsidRDefault="00625AFD" w:rsidP="00B57015">
      <w:pPr>
        <w:spacing w:line="400" w:lineRule="atLeast"/>
        <w:rPr>
          <w:rFonts w:asciiTheme="minorHAnsi" w:eastAsiaTheme="minorHAnsi" w:hAnsiTheme="minorHAnsi"/>
          <w:b/>
          <w:i/>
          <w:szCs w:val="22"/>
          <w:lang w:eastAsia="en-US"/>
        </w:rPr>
      </w:pPr>
      <w:r w:rsidRPr="005525C5">
        <w:rPr>
          <w:rFonts w:asciiTheme="minorHAnsi" w:eastAsiaTheme="minorHAnsi" w:hAnsiTheme="minorHAnsi"/>
          <w:b/>
          <w:i/>
          <w:szCs w:val="22"/>
          <w:lang w:eastAsia="en-US"/>
        </w:rPr>
        <w:lastRenderedPageBreak/>
        <w:t xml:space="preserve">ΟΙΚΟΝΟΜΙΚΗ ΚΑΤΑΣΤΑΣΗ ΣΤΗΝ ΕΛΛΑΔΑ ΣΕ </w:t>
      </w:r>
      <w:r w:rsidR="003F1E20" w:rsidRPr="005525C5">
        <w:rPr>
          <w:rFonts w:asciiTheme="minorHAnsi" w:eastAsiaTheme="minorHAnsi" w:hAnsiTheme="minorHAnsi"/>
          <w:b/>
          <w:i/>
          <w:szCs w:val="22"/>
          <w:lang w:eastAsia="en-US"/>
        </w:rPr>
        <w:t>ΥΠΟ</w:t>
      </w:r>
      <w:r w:rsidRPr="005525C5">
        <w:rPr>
          <w:rFonts w:asciiTheme="minorHAnsi" w:eastAsiaTheme="minorHAnsi" w:hAnsiTheme="minorHAnsi"/>
          <w:b/>
          <w:i/>
          <w:szCs w:val="22"/>
          <w:lang w:eastAsia="en-US"/>
        </w:rPr>
        <w:t>ΕΘΝΙΚΟ ΕΠΙΠΕΔΟ</w:t>
      </w:r>
    </w:p>
    <w:p w:rsidR="00625AFD" w:rsidRPr="005525C5" w:rsidRDefault="00625AFD" w:rsidP="00B57015">
      <w:pPr>
        <w:spacing w:line="400" w:lineRule="atLeast"/>
        <w:rPr>
          <w:rFonts w:asciiTheme="minorHAnsi" w:eastAsiaTheme="minorHAnsi" w:hAnsiTheme="minorHAnsi"/>
          <w:b/>
          <w:i/>
          <w:szCs w:val="22"/>
          <w:lang w:eastAsia="en-US"/>
        </w:rPr>
      </w:pPr>
      <w:r w:rsidRPr="005525C5">
        <w:rPr>
          <w:rFonts w:asciiTheme="minorHAnsi" w:eastAsiaTheme="minorHAnsi" w:hAnsiTheme="minorHAnsi"/>
          <w:b/>
          <w:i/>
          <w:szCs w:val="22"/>
          <w:lang w:eastAsia="en-US"/>
        </w:rPr>
        <w:t>ΕΙΣΑΓΩΓΗ</w:t>
      </w:r>
    </w:p>
    <w:p w:rsidR="00625AFD" w:rsidRPr="005525C5" w:rsidRDefault="00457EB9" w:rsidP="00B57015">
      <w:pPr>
        <w:spacing w:line="400" w:lineRule="atLeast"/>
        <w:jc w:val="both"/>
        <w:rPr>
          <w:rFonts w:asciiTheme="minorHAnsi" w:eastAsiaTheme="minorHAnsi" w:hAnsiTheme="minorHAnsi"/>
          <w:szCs w:val="22"/>
          <w:lang w:eastAsia="en-US"/>
        </w:rPr>
      </w:pPr>
      <w:r w:rsidRPr="005525C5">
        <w:rPr>
          <w:rFonts w:asciiTheme="minorHAnsi" w:eastAsiaTheme="minorHAnsi" w:hAnsiTheme="minorHAnsi"/>
          <w:szCs w:val="22"/>
          <w:lang w:eastAsia="en-US"/>
        </w:rPr>
        <w:t xml:space="preserve">Η παρούσα μελέτη </w:t>
      </w:r>
      <w:r w:rsidR="003F1E20" w:rsidRPr="005525C5">
        <w:rPr>
          <w:rFonts w:asciiTheme="minorHAnsi" w:eastAsiaTheme="minorHAnsi" w:hAnsiTheme="minorHAnsi"/>
          <w:szCs w:val="22"/>
          <w:lang w:eastAsia="en-US"/>
        </w:rPr>
        <w:t xml:space="preserve">επιδιώκει </w:t>
      </w:r>
      <w:r w:rsidRPr="005525C5">
        <w:rPr>
          <w:rFonts w:asciiTheme="minorHAnsi" w:eastAsiaTheme="minorHAnsi" w:hAnsiTheme="minorHAnsi"/>
          <w:szCs w:val="22"/>
          <w:lang w:eastAsia="en-US"/>
        </w:rPr>
        <w:t xml:space="preserve">να τονίσει </w:t>
      </w:r>
      <w:r w:rsidR="003F1E20" w:rsidRPr="005525C5">
        <w:rPr>
          <w:rFonts w:asciiTheme="minorHAnsi" w:eastAsiaTheme="minorHAnsi" w:hAnsiTheme="minorHAnsi"/>
          <w:szCs w:val="22"/>
          <w:lang w:eastAsia="en-US"/>
        </w:rPr>
        <w:t xml:space="preserve">συγκεκριμένα </w:t>
      </w:r>
      <w:r w:rsidRPr="005525C5">
        <w:rPr>
          <w:rFonts w:asciiTheme="minorHAnsi" w:eastAsiaTheme="minorHAnsi" w:hAnsiTheme="minorHAnsi"/>
          <w:szCs w:val="22"/>
          <w:lang w:eastAsia="en-US"/>
        </w:rPr>
        <w:t>στοιχεία σχετικά με την οικονομική και χρηματο</w:t>
      </w:r>
      <w:r w:rsidR="003F1E20" w:rsidRPr="005525C5">
        <w:rPr>
          <w:rFonts w:asciiTheme="minorHAnsi" w:eastAsiaTheme="minorHAnsi" w:hAnsiTheme="minorHAnsi"/>
          <w:szCs w:val="22"/>
          <w:lang w:eastAsia="en-US"/>
        </w:rPr>
        <w:t>οικονομική</w:t>
      </w:r>
      <w:r w:rsidRPr="005525C5">
        <w:rPr>
          <w:rFonts w:asciiTheme="minorHAnsi" w:eastAsiaTheme="minorHAnsi" w:hAnsiTheme="minorHAnsi"/>
          <w:szCs w:val="22"/>
          <w:lang w:eastAsia="en-US"/>
        </w:rPr>
        <w:t xml:space="preserve"> κατάσταση στην Ελλάδα, αναλύοντας τα επίπεδα εσόδων και εξόδων του δημόσιου τομέα σε εθνικό </w:t>
      </w:r>
      <w:r w:rsidR="003F1E20" w:rsidRPr="005525C5">
        <w:rPr>
          <w:rFonts w:asciiTheme="minorHAnsi" w:eastAsiaTheme="minorHAnsi" w:hAnsiTheme="minorHAnsi"/>
          <w:szCs w:val="22"/>
          <w:lang w:eastAsia="en-US"/>
        </w:rPr>
        <w:t xml:space="preserve">και </w:t>
      </w:r>
      <w:proofErr w:type="spellStart"/>
      <w:r w:rsidR="003F1E20" w:rsidRPr="005525C5">
        <w:rPr>
          <w:rFonts w:asciiTheme="minorHAnsi" w:eastAsiaTheme="minorHAnsi" w:hAnsiTheme="minorHAnsi"/>
          <w:szCs w:val="22"/>
          <w:lang w:eastAsia="en-US"/>
        </w:rPr>
        <w:t>υποεθνικό</w:t>
      </w:r>
      <w:proofErr w:type="spellEnd"/>
      <w:r w:rsidR="003F1E20" w:rsidRPr="005525C5">
        <w:rPr>
          <w:rFonts w:asciiTheme="minorHAnsi" w:eastAsiaTheme="minorHAnsi" w:hAnsiTheme="minorHAnsi"/>
          <w:szCs w:val="22"/>
          <w:lang w:eastAsia="en-US"/>
        </w:rPr>
        <w:t xml:space="preserve"> </w:t>
      </w:r>
      <w:r w:rsidRPr="005525C5">
        <w:rPr>
          <w:rFonts w:asciiTheme="minorHAnsi" w:eastAsiaTheme="minorHAnsi" w:hAnsiTheme="minorHAnsi"/>
          <w:szCs w:val="22"/>
          <w:lang w:eastAsia="en-US"/>
        </w:rPr>
        <w:t xml:space="preserve">επίπεδο. Τα δεδομένα αυτά </w:t>
      </w:r>
      <w:r w:rsidR="00B0752F" w:rsidRPr="005525C5">
        <w:rPr>
          <w:rFonts w:asciiTheme="minorHAnsi" w:eastAsiaTheme="minorHAnsi" w:hAnsiTheme="minorHAnsi"/>
          <w:szCs w:val="22"/>
          <w:lang w:eastAsia="en-US"/>
        </w:rPr>
        <w:t xml:space="preserve">αποσαφηνίζουν και </w:t>
      </w:r>
      <w:r w:rsidRPr="005525C5">
        <w:rPr>
          <w:rFonts w:asciiTheme="minorHAnsi" w:eastAsiaTheme="minorHAnsi" w:hAnsiTheme="minorHAnsi"/>
          <w:szCs w:val="22"/>
          <w:lang w:eastAsia="en-US"/>
        </w:rPr>
        <w:t xml:space="preserve">τις άμεσες επενδύσεις που διενεργούνται από την εθνική κυβέρνηση και τις τοπικές αρχές </w:t>
      </w:r>
      <w:r w:rsidR="003F1E20" w:rsidRPr="005525C5">
        <w:rPr>
          <w:rFonts w:asciiTheme="minorHAnsi" w:eastAsiaTheme="minorHAnsi" w:hAnsiTheme="minorHAnsi"/>
          <w:szCs w:val="22"/>
          <w:lang w:eastAsia="en-US"/>
        </w:rPr>
        <w:t xml:space="preserve">αλλά </w:t>
      </w:r>
      <w:r w:rsidRPr="005525C5">
        <w:rPr>
          <w:rFonts w:asciiTheme="minorHAnsi" w:eastAsiaTheme="minorHAnsi" w:hAnsiTheme="minorHAnsi"/>
          <w:szCs w:val="22"/>
          <w:lang w:eastAsia="en-US"/>
        </w:rPr>
        <w:t xml:space="preserve">και το εύρος του χρέους που προκύπτει από το δημόσιο τομέα σε εθνικό </w:t>
      </w:r>
      <w:r w:rsidR="003F1E20" w:rsidRPr="005525C5">
        <w:rPr>
          <w:rFonts w:asciiTheme="minorHAnsi" w:eastAsiaTheme="minorHAnsi" w:hAnsiTheme="minorHAnsi"/>
          <w:szCs w:val="22"/>
          <w:lang w:eastAsia="en-US"/>
        </w:rPr>
        <w:t xml:space="preserve">και </w:t>
      </w:r>
      <w:proofErr w:type="spellStart"/>
      <w:r w:rsidR="003F1E20" w:rsidRPr="005525C5">
        <w:rPr>
          <w:rFonts w:asciiTheme="minorHAnsi" w:eastAsiaTheme="minorHAnsi" w:hAnsiTheme="minorHAnsi"/>
          <w:szCs w:val="22"/>
          <w:lang w:eastAsia="en-US"/>
        </w:rPr>
        <w:t>υποεθνικό</w:t>
      </w:r>
      <w:proofErr w:type="spellEnd"/>
      <w:r w:rsidR="003F1E20" w:rsidRPr="005525C5">
        <w:rPr>
          <w:rFonts w:asciiTheme="minorHAnsi" w:eastAsiaTheme="minorHAnsi" w:hAnsiTheme="minorHAnsi"/>
          <w:szCs w:val="22"/>
          <w:lang w:eastAsia="en-US"/>
        </w:rPr>
        <w:t xml:space="preserve"> </w:t>
      </w:r>
      <w:r w:rsidRPr="005525C5">
        <w:rPr>
          <w:rFonts w:asciiTheme="minorHAnsi" w:eastAsiaTheme="minorHAnsi" w:hAnsiTheme="minorHAnsi"/>
          <w:szCs w:val="22"/>
          <w:lang w:eastAsia="en-US"/>
        </w:rPr>
        <w:t xml:space="preserve">επίπεδο. </w:t>
      </w:r>
      <w:r w:rsidR="00B0752F" w:rsidRPr="005525C5">
        <w:rPr>
          <w:rFonts w:asciiTheme="minorHAnsi" w:eastAsiaTheme="minorHAnsi" w:hAnsiTheme="minorHAnsi"/>
          <w:szCs w:val="22"/>
          <w:lang w:eastAsia="en-US"/>
        </w:rPr>
        <w:t>Κάνοντας παραλληλισμό</w:t>
      </w:r>
      <w:r w:rsidR="003F1E20" w:rsidRPr="005525C5">
        <w:rPr>
          <w:rFonts w:asciiTheme="minorHAnsi" w:eastAsiaTheme="minorHAnsi" w:hAnsiTheme="minorHAnsi"/>
          <w:szCs w:val="22"/>
          <w:lang w:eastAsia="en-US"/>
        </w:rPr>
        <w:t>,</w:t>
      </w:r>
      <w:r w:rsidR="00B0752F" w:rsidRPr="005525C5">
        <w:rPr>
          <w:rFonts w:asciiTheme="minorHAnsi" w:eastAsiaTheme="minorHAnsi" w:hAnsiTheme="minorHAnsi"/>
          <w:szCs w:val="22"/>
          <w:lang w:eastAsia="en-US"/>
        </w:rPr>
        <w:t xml:space="preserve"> θα δοθεί η δυνατότητα να γίνει σύγκριση της κατάστασης στην Ελλάδα σε σχέση με την γενικότερη κατάσταση ανά την </w:t>
      </w:r>
      <w:r w:rsidR="002D1B2B" w:rsidRPr="005525C5">
        <w:rPr>
          <w:rFonts w:asciiTheme="minorHAnsi" w:eastAsiaTheme="minorHAnsi" w:hAnsiTheme="minorHAnsi"/>
          <w:szCs w:val="22"/>
          <w:lang w:eastAsia="en-US"/>
        </w:rPr>
        <w:t>Ευρωπαϊκή</w:t>
      </w:r>
      <w:r w:rsidR="00B0752F" w:rsidRPr="005525C5">
        <w:rPr>
          <w:rFonts w:asciiTheme="minorHAnsi" w:eastAsiaTheme="minorHAnsi" w:hAnsiTheme="minorHAnsi"/>
          <w:szCs w:val="22"/>
          <w:lang w:eastAsia="en-US"/>
        </w:rPr>
        <w:t xml:space="preserve"> </w:t>
      </w:r>
      <w:r w:rsidR="002D1B2B" w:rsidRPr="005525C5">
        <w:rPr>
          <w:rFonts w:asciiTheme="minorHAnsi" w:eastAsiaTheme="minorHAnsi" w:hAnsiTheme="minorHAnsi"/>
          <w:szCs w:val="22"/>
          <w:lang w:eastAsia="en-US"/>
        </w:rPr>
        <w:t>Ένωση</w:t>
      </w:r>
      <w:r w:rsidR="00B0752F" w:rsidRPr="005525C5">
        <w:rPr>
          <w:rFonts w:asciiTheme="minorHAnsi" w:eastAsiaTheme="minorHAnsi" w:hAnsiTheme="minorHAnsi"/>
          <w:szCs w:val="22"/>
          <w:lang w:eastAsia="en-US"/>
        </w:rPr>
        <w:t xml:space="preserve">. </w:t>
      </w:r>
    </w:p>
    <w:p w:rsidR="00B0752F" w:rsidRPr="005525C5" w:rsidRDefault="00B0752F" w:rsidP="00B57015">
      <w:pPr>
        <w:spacing w:line="400" w:lineRule="atLeast"/>
        <w:jc w:val="both"/>
        <w:rPr>
          <w:rFonts w:asciiTheme="minorHAnsi" w:eastAsiaTheme="minorHAnsi" w:hAnsiTheme="minorHAnsi"/>
          <w:szCs w:val="22"/>
          <w:lang w:eastAsia="en-US"/>
        </w:rPr>
      </w:pPr>
      <w:r w:rsidRPr="005525C5">
        <w:rPr>
          <w:rFonts w:asciiTheme="minorHAnsi" w:eastAsiaTheme="minorHAnsi" w:hAnsiTheme="minorHAnsi"/>
          <w:szCs w:val="22"/>
          <w:lang w:eastAsia="en-US"/>
        </w:rPr>
        <w:t xml:space="preserve">Ο </w:t>
      </w:r>
      <w:r w:rsidR="001D5F2D" w:rsidRPr="005525C5">
        <w:rPr>
          <w:rFonts w:asciiTheme="minorHAnsi" w:eastAsiaTheme="minorHAnsi" w:hAnsiTheme="minorHAnsi"/>
          <w:szCs w:val="22"/>
          <w:lang w:eastAsia="en-US"/>
        </w:rPr>
        <w:t>ε</w:t>
      </w:r>
      <w:r w:rsidRPr="005525C5">
        <w:rPr>
          <w:rFonts w:asciiTheme="minorHAnsi" w:eastAsiaTheme="minorHAnsi" w:hAnsiTheme="minorHAnsi"/>
          <w:szCs w:val="22"/>
          <w:lang w:eastAsia="en-US"/>
        </w:rPr>
        <w:t xml:space="preserve">θνικός Δημόσιος Τομέας (ταξινομημένος S.13 στο ESA 95) περιλαμβάνει τέσσερις </w:t>
      </w:r>
      <w:proofErr w:type="spellStart"/>
      <w:r w:rsidRPr="005525C5">
        <w:rPr>
          <w:rFonts w:asciiTheme="minorHAnsi" w:eastAsiaTheme="minorHAnsi" w:hAnsiTheme="minorHAnsi"/>
          <w:szCs w:val="22"/>
          <w:lang w:eastAsia="en-US"/>
        </w:rPr>
        <w:t>υπο</w:t>
      </w:r>
      <w:proofErr w:type="spellEnd"/>
      <w:r w:rsidRPr="005525C5">
        <w:rPr>
          <w:rFonts w:asciiTheme="minorHAnsi" w:eastAsiaTheme="minorHAnsi" w:hAnsiTheme="minorHAnsi"/>
          <w:szCs w:val="22"/>
          <w:lang w:eastAsia="en-US"/>
        </w:rPr>
        <w:t>-τομείς : α) την κεντρική δημόσια διοίκηση (S.1311) β) τα ομοσπονδιακά Κράτη (Γερμανία, Αυστρία και Βέλγιο) και τους σχετικούς δημόσιους φορείς (S.1312) γ) τους οργανισμούς τοπικής αυτοδιοίκησης και τους σχετικούς δημόσιους φορείς (S.1313) και δ)τους οργανισμούς κοινωνικής ασφάλειας (S.1314). Σε ορισμένες μελέτες, ο εθνικός δημόσιος τομέας αποκαλείται και «γενική κυβέρνηση».</w:t>
      </w:r>
    </w:p>
    <w:p w:rsidR="001D5F2D" w:rsidRPr="005525C5" w:rsidRDefault="00B0752F" w:rsidP="00B57015">
      <w:pPr>
        <w:spacing w:line="400" w:lineRule="atLeast"/>
        <w:jc w:val="both"/>
        <w:rPr>
          <w:rFonts w:asciiTheme="minorHAnsi" w:eastAsiaTheme="minorHAnsi" w:hAnsiTheme="minorHAnsi"/>
          <w:szCs w:val="22"/>
          <w:lang w:eastAsia="en-US"/>
        </w:rPr>
      </w:pPr>
      <w:r w:rsidRPr="005525C5">
        <w:rPr>
          <w:rFonts w:asciiTheme="minorHAnsi" w:eastAsiaTheme="minorHAnsi" w:hAnsiTheme="minorHAnsi"/>
          <w:szCs w:val="22"/>
          <w:lang w:eastAsia="en-US"/>
        </w:rPr>
        <w:t>Ο όρος «</w:t>
      </w:r>
      <w:r w:rsidR="001D5F2D" w:rsidRPr="005525C5">
        <w:rPr>
          <w:rFonts w:asciiTheme="minorHAnsi" w:eastAsiaTheme="minorHAnsi" w:hAnsiTheme="minorHAnsi"/>
          <w:szCs w:val="22"/>
          <w:lang w:eastAsia="en-US"/>
        </w:rPr>
        <w:t>Δη</w:t>
      </w:r>
      <w:r w:rsidRPr="005525C5">
        <w:rPr>
          <w:rFonts w:asciiTheme="minorHAnsi" w:eastAsiaTheme="minorHAnsi" w:hAnsiTheme="minorHAnsi"/>
          <w:szCs w:val="22"/>
          <w:lang w:eastAsia="en-US"/>
        </w:rPr>
        <w:t xml:space="preserve">μόσιος </w:t>
      </w:r>
      <w:r w:rsidR="001D5F2D" w:rsidRPr="005525C5">
        <w:rPr>
          <w:rFonts w:asciiTheme="minorHAnsi" w:eastAsiaTheme="minorHAnsi" w:hAnsiTheme="minorHAnsi"/>
          <w:szCs w:val="22"/>
          <w:lang w:eastAsia="en-US"/>
        </w:rPr>
        <w:t>Τ</w:t>
      </w:r>
      <w:r w:rsidRPr="005525C5">
        <w:rPr>
          <w:rFonts w:asciiTheme="minorHAnsi" w:eastAsiaTheme="minorHAnsi" w:hAnsiTheme="minorHAnsi"/>
          <w:szCs w:val="22"/>
          <w:lang w:eastAsia="en-US"/>
        </w:rPr>
        <w:t xml:space="preserve">ομέας </w:t>
      </w:r>
      <w:r w:rsidR="009D21CE" w:rsidRPr="005525C5">
        <w:rPr>
          <w:rFonts w:asciiTheme="minorHAnsi" w:eastAsiaTheme="minorHAnsi" w:hAnsiTheme="minorHAnsi"/>
          <w:szCs w:val="22"/>
          <w:lang w:eastAsia="en-US"/>
        </w:rPr>
        <w:t xml:space="preserve">σε επίπεδο τοπικής αυτοδιοίκησης» εφαρμόζεται σε δύο από τους </w:t>
      </w:r>
      <w:proofErr w:type="spellStart"/>
      <w:r w:rsidR="009D21CE" w:rsidRPr="005525C5">
        <w:rPr>
          <w:rFonts w:asciiTheme="minorHAnsi" w:eastAsiaTheme="minorHAnsi" w:hAnsiTheme="minorHAnsi"/>
          <w:szCs w:val="22"/>
          <w:lang w:eastAsia="en-US"/>
        </w:rPr>
        <w:t>ανωτέρεω</w:t>
      </w:r>
      <w:proofErr w:type="spellEnd"/>
      <w:r w:rsidR="009D21CE" w:rsidRPr="005525C5">
        <w:rPr>
          <w:rFonts w:asciiTheme="minorHAnsi" w:eastAsiaTheme="minorHAnsi" w:hAnsiTheme="minorHAnsi"/>
          <w:szCs w:val="22"/>
          <w:lang w:eastAsia="en-US"/>
        </w:rPr>
        <w:t xml:space="preserve"> </w:t>
      </w:r>
      <w:proofErr w:type="spellStart"/>
      <w:r w:rsidR="009D21CE" w:rsidRPr="005525C5">
        <w:rPr>
          <w:rFonts w:asciiTheme="minorHAnsi" w:eastAsiaTheme="minorHAnsi" w:hAnsiTheme="minorHAnsi"/>
          <w:szCs w:val="22"/>
          <w:lang w:eastAsia="en-US"/>
        </w:rPr>
        <w:t>υπο</w:t>
      </w:r>
      <w:proofErr w:type="spellEnd"/>
      <w:r w:rsidR="009D21CE" w:rsidRPr="005525C5">
        <w:rPr>
          <w:rFonts w:asciiTheme="minorHAnsi" w:eastAsiaTheme="minorHAnsi" w:hAnsiTheme="minorHAnsi"/>
          <w:szCs w:val="22"/>
          <w:lang w:eastAsia="en-US"/>
        </w:rPr>
        <w:t>-τομείς : α) στα ομοσπονδιακά κράτη (Γερμανία, Αυστρία και Βέλγιο) και τους σχετικούς δημόσιους φορείς (S.1312</w:t>
      </w:r>
      <w:r w:rsidR="005525C5" w:rsidRPr="005525C5">
        <w:rPr>
          <w:rFonts w:asciiTheme="minorHAnsi" w:eastAsiaTheme="minorHAnsi" w:hAnsiTheme="minorHAnsi"/>
          <w:szCs w:val="22"/>
          <w:lang w:eastAsia="en-US"/>
        </w:rPr>
        <w:t xml:space="preserve"> </w:t>
      </w:r>
      <w:r w:rsidR="00AB0530" w:rsidRPr="005525C5">
        <w:rPr>
          <w:rFonts w:asciiTheme="minorHAnsi" w:eastAsiaTheme="minorHAnsi" w:hAnsiTheme="minorHAnsi"/>
          <w:szCs w:val="22"/>
          <w:lang w:eastAsia="en-US"/>
        </w:rPr>
        <w:t xml:space="preserve">και </w:t>
      </w:r>
      <w:r w:rsidR="009D21CE" w:rsidRPr="005525C5">
        <w:rPr>
          <w:rFonts w:asciiTheme="minorHAnsi" w:eastAsiaTheme="minorHAnsi" w:hAnsiTheme="minorHAnsi"/>
          <w:szCs w:val="22"/>
          <w:lang w:eastAsia="en-US"/>
        </w:rPr>
        <w:t>β)</w:t>
      </w:r>
      <w:r w:rsidR="001D5F2D" w:rsidRPr="005525C5">
        <w:rPr>
          <w:rFonts w:asciiTheme="minorHAnsi" w:eastAsiaTheme="minorHAnsi" w:hAnsiTheme="minorHAnsi"/>
          <w:szCs w:val="22"/>
          <w:lang w:eastAsia="en-US"/>
        </w:rPr>
        <w:t xml:space="preserve"> τους οργανισμούς τοπικής αυτοδιοίκησης και τους σχετικούς δημόσιους φορείς (S.1313). </w:t>
      </w:r>
      <w:r w:rsidR="00921BD8" w:rsidRPr="005525C5">
        <w:rPr>
          <w:rFonts w:asciiTheme="minorHAnsi" w:eastAsiaTheme="minorHAnsi" w:hAnsiTheme="minorHAnsi"/>
          <w:szCs w:val="22"/>
          <w:lang w:eastAsia="en-US"/>
        </w:rPr>
        <w:t>Ο δημόσιος τομέας</w:t>
      </w:r>
      <w:r w:rsidR="003F1E20" w:rsidRPr="005525C5">
        <w:rPr>
          <w:rFonts w:asciiTheme="minorHAnsi" w:eastAsiaTheme="minorHAnsi" w:hAnsiTheme="minorHAnsi"/>
          <w:szCs w:val="22"/>
          <w:lang w:eastAsia="en-US"/>
        </w:rPr>
        <w:t>,</w:t>
      </w:r>
      <w:r w:rsidR="00921BD8" w:rsidRPr="005525C5">
        <w:rPr>
          <w:rFonts w:asciiTheme="minorHAnsi" w:eastAsiaTheme="minorHAnsi" w:hAnsiTheme="minorHAnsi"/>
          <w:szCs w:val="22"/>
          <w:lang w:eastAsia="en-US"/>
        </w:rPr>
        <w:t xml:space="preserve"> σε επίπεδο τοπικής αυτοδιοίκησης</w:t>
      </w:r>
      <w:r w:rsidR="003F1E20" w:rsidRPr="005525C5">
        <w:rPr>
          <w:rFonts w:asciiTheme="minorHAnsi" w:eastAsiaTheme="minorHAnsi" w:hAnsiTheme="minorHAnsi"/>
          <w:szCs w:val="22"/>
          <w:lang w:eastAsia="en-US"/>
        </w:rPr>
        <w:t>,</w:t>
      </w:r>
      <w:r w:rsidR="00921BD8" w:rsidRPr="005525C5">
        <w:rPr>
          <w:rFonts w:asciiTheme="minorHAnsi" w:eastAsiaTheme="minorHAnsi" w:hAnsiTheme="minorHAnsi"/>
          <w:szCs w:val="22"/>
          <w:lang w:eastAsia="en-US"/>
        </w:rPr>
        <w:t xml:space="preserve"> (S.1313) καλύπτει τους οργανισμούς τοπικής αυτοδιοίκησης με γενικές αρμοδιότητες (οι αρμοδιότητες μπορεί να ποικίλλουν από χώρα σε χώρα). Σε ορισμένες μελέτες, ο δημόσιος τομέας σε επίπεδο τοπικής αυτοδιοίκησης αποκαλείται και «τοπική αυτοδιοίκηση» (τοπική διακυβέρνηση). </w:t>
      </w:r>
    </w:p>
    <w:p w:rsidR="00921BD8" w:rsidRPr="005525C5" w:rsidRDefault="00921BD8" w:rsidP="00B57015">
      <w:pPr>
        <w:spacing w:line="400" w:lineRule="atLeast"/>
        <w:jc w:val="both"/>
        <w:rPr>
          <w:rFonts w:asciiTheme="minorHAnsi" w:eastAsiaTheme="minorHAnsi" w:hAnsiTheme="minorHAnsi"/>
          <w:szCs w:val="22"/>
          <w:lang w:eastAsia="en-US"/>
        </w:rPr>
      </w:pPr>
      <w:r w:rsidRPr="005525C5">
        <w:rPr>
          <w:rFonts w:asciiTheme="minorHAnsi" w:eastAsiaTheme="minorHAnsi" w:hAnsiTheme="minorHAnsi"/>
          <w:szCs w:val="22"/>
          <w:lang w:eastAsia="en-US"/>
        </w:rPr>
        <w:t xml:space="preserve">Η παρούσα μελέτη βασίζεται ως επί το πλείστον στα δεδομένα και τα στατιστικά του 2011 και 2012, που προέκυψαν από πηγές όπως τα πληροφοριακά δελτία που δημοσιεύθηκαν από το Συμβούλιο </w:t>
      </w:r>
      <w:r w:rsidR="002D1B2B" w:rsidRPr="005525C5">
        <w:rPr>
          <w:rFonts w:asciiTheme="minorHAnsi" w:eastAsiaTheme="minorHAnsi" w:hAnsiTheme="minorHAnsi"/>
          <w:szCs w:val="22"/>
          <w:lang w:eastAsia="en-US"/>
        </w:rPr>
        <w:t>Ευρωπαϊκών</w:t>
      </w:r>
      <w:r w:rsidRPr="005525C5">
        <w:rPr>
          <w:rFonts w:asciiTheme="minorHAnsi" w:eastAsiaTheme="minorHAnsi" w:hAnsiTheme="minorHAnsi"/>
          <w:szCs w:val="22"/>
          <w:lang w:eastAsia="en-US"/>
        </w:rPr>
        <w:t xml:space="preserve"> Δήμων και Περιφερειών</w:t>
      </w:r>
      <w:r w:rsidR="003F1E20" w:rsidRPr="005525C5">
        <w:rPr>
          <w:rFonts w:asciiTheme="minorHAnsi" w:eastAsiaTheme="minorHAnsi" w:hAnsiTheme="minorHAnsi"/>
          <w:szCs w:val="22"/>
          <w:lang w:eastAsia="en-US"/>
        </w:rPr>
        <w:t>,</w:t>
      </w:r>
      <w:r w:rsidRPr="005525C5">
        <w:rPr>
          <w:rFonts w:asciiTheme="minorHAnsi" w:eastAsiaTheme="minorHAnsi" w:hAnsiTheme="minorHAnsi"/>
          <w:szCs w:val="22"/>
          <w:lang w:eastAsia="en-US"/>
        </w:rPr>
        <w:t xml:space="preserve"> σχετικά με τα δεδομένα σε τοπικό και περιφερειακό επίπεδο το 2013, την μελέτη του ΟΟΣΑ </w:t>
      </w:r>
      <w:r w:rsidR="00343DCF" w:rsidRPr="005525C5">
        <w:rPr>
          <w:rFonts w:asciiTheme="minorHAnsi" w:eastAsiaTheme="minorHAnsi" w:hAnsiTheme="minorHAnsi"/>
          <w:szCs w:val="22"/>
          <w:lang w:eastAsia="en-US"/>
        </w:rPr>
        <w:t xml:space="preserve">για τα βασικά δεδομένα της τοπικής διακυβέρνησης στις χώρες του ΟΟΣΑ (2013) και τη μελέτη που διεξήγαγε το Συμβούλιο </w:t>
      </w:r>
      <w:r w:rsidR="002D1B2B" w:rsidRPr="005525C5">
        <w:rPr>
          <w:rFonts w:asciiTheme="minorHAnsi" w:eastAsiaTheme="minorHAnsi" w:hAnsiTheme="minorHAnsi"/>
          <w:szCs w:val="22"/>
          <w:lang w:eastAsia="en-US"/>
        </w:rPr>
        <w:t>Ευρωπαϊκών</w:t>
      </w:r>
      <w:r w:rsidR="00343DCF" w:rsidRPr="005525C5">
        <w:rPr>
          <w:rFonts w:asciiTheme="minorHAnsi" w:eastAsiaTheme="minorHAnsi" w:hAnsiTheme="minorHAnsi"/>
          <w:szCs w:val="22"/>
          <w:lang w:eastAsia="en-US"/>
        </w:rPr>
        <w:t xml:space="preserve"> Δήμων και Περιφερειών και η </w:t>
      </w:r>
      <w:proofErr w:type="spellStart"/>
      <w:r w:rsidR="00343DCF" w:rsidRPr="005525C5">
        <w:rPr>
          <w:rFonts w:asciiTheme="minorHAnsi" w:eastAsiaTheme="minorHAnsi" w:hAnsiTheme="minorHAnsi"/>
          <w:szCs w:val="22"/>
          <w:lang w:eastAsia="en-US"/>
        </w:rPr>
        <w:t>Dexia</w:t>
      </w:r>
      <w:proofErr w:type="spellEnd"/>
      <w:r w:rsidR="00343DCF" w:rsidRPr="005525C5">
        <w:rPr>
          <w:rFonts w:asciiTheme="minorHAnsi" w:eastAsiaTheme="minorHAnsi" w:hAnsiTheme="minorHAnsi"/>
          <w:szCs w:val="22"/>
          <w:lang w:eastAsia="en-US"/>
        </w:rPr>
        <w:t xml:space="preserve"> για τα δημόσια οικονομικά σε τοπικό επίπεδο στην </w:t>
      </w:r>
      <w:r w:rsidR="002D1B2B" w:rsidRPr="005525C5">
        <w:rPr>
          <w:rFonts w:asciiTheme="minorHAnsi" w:eastAsiaTheme="minorHAnsi" w:hAnsiTheme="minorHAnsi"/>
          <w:szCs w:val="22"/>
          <w:lang w:eastAsia="en-US"/>
        </w:rPr>
        <w:t>Ευρωπαϊκή</w:t>
      </w:r>
      <w:r w:rsidR="00343DCF" w:rsidRPr="005525C5">
        <w:rPr>
          <w:rFonts w:asciiTheme="minorHAnsi" w:eastAsiaTheme="minorHAnsi" w:hAnsiTheme="minorHAnsi"/>
          <w:szCs w:val="22"/>
          <w:lang w:eastAsia="en-US"/>
        </w:rPr>
        <w:t xml:space="preserve"> </w:t>
      </w:r>
      <w:r w:rsidR="002D1B2B" w:rsidRPr="005525C5">
        <w:rPr>
          <w:rFonts w:asciiTheme="minorHAnsi" w:eastAsiaTheme="minorHAnsi" w:hAnsiTheme="minorHAnsi"/>
          <w:szCs w:val="22"/>
          <w:lang w:eastAsia="en-US"/>
        </w:rPr>
        <w:t>Ένωση</w:t>
      </w:r>
      <w:r w:rsidR="00343DCF" w:rsidRPr="005525C5">
        <w:rPr>
          <w:rFonts w:asciiTheme="minorHAnsi" w:eastAsiaTheme="minorHAnsi" w:hAnsiTheme="minorHAnsi"/>
          <w:szCs w:val="22"/>
          <w:lang w:eastAsia="en-US"/>
        </w:rPr>
        <w:t xml:space="preserve"> (2012).</w:t>
      </w:r>
    </w:p>
    <w:p w:rsidR="00343DCF" w:rsidRPr="005525C5" w:rsidRDefault="00343DCF" w:rsidP="00B57015">
      <w:pPr>
        <w:spacing w:line="400" w:lineRule="atLeast"/>
        <w:jc w:val="both"/>
        <w:rPr>
          <w:rFonts w:asciiTheme="minorHAnsi" w:eastAsiaTheme="minorHAnsi" w:hAnsiTheme="minorHAnsi"/>
          <w:szCs w:val="22"/>
          <w:lang w:eastAsia="en-US"/>
        </w:rPr>
      </w:pPr>
      <w:r w:rsidRPr="005525C5">
        <w:rPr>
          <w:rFonts w:asciiTheme="minorHAnsi" w:eastAsiaTheme="minorHAnsi" w:hAnsiTheme="minorHAnsi"/>
          <w:szCs w:val="22"/>
          <w:lang w:eastAsia="en-US"/>
        </w:rPr>
        <w:t xml:space="preserve">Στόχος της παρούσας μελέτης δεν είναι η ανάλυση των οικονομικών δεδομένων της τοπικής αυτοδιοίκησης αλλά η ανάλυση των δεδομένων για να </w:t>
      </w:r>
      <w:r w:rsidR="003F1E20" w:rsidRPr="005525C5">
        <w:rPr>
          <w:rFonts w:asciiTheme="minorHAnsi" w:eastAsiaTheme="minorHAnsi" w:hAnsiTheme="minorHAnsi"/>
          <w:szCs w:val="22"/>
          <w:lang w:eastAsia="en-US"/>
        </w:rPr>
        <w:t xml:space="preserve">εξετασθεί </w:t>
      </w:r>
      <w:r w:rsidRPr="005525C5">
        <w:rPr>
          <w:rFonts w:asciiTheme="minorHAnsi" w:eastAsiaTheme="minorHAnsi" w:hAnsiTheme="minorHAnsi"/>
          <w:szCs w:val="22"/>
          <w:lang w:eastAsia="en-US"/>
        </w:rPr>
        <w:t xml:space="preserve">μία νέα </w:t>
      </w:r>
      <w:r w:rsidR="003F1E20" w:rsidRPr="005525C5">
        <w:rPr>
          <w:rFonts w:asciiTheme="minorHAnsi" w:eastAsiaTheme="minorHAnsi" w:hAnsiTheme="minorHAnsi"/>
          <w:szCs w:val="22"/>
          <w:lang w:eastAsia="en-US"/>
        </w:rPr>
        <w:t xml:space="preserve">εδαφική </w:t>
      </w:r>
      <w:r w:rsidRPr="005525C5">
        <w:rPr>
          <w:rFonts w:asciiTheme="minorHAnsi" w:eastAsiaTheme="minorHAnsi" w:hAnsiTheme="minorHAnsi"/>
          <w:szCs w:val="22"/>
          <w:lang w:eastAsia="en-US"/>
        </w:rPr>
        <w:t>οργάνωση που ευνοε</w:t>
      </w:r>
      <w:r w:rsidR="00F32A13" w:rsidRPr="005525C5">
        <w:rPr>
          <w:rFonts w:asciiTheme="minorHAnsi" w:eastAsiaTheme="minorHAnsi" w:hAnsiTheme="minorHAnsi"/>
          <w:szCs w:val="22"/>
          <w:lang w:eastAsia="en-US"/>
        </w:rPr>
        <w:t>ί την ανάπτυξη για την Ελλάδα</w:t>
      </w:r>
      <w:r w:rsidR="003F1E20" w:rsidRPr="005525C5">
        <w:rPr>
          <w:rFonts w:asciiTheme="minorHAnsi" w:eastAsiaTheme="minorHAnsi" w:hAnsiTheme="minorHAnsi"/>
          <w:szCs w:val="22"/>
          <w:lang w:eastAsia="en-US"/>
        </w:rPr>
        <w:t>,</w:t>
      </w:r>
      <w:r w:rsidR="00F32A13" w:rsidRPr="005525C5">
        <w:rPr>
          <w:rFonts w:asciiTheme="minorHAnsi" w:eastAsiaTheme="minorHAnsi" w:hAnsiTheme="minorHAnsi"/>
          <w:szCs w:val="22"/>
          <w:lang w:eastAsia="en-US"/>
        </w:rPr>
        <w:t xml:space="preserve"> στηριζόμενη στην τοπική αυτοδιοίκηση. </w:t>
      </w:r>
    </w:p>
    <w:p w:rsidR="005525C5" w:rsidRPr="00E8557E" w:rsidRDefault="005525C5" w:rsidP="00B57015">
      <w:pPr>
        <w:spacing w:line="400" w:lineRule="atLeast"/>
        <w:jc w:val="both"/>
        <w:rPr>
          <w:rFonts w:asciiTheme="minorHAnsi" w:eastAsiaTheme="minorHAnsi" w:hAnsiTheme="minorHAnsi"/>
          <w:szCs w:val="22"/>
          <w:lang w:eastAsia="en-US"/>
        </w:rPr>
      </w:pPr>
    </w:p>
    <w:p w:rsidR="00452D3F" w:rsidRPr="005F4728" w:rsidRDefault="00452D3F" w:rsidP="00B57015">
      <w:pPr>
        <w:spacing w:line="400" w:lineRule="atLeast"/>
        <w:jc w:val="both"/>
        <w:rPr>
          <w:rFonts w:asciiTheme="minorHAnsi" w:eastAsiaTheme="minorHAnsi" w:hAnsiTheme="minorHAnsi"/>
          <w:b/>
          <w:i/>
          <w:szCs w:val="22"/>
          <w:lang w:eastAsia="en-US"/>
        </w:rPr>
      </w:pPr>
      <w:r w:rsidRPr="005F4728">
        <w:rPr>
          <w:rFonts w:asciiTheme="minorHAnsi" w:eastAsiaTheme="minorHAnsi" w:hAnsiTheme="minorHAnsi"/>
          <w:b/>
          <w:i/>
          <w:szCs w:val="22"/>
          <w:lang w:eastAsia="en-US"/>
        </w:rPr>
        <w:t>ΠΑΡΟΥΣΙΑΣΗ ΤΩΝ ΔΕΔΟΜΕΝΩΝ</w:t>
      </w:r>
    </w:p>
    <w:p w:rsidR="00452D3F" w:rsidRPr="005F4728" w:rsidRDefault="00452D3F" w:rsidP="00B57015">
      <w:pPr>
        <w:numPr>
          <w:ilvl w:val="0"/>
          <w:numId w:val="18"/>
        </w:numPr>
        <w:spacing w:line="400" w:lineRule="atLeast"/>
        <w:jc w:val="both"/>
        <w:rPr>
          <w:rFonts w:asciiTheme="minorHAnsi" w:eastAsiaTheme="minorHAnsi" w:hAnsiTheme="minorHAnsi"/>
          <w:b/>
          <w:szCs w:val="22"/>
          <w:lang w:eastAsia="en-US"/>
        </w:rPr>
      </w:pPr>
      <w:r w:rsidRPr="005F4728">
        <w:rPr>
          <w:rFonts w:asciiTheme="minorHAnsi" w:eastAsiaTheme="minorHAnsi" w:hAnsiTheme="minorHAnsi"/>
          <w:b/>
          <w:szCs w:val="22"/>
          <w:lang w:eastAsia="en-US"/>
        </w:rPr>
        <w:t>Γενικοί αριθμοί της Ελλάδας</w:t>
      </w:r>
    </w:p>
    <w:p w:rsidR="00452D3F" w:rsidRPr="005525C5" w:rsidRDefault="00452D3F" w:rsidP="00B57015">
      <w:pPr>
        <w:spacing w:line="400" w:lineRule="atLeast"/>
        <w:ind w:firstLine="720"/>
        <w:jc w:val="both"/>
        <w:rPr>
          <w:rFonts w:asciiTheme="minorHAnsi" w:eastAsiaTheme="minorHAnsi" w:hAnsiTheme="minorHAnsi"/>
          <w:szCs w:val="22"/>
          <w:lang w:eastAsia="en-US"/>
        </w:rPr>
      </w:pPr>
      <w:r w:rsidRPr="005525C5">
        <w:rPr>
          <w:rFonts w:asciiTheme="minorHAnsi" w:eastAsiaTheme="minorHAnsi" w:hAnsiTheme="minorHAnsi"/>
          <w:szCs w:val="22"/>
          <w:lang w:eastAsia="en-US"/>
        </w:rPr>
        <w:t xml:space="preserve">Η Ελλάδα είναι Κράτος μέλος της </w:t>
      </w:r>
      <w:r w:rsidR="009A1C6B" w:rsidRPr="005525C5">
        <w:rPr>
          <w:rFonts w:asciiTheme="minorHAnsi" w:eastAsiaTheme="minorHAnsi" w:hAnsiTheme="minorHAnsi"/>
          <w:szCs w:val="22"/>
          <w:lang w:eastAsia="en-US"/>
        </w:rPr>
        <w:t>Ευρωπαϊκής</w:t>
      </w:r>
      <w:r w:rsidRPr="005525C5">
        <w:rPr>
          <w:rFonts w:asciiTheme="minorHAnsi" w:eastAsiaTheme="minorHAnsi" w:hAnsiTheme="minorHAnsi"/>
          <w:szCs w:val="22"/>
          <w:lang w:eastAsia="en-US"/>
        </w:rPr>
        <w:t xml:space="preserve"> </w:t>
      </w:r>
      <w:r w:rsidR="009A1C6B" w:rsidRPr="005525C5">
        <w:rPr>
          <w:rFonts w:asciiTheme="minorHAnsi" w:eastAsiaTheme="minorHAnsi" w:hAnsiTheme="minorHAnsi"/>
          <w:szCs w:val="22"/>
          <w:lang w:eastAsia="en-US"/>
        </w:rPr>
        <w:t>Ένωσης</w:t>
      </w:r>
      <w:r w:rsidRPr="005525C5">
        <w:rPr>
          <w:rFonts w:asciiTheme="minorHAnsi" w:eastAsiaTheme="minorHAnsi" w:hAnsiTheme="minorHAnsi"/>
          <w:szCs w:val="22"/>
          <w:lang w:eastAsia="en-US"/>
        </w:rPr>
        <w:t xml:space="preserve"> με έκταση 131.957 τετραγωνικά </w:t>
      </w:r>
      <w:r w:rsidR="009A1C6B" w:rsidRPr="005525C5">
        <w:rPr>
          <w:rFonts w:asciiTheme="minorHAnsi" w:eastAsiaTheme="minorHAnsi" w:hAnsiTheme="minorHAnsi"/>
          <w:szCs w:val="22"/>
          <w:lang w:eastAsia="en-US"/>
        </w:rPr>
        <w:t>χιλιόμετρα</w:t>
      </w:r>
      <w:r w:rsidRPr="005525C5">
        <w:rPr>
          <w:rFonts w:asciiTheme="minorHAnsi" w:eastAsiaTheme="minorHAnsi" w:hAnsiTheme="minorHAnsi"/>
          <w:szCs w:val="22"/>
          <w:lang w:eastAsia="en-US"/>
        </w:rPr>
        <w:t xml:space="preserve"> και πληθυσμό 11.120.415 κατοίκους (στοιχεία από EUROSTAT 2015).</w:t>
      </w:r>
    </w:p>
    <w:p w:rsidR="00452D3F" w:rsidRPr="005525C5" w:rsidRDefault="00C65A1B" w:rsidP="00B57015">
      <w:pPr>
        <w:spacing w:line="400" w:lineRule="atLeast"/>
        <w:ind w:firstLine="720"/>
        <w:jc w:val="both"/>
        <w:rPr>
          <w:rFonts w:asciiTheme="minorHAnsi" w:eastAsiaTheme="minorHAnsi" w:hAnsiTheme="minorHAnsi"/>
          <w:szCs w:val="22"/>
          <w:lang w:eastAsia="en-US"/>
        </w:rPr>
      </w:pPr>
      <w:r w:rsidRPr="005525C5">
        <w:rPr>
          <w:rFonts w:asciiTheme="minorHAnsi" w:eastAsiaTheme="minorHAnsi" w:hAnsiTheme="minorHAnsi"/>
          <w:szCs w:val="22"/>
          <w:lang w:eastAsia="en-US"/>
        </w:rPr>
        <w:t>Το 2012, το</w:t>
      </w:r>
      <w:r w:rsidR="003F1E20" w:rsidRPr="005525C5">
        <w:rPr>
          <w:rFonts w:asciiTheme="minorHAnsi" w:eastAsiaTheme="minorHAnsi" w:hAnsiTheme="minorHAnsi"/>
          <w:szCs w:val="22"/>
          <w:lang w:eastAsia="en-US"/>
        </w:rPr>
        <w:t xml:space="preserve"> κατά κεφαλήν</w:t>
      </w:r>
      <w:r w:rsidRPr="005525C5">
        <w:rPr>
          <w:rFonts w:asciiTheme="minorHAnsi" w:eastAsiaTheme="minorHAnsi" w:hAnsiTheme="minorHAnsi"/>
          <w:szCs w:val="22"/>
          <w:lang w:eastAsia="en-US"/>
        </w:rPr>
        <w:t xml:space="preserve"> </w:t>
      </w:r>
      <w:r w:rsidR="00A063AF" w:rsidRPr="005525C5">
        <w:rPr>
          <w:rFonts w:asciiTheme="minorHAnsi" w:eastAsiaTheme="minorHAnsi" w:hAnsiTheme="minorHAnsi"/>
          <w:szCs w:val="22"/>
          <w:lang w:eastAsia="en-US"/>
        </w:rPr>
        <w:t>ΑΕΠ</w:t>
      </w:r>
      <w:r w:rsidR="00A063AF" w:rsidRPr="005525C5">
        <w:rPr>
          <w:rFonts w:eastAsiaTheme="minorHAnsi"/>
          <w:szCs w:val="22"/>
          <w:lang w:eastAsia="en-US"/>
        </w:rPr>
        <w:footnoteReference w:id="1"/>
      </w:r>
      <w:r w:rsidR="00A063AF" w:rsidRPr="005525C5">
        <w:rPr>
          <w:rFonts w:asciiTheme="minorHAnsi" w:eastAsiaTheme="minorHAnsi" w:hAnsiTheme="minorHAnsi"/>
          <w:szCs w:val="22"/>
          <w:lang w:eastAsia="en-US"/>
        </w:rPr>
        <w:t xml:space="preserve"> </w:t>
      </w:r>
      <w:r w:rsidR="00DB2E2D" w:rsidRPr="005525C5">
        <w:rPr>
          <w:rFonts w:asciiTheme="minorHAnsi" w:eastAsiaTheme="minorHAnsi" w:hAnsiTheme="minorHAnsi"/>
          <w:szCs w:val="22"/>
          <w:lang w:eastAsia="en-US"/>
        </w:rPr>
        <w:t>(18.468€ ανά κάτοικο) ήταν πολύ πιο χαμηλό στην Ελλάδα</w:t>
      </w:r>
      <w:r w:rsidR="003F1E20" w:rsidRPr="005525C5">
        <w:rPr>
          <w:rFonts w:asciiTheme="minorHAnsi" w:eastAsiaTheme="minorHAnsi" w:hAnsiTheme="minorHAnsi"/>
          <w:szCs w:val="22"/>
          <w:lang w:eastAsia="en-US"/>
        </w:rPr>
        <w:t>,</w:t>
      </w:r>
      <w:r w:rsidR="00DB2E2D" w:rsidRPr="005525C5">
        <w:rPr>
          <w:rFonts w:asciiTheme="minorHAnsi" w:eastAsiaTheme="minorHAnsi" w:hAnsiTheme="minorHAnsi"/>
          <w:szCs w:val="22"/>
          <w:lang w:eastAsia="en-US"/>
        </w:rPr>
        <w:t xml:space="preserve"> από τον μέσο όρο του ΑΕΠ ανά κάτοικος στην </w:t>
      </w:r>
      <w:r w:rsidR="009A1C6B" w:rsidRPr="005525C5">
        <w:rPr>
          <w:rFonts w:asciiTheme="minorHAnsi" w:eastAsiaTheme="minorHAnsi" w:hAnsiTheme="minorHAnsi"/>
          <w:szCs w:val="22"/>
          <w:lang w:eastAsia="en-US"/>
        </w:rPr>
        <w:t>Ευρωπαϊκή</w:t>
      </w:r>
      <w:r w:rsidR="00DB2E2D" w:rsidRPr="005525C5">
        <w:rPr>
          <w:rFonts w:asciiTheme="minorHAnsi" w:eastAsiaTheme="minorHAnsi" w:hAnsiTheme="minorHAnsi"/>
          <w:szCs w:val="22"/>
          <w:lang w:eastAsia="en-US"/>
        </w:rPr>
        <w:t xml:space="preserve"> </w:t>
      </w:r>
      <w:r w:rsidR="009A1C6B" w:rsidRPr="005525C5">
        <w:rPr>
          <w:rFonts w:asciiTheme="minorHAnsi" w:eastAsiaTheme="minorHAnsi" w:hAnsiTheme="minorHAnsi"/>
          <w:szCs w:val="22"/>
          <w:lang w:eastAsia="en-US"/>
        </w:rPr>
        <w:t>Ένωση</w:t>
      </w:r>
      <w:r w:rsidR="00DB2E2D" w:rsidRPr="005525C5">
        <w:rPr>
          <w:rFonts w:asciiTheme="minorHAnsi" w:eastAsiaTheme="minorHAnsi" w:hAnsiTheme="minorHAnsi"/>
          <w:szCs w:val="22"/>
          <w:lang w:eastAsia="en-US"/>
        </w:rPr>
        <w:t xml:space="preserve"> των 27 (25.168€ ανά κάτοικο) (Συμβούλιο </w:t>
      </w:r>
      <w:r w:rsidR="009A1C6B" w:rsidRPr="005525C5">
        <w:rPr>
          <w:rFonts w:asciiTheme="minorHAnsi" w:eastAsiaTheme="minorHAnsi" w:hAnsiTheme="minorHAnsi"/>
          <w:szCs w:val="22"/>
          <w:lang w:eastAsia="en-US"/>
        </w:rPr>
        <w:t>Ευρωπαϊκών</w:t>
      </w:r>
      <w:r w:rsidR="00DB2E2D" w:rsidRPr="005525C5">
        <w:rPr>
          <w:rFonts w:asciiTheme="minorHAnsi" w:eastAsiaTheme="minorHAnsi" w:hAnsiTheme="minorHAnsi"/>
          <w:szCs w:val="22"/>
          <w:lang w:eastAsia="en-US"/>
        </w:rPr>
        <w:t xml:space="preserve"> Δήμων και Περιφερειών, 2013, πληροφοριακά δελτία). Το 2011-2012, ο </w:t>
      </w:r>
      <w:r w:rsidR="0041285F" w:rsidRPr="005525C5">
        <w:rPr>
          <w:rFonts w:asciiTheme="minorHAnsi" w:eastAsiaTheme="minorHAnsi" w:hAnsiTheme="minorHAnsi"/>
          <w:szCs w:val="22"/>
          <w:lang w:eastAsia="en-US"/>
        </w:rPr>
        <w:t>ρυθμός ανάπτυξης</w:t>
      </w:r>
      <w:r w:rsidR="00DB2E2D" w:rsidRPr="005525C5">
        <w:rPr>
          <w:rFonts w:asciiTheme="minorHAnsi" w:eastAsiaTheme="minorHAnsi" w:hAnsiTheme="minorHAnsi"/>
          <w:szCs w:val="22"/>
          <w:lang w:eastAsia="en-US"/>
        </w:rPr>
        <w:t xml:space="preserve"> του ΑΕΠ στην Ελλάδα ήταν της τάξεως του -6,4%, αντιπροσωπεύοντας το</w:t>
      </w:r>
      <w:r w:rsidR="0041285F" w:rsidRPr="005525C5">
        <w:rPr>
          <w:rFonts w:asciiTheme="minorHAnsi" w:eastAsiaTheme="minorHAnsi" w:hAnsiTheme="minorHAnsi"/>
          <w:szCs w:val="22"/>
          <w:lang w:eastAsia="en-US"/>
        </w:rPr>
        <w:t>ν</w:t>
      </w:r>
      <w:r w:rsidR="00DB2E2D" w:rsidRPr="005525C5">
        <w:rPr>
          <w:rFonts w:asciiTheme="minorHAnsi" w:eastAsiaTheme="minorHAnsi" w:hAnsiTheme="minorHAnsi"/>
          <w:szCs w:val="22"/>
          <w:lang w:eastAsia="en-US"/>
        </w:rPr>
        <w:t xml:space="preserve"> χαμηλότερο </w:t>
      </w:r>
      <w:r w:rsidR="0041285F" w:rsidRPr="005525C5">
        <w:rPr>
          <w:rFonts w:asciiTheme="minorHAnsi" w:eastAsiaTheme="minorHAnsi" w:hAnsiTheme="minorHAnsi"/>
          <w:szCs w:val="22"/>
          <w:lang w:eastAsia="en-US"/>
        </w:rPr>
        <w:t>ρυθμό ανάπτυξης</w:t>
      </w:r>
      <w:r w:rsidR="00DB2E2D" w:rsidRPr="005525C5">
        <w:rPr>
          <w:rFonts w:asciiTheme="minorHAnsi" w:eastAsiaTheme="minorHAnsi" w:hAnsiTheme="minorHAnsi"/>
          <w:szCs w:val="22"/>
          <w:lang w:eastAsia="en-US"/>
        </w:rPr>
        <w:t xml:space="preserve"> στην Ευρώπη</w:t>
      </w:r>
      <w:r w:rsidR="0041285F" w:rsidRPr="005525C5">
        <w:rPr>
          <w:rFonts w:asciiTheme="minorHAnsi" w:eastAsiaTheme="minorHAnsi" w:hAnsiTheme="minorHAnsi"/>
          <w:szCs w:val="22"/>
          <w:lang w:eastAsia="en-US"/>
        </w:rPr>
        <w:t>, πολύ παρακάτω από το μέσο όρο του ρυθμού ανάπτυξης της Ευρώπης των 28 (-0,4%).</w:t>
      </w:r>
    </w:p>
    <w:p w:rsidR="0041285F" w:rsidRPr="005525C5" w:rsidRDefault="0041285F" w:rsidP="00B57015">
      <w:pPr>
        <w:spacing w:line="400" w:lineRule="atLeast"/>
        <w:ind w:firstLine="720"/>
        <w:jc w:val="both"/>
        <w:rPr>
          <w:rFonts w:asciiTheme="minorHAnsi" w:eastAsiaTheme="minorHAnsi" w:hAnsiTheme="minorHAnsi"/>
          <w:szCs w:val="22"/>
          <w:lang w:eastAsia="en-US"/>
        </w:rPr>
      </w:pPr>
      <w:r w:rsidRPr="005525C5">
        <w:rPr>
          <w:rFonts w:asciiTheme="minorHAnsi" w:eastAsiaTheme="minorHAnsi" w:hAnsiTheme="minorHAnsi"/>
          <w:szCs w:val="22"/>
          <w:lang w:eastAsia="en-US"/>
        </w:rPr>
        <w:t xml:space="preserve">Στον τομέα της ανεργίας, τον Φεβρουάριου του 2015, </w:t>
      </w:r>
      <w:r w:rsidR="0008006C" w:rsidRPr="005525C5">
        <w:rPr>
          <w:rFonts w:asciiTheme="minorHAnsi" w:eastAsiaTheme="minorHAnsi" w:hAnsiTheme="minorHAnsi"/>
          <w:szCs w:val="22"/>
          <w:lang w:eastAsia="en-US"/>
        </w:rPr>
        <w:t xml:space="preserve">ο συγκεκριμένος δείκτης στην </w:t>
      </w:r>
      <w:r w:rsidRPr="005525C5">
        <w:rPr>
          <w:rFonts w:asciiTheme="minorHAnsi" w:eastAsiaTheme="minorHAnsi" w:hAnsiTheme="minorHAnsi"/>
          <w:szCs w:val="22"/>
          <w:lang w:eastAsia="en-US"/>
        </w:rPr>
        <w:t xml:space="preserve">Ελλάδα </w:t>
      </w:r>
      <w:r w:rsidR="0008006C" w:rsidRPr="005525C5">
        <w:rPr>
          <w:rFonts w:asciiTheme="minorHAnsi" w:eastAsiaTheme="minorHAnsi" w:hAnsiTheme="minorHAnsi"/>
          <w:szCs w:val="22"/>
          <w:lang w:eastAsia="en-US"/>
        </w:rPr>
        <w:t xml:space="preserve">ανήλθε στο </w:t>
      </w:r>
      <w:r w:rsidRPr="005525C5">
        <w:rPr>
          <w:rFonts w:asciiTheme="minorHAnsi" w:eastAsiaTheme="minorHAnsi" w:hAnsiTheme="minorHAnsi"/>
          <w:szCs w:val="22"/>
          <w:lang w:eastAsia="en-US"/>
        </w:rPr>
        <w:t>26%</w:t>
      </w:r>
      <w:r w:rsidR="0008006C" w:rsidRPr="005525C5">
        <w:rPr>
          <w:rFonts w:asciiTheme="minorHAnsi" w:eastAsiaTheme="minorHAnsi" w:hAnsiTheme="minorHAnsi"/>
          <w:szCs w:val="22"/>
          <w:lang w:eastAsia="en-US"/>
        </w:rPr>
        <w:t>,</w:t>
      </w:r>
      <w:r w:rsidRPr="005525C5">
        <w:rPr>
          <w:rFonts w:asciiTheme="minorHAnsi" w:eastAsiaTheme="minorHAnsi" w:hAnsiTheme="minorHAnsi"/>
          <w:szCs w:val="22"/>
          <w:lang w:eastAsia="en-US"/>
        </w:rPr>
        <w:t xml:space="preserve"> ενώ στην Ευρώπη των 28 </w:t>
      </w:r>
      <w:r w:rsidR="0008006C" w:rsidRPr="005525C5">
        <w:rPr>
          <w:rFonts w:asciiTheme="minorHAnsi" w:eastAsiaTheme="minorHAnsi" w:hAnsiTheme="minorHAnsi"/>
          <w:szCs w:val="22"/>
          <w:lang w:eastAsia="en-US"/>
        </w:rPr>
        <w:t>σ</w:t>
      </w:r>
      <w:r w:rsidRPr="005525C5">
        <w:rPr>
          <w:rFonts w:asciiTheme="minorHAnsi" w:eastAsiaTheme="minorHAnsi" w:hAnsiTheme="minorHAnsi"/>
          <w:szCs w:val="22"/>
          <w:lang w:eastAsia="en-US"/>
        </w:rPr>
        <w:t>το 9,8% (EUROSTAT 2015). Τον Δεκέμβριου του 2014, η ανεργία των νέων (</w:t>
      </w:r>
      <w:r w:rsidR="009A1C6B" w:rsidRPr="005525C5">
        <w:rPr>
          <w:rFonts w:asciiTheme="minorHAnsi" w:eastAsiaTheme="minorHAnsi" w:hAnsiTheme="minorHAnsi"/>
          <w:szCs w:val="22"/>
          <w:lang w:eastAsia="en-US"/>
        </w:rPr>
        <w:t>κάτω</w:t>
      </w:r>
      <w:r w:rsidRPr="005525C5">
        <w:rPr>
          <w:rFonts w:asciiTheme="minorHAnsi" w:eastAsiaTheme="minorHAnsi" w:hAnsiTheme="minorHAnsi"/>
          <w:szCs w:val="22"/>
          <w:lang w:eastAsia="en-US"/>
        </w:rPr>
        <w:t xml:space="preserve"> των 25 ετών) </w:t>
      </w:r>
      <w:r w:rsidR="0008006C" w:rsidRPr="005525C5">
        <w:rPr>
          <w:rFonts w:asciiTheme="minorHAnsi" w:eastAsiaTheme="minorHAnsi" w:hAnsiTheme="minorHAnsi"/>
          <w:szCs w:val="22"/>
          <w:lang w:eastAsia="en-US"/>
        </w:rPr>
        <w:t xml:space="preserve">έφθασε </w:t>
      </w:r>
      <w:r w:rsidRPr="005525C5">
        <w:rPr>
          <w:rFonts w:asciiTheme="minorHAnsi" w:eastAsiaTheme="minorHAnsi" w:hAnsiTheme="minorHAnsi"/>
          <w:szCs w:val="22"/>
          <w:lang w:eastAsia="en-US"/>
        </w:rPr>
        <w:t>στην Ελλάδα σ</w:t>
      </w:r>
      <w:r w:rsidR="0008006C" w:rsidRPr="005525C5">
        <w:rPr>
          <w:rFonts w:asciiTheme="minorHAnsi" w:eastAsiaTheme="minorHAnsi" w:hAnsiTheme="minorHAnsi"/>
          <w:szCs w:val="22"/>
          <w:lang w:eastAsia="en-US"/>
        </w:rPr>
        <w:t>το</w:t>
      </w:r>
      <w:r w:rsidRPr="005525C5">
        <w:rPr>
          <w:rFonts w:asciiTheme="minorHAnsi" w:eastAsiaTheme="minorHAnsi" w:hAnsiTheme="minorHAnsi"/>
          <w:szCs w:val="22"/>
          <w:lang w:eastAsia="en-US"/>
        </w:rPr>
        <w:t xml:space="preserve"> 51,2%</w:t>
      </w:r>
      <w:r w:rsidR="0008006C" w:rsidRPr="005525C5">
        <w:rPr>
          <w:rFonts w:asciiTheme="minorHAnsi" w:eastAsiaTheme="minorHAnsi" w:hAnsiTheme="minorHAnsi"/>
          <w:szCs w:val="22"/>
          <w:lang w:eastAsia="en-US"/>
        </w:rPr>
        <w:t>,</w:t>
      </w:r>
      <w:r w:rsidRPr="005525C5">
        <w:rPr>
          <w:rFonts w:asciiTheme="minorHAnsi" w:eastAsiaTheme="minorHAnsi" w:hAnsiTheme="minorHAnsi"/>
          <w:szCs w:val="22"/>
          <w:lang w:eastAsia="en-US"/>
        </w:rPr>
        <w:t xml:space="preserve"> </w:t>
      </w:r>
      <w:r w:rsidR="0008006C" w:rsidRPr="005525C5">
        <w:rPr>
          <w:rFonts w:asciiTheme="minorHAnsi" w:eastAsiaTheme="minorHAnsi" w:hAnsiTheme="minorHAnsi"/>
          <w:szCs w:val="22"/>
          <w:lang w:eastAsia="en-US"/>
        </w:rPr>
        <w:t>σε σύγκριση με την</w:t>
      </w:r>
      <w:r w:rsidRPr="005525C5">
        <w:rPr>
          <w:rFonts w:asciiTheme="minorHAnsi" w:eastAsiaTheme="minorHAnsi" w:hAnsiTheme="minorHAnsi"/>
          <w:szCs w:val="22"/>
          <w:lang w:eastAsia="en-US"/>
        </w:rPr>
        <w:t xml:space="preserve"> Ευρώπη των 28</w:t>
      </w:r>
      <w:r w:rsidR="0008006C" w:rsidRPr="005525C5">
        <w:rPr>
          <w:rFonts w:asciiTheme="minorHAnsi" w:eastAsiaTheme="minorHAnsi" w:hAnsiTheme="minorHAnsi"/>
          <w:szCs w:val="22"/>
          <w:lang w:eastAsia="en-US"/>
        </w:rPr>
        <w:t xml:space="preserve">, όπου ο ίδιος δείκτης ήταν στο </w:t>
      </w:r>
      <w:r w:rsidRPr="005525C5">
        <w:rPr>
          <w:rFonts w:asciiTheme="minorHAnsi" w:eastAsiaTheme="minorHAnsi" w:hAnsiTheme="minorHAnsi"/>
          <w:szCs w:val="22"/>
          <w:lang w:eastAsia="en-US"/>
        </w:rPr>
        <w:t>21,2% (EUROSTAT 2015).</w:t>
      </w:r>
    </w:p>
    <w:p w:rsidR="0041285F" w:rsidRPr="005525C5" w:rsidRDefault="0041285F" w:rsidP="00B57015">
      <w:pPr>
        <w:spacing w:line="400" w:lineRule="atLeast"/>
        <w:ind w:firstLine="720"/>
        <w:jc w:val="both"/>
        <w:rPr>
          <w:rFonts w:asciiTheme="minorHAnsi" w:eastAsiaTheme="minorHAnsi" w:hAnsiTheme="minorHAnsi"/>
          <w:szCs w:val="22"/>
          <w:lang w:eastAsia="en-US"/>
        </w:rPr>
      </w:pPr>
      <w:r w:rsidRPr="005525C5">
        <w:rPr>
          <w:rFonts w:asciiTheme="minorHAnsi" w:eastAsiaTheme="minorHAnsi" w:hAnsiTheme="minorHAnsi"/>
          <w:szCs w:val="22"/>
          <w:lang w:eastAsia="en-US"/>
        </w:rPr>
        <w:t xml:space="preserve">Το 2012, </w:t>
      </w:r>
      <w:r w:rsidR="002F6284" w:rsidRPr="005525C5">
        <w:rPr>
          <w:rFonts w:asciiTheme="minorHAnsi" w:eastAsiaTheme="minorHAnsi" w:hAnsiTheme="minorHAnsi"/>
          <w:szCs w:val="22"/>
          <w:lang w:eastAsia="en-US"/>
        </w:rPr>
        <w:t>το ποσοστό ανθρώπων που εκτ</w:t>
      </w:r>
      <w:r w:rsidR="0008006C" w:rsidRPr="005525C5">
        <w:rPr>
          <w:rFonts w:asciiTheme="minorHAnsi" w:eastAsiaTheme="minorHAnsi" w:hAnsiTheme="minorHAnsi"/>
          <w:szCs w:val="22"/>
          <w:lang w:eastAsia="en-US"/>
        </w:rPr>
        <w:t>έθηκε</w:t>
      </w:r>
      <w:r w:rsidR="002F6284" w:rsidRPr="005525C5">
        <w:rPr>
          <w:rFonts w:asciiTheme="minorHAnsi" w:eastAsiaTheme="minorHAnsi" w:hAnsiTheme="minorHAnsi"/>
          <w:szCs w:val="22"/>
          <w:lang w:eastAsia="en-US"/>
        </w:rPr>
        <w:t xml:space="preserve"> στον κίνδυνο της φτώχιας ή του κοινωνικού αποκλεισμού στην </w:t>
      </w:r>
      <w:r w:rsidR="009A1C6B" w:rsidRPr="005525C5">
        <w:rPr>
          <w:rFonts w:asciiTheme="minorHAnsi" w:eastAsiaTheme="minorHAnsi" w:hAnsiTheme="minorHAnsi"/>
          <w:szCs w:val="22"/>
          <w:lang w:eastAsia="en-US"/>
        </w:rPr>
        <w:t>Ευρωπαϊκή</w:t>
      </w:r>
      <w:r w:rsidR="002F6284" w:rsidRPr="005525C5">
        <w:rPr>
          <w:rFonts w:asciiTheme="minorHAnsi" w:eastAsiaTheme="minorHAnsi" w:hAnsiTheme="minorHAnsi"/>
          <w:szCs w:val="22"/>
          <w:lang w:eastAsia="en-US"/>
        </w:rPr>
        <w:t xml:space="preserve"> </w:t>
      </w:r>
      <w:r w:rsidR="009A1C6B" w:rsidRPr="005525C5">
        <w:rPr>
          <w:rFonts w:asciiTheme="minorHAnsi" w:eastAsiaTheme="minorHAnsi" w:hAnsiTheme="minorHAnsi"/>
          <w:szCs w:val="22"/>
          <w:lang w:eastAsia="en-US"/>
        </w:rPr>
        <w:t>Ένωση</w:t>
      </w:r>
      <w:r w:rsidR="002F6284" w:rsidRPr="005525C5">
        <w:rPr>
          <w:rFonts w:asciiTheme="minorHAnsi" w:eastAsiaTheme="minorHAnsi" w:hAnsiTheme="minorHAnsi"/>
          <w:szCs w:val="22"/>
          <w:lang w:eastAsia="en-US"/>
        </w:rPr>
        <w:t xml:space="preserve"> </w:t>
      </w:r>
      <w:r w:rsidR="0008006C" w:rsidRPr="005525C5">
        <w:rPr>
          <w:rFonts w:asciiTheme="minorHAnsi" w:eastAsiaTheme="minorHAnsi" w:hAnsiTheme="minorHAnsi"/>
          <w:szCs w:val="22"/>
          <w:lang w:eastAsia="en-US"/>
        </w:rPr>
        <w:t>αν</w:t>
      </w:r>
      <w:r w:rsidR="002F6284" w:rsidRPr="005525C5">
        <w:rPr>
          <w:rFonts w:asciiTheme="minorHAnsi" w:eastAsiaTheme="minorHAnsi" w:hAnsiTheme="minorHAnsi"/>
          <w:szCs w:val="22"/>
          <w:lang w:eastAsia="en-US"/>
        </w:rPr>
        <w:t>ή</w:t>
      </w:r>
      <w:r w:rsidR="0008006C" w:rsidRPr="005525C5">
        <w:rPr>
          <w:rFonts w:asciiTheme="minorHAnsi" w:eastAsiaTheme="minorHAnsi" w:hAnsiTheme="minorHAnsi"/>
          <w:szCs w:val="22"/>
          <w:lang w:eastAsia="en-US"/>
        </w:rPr>
        <w:t>λθε στο</w:t>
      </w:r>
      <w:r w:rsidR="002F6284" w:rsidRPr="005525C5">
        <w:rPr>
          <w:rFonts w:asciiTheme="minorHAnsi" w:eastAsiaTheme="minorHAnsi" w:hAnsiTheme="minorHAnsi"/>
          <w:szCs w:val="22"/>
          <w:lang w:eastAsia="en-US"/>
        </w:rPr>
        <w:t xml:space="preserve"> 24,8%</w:t>
      </w:r>
      <w:r w:rsidR="0008006C" w:rsidRPr="005525C5">
        <w:rPr>
          <w:rFonts w:asciiTheme="minorHAnsi" w:eastAsiaTheme="minorHAnsi" w:hAnsiTheme="minorHAnsi"/>
          <w:szCs w:val="22"/>
          <w:lang w:eastAsia="en-US"/>
        </w:rPr>
        <w:t>,</w:t>
      </w:r>
      <w:r w:rsidR="002F6284" w:rsidRPr="005525C5">
        <w:rPr>
          <w:rFonts w:asciiTheme="minorHAnsi" w:eastAsiaTheme="minorHAnsi" w:hAnsiTheme="minorHAnsi"/>
          <w:szCs w:val="22"/>
          <w:lang w:eastAsia="en-US"/>
        </w:rPr>
        <w:t xml:space="preserve"> ενώ στην Ελλάδα, έφθασε το 34,6%, ποσοστό που </w:t>
      </w:r>
      <w:r w:rsidR="00147805" w:rsidRPr="005525C5">
        <w:rPr>
          <w:rFonts w:asciiTheme="minorHAnsi" w:eastAsiaTheme="minorHAnsi" w:hAnsiTheme="minorHAnsi"/>
          <w:szCs w:val="22"/>
          <w:lang w:eastAsia="en-US"/>
        </w:rPr>
        <w:t xml:space="preserve">αντιπροσωπεύει ένα από τα υψηλότερα ποσοστά στην </w:t>
      </w:r>
      <w:r w:rsidR="009A1C6B" w:rsidRPr="005525C5">
        <w:rPr>
          <w:rFonts w:asciiTheme="minorHAnsi" w:eastAsiaTheme="minorHAnsi" w:hAnsiTheme="minorHAnsi"/>
          <w:szCs w:val="22"/>
          <w:lang w:eastAsia="en-US"/>
        </w:rPr>
        <w:t>Ευρώπη</w:t>
      </w:r>
      <w:r w:rsidR="00147805" w:rsidRPr="005525C5">
        <w:rPr>
          <w:rFonts w:asciiTheme="minorHAnsi" w:eastAsiaTheme="minorHAnsi" w:hAnsiTheme="minorHAnsi"/>
          <w:szCs w:val="22"/>
          <w:lang w:eastAsia="en-US"/>
        </w:rPr>
        <w:t xml:space="preserve"> των 28 (EUROSTAT 2015).</w:t>
      </w:r>
    </w:p>
    <w:p w:rsidR="00147805" w:rsidRPr="005525C5" w:rsidRDefault="009A1C6B" w:rsidP="00B57015">
      <w:pPr>
        <w:spacing w:line="400" w:lineRule="atLeast"/>
        <w:ind w:firstLine="720"/>
        <w:jc w:val="both"/>
        <w:rPr>
          <w:rFonts w:asciiTheme="minorHAnsi" w:eastAsiaTheme="minorHAnsi" w:hAnsiTheme="minorHAnsi"/>
          <w:szCs w:val="22"/>
          <w:lang w:eastAsia="en-US"/>
        </w:rPr>
      </w:pPr>
      <w:r w:rsidRPr="005525C5">
        <w:rPr>
          <w:rFonts w:asciiTheme="minorHAnsi" w:eastAsiaTheme="minorHAnsi" w:hAnsiTheme="minorHAnsi"/>
          <w:szCs w:val="22"/>
          <w:lang w:eastAsia="en-US"/>
        </w:rPr>
        <w:t>Όσον</w:t>
      </w:r>
      <w:r w:rsidR="00147805" w:rsidRPr="005525C5">
        <w:rPr>
          <w:rFonts w:asciiTheme="minorHAnsi" w:eastAsiaTheme="minorHAnsi" w:hAnsiTheme="minorHAnsi"/>
          <w:szCs w:val="22"/>
          <w:lang w:eastAsia="en-US"/>
        </w:rPr>
        <w:t xml:space="preserve"> αφορά </w:t>
      </w:r>
      <w:r w:rsidR="0008006C" w:rsidRPr="005525C5">
        <w:rPr>
          <w:rFonts w:asciiTheme="minorHAnsi" w:eastAsiaTheme="minorHAnsi" w:hAnsiTheme="minorHAnsi"/>
          <w:szCs w:val="22"/>
          <w:lang w:eastAsia="en-US"/>
        </w:rPr>
        <w:t>σ</w:t>
      </w:r>
      <w:r w:rsidR="00147805" w:rsidRPr="005525C5">
        <w:rPr>
          <w:rFonts w:asciiTheme="minorHAnsi" w:eastAsiaTheme="minorHAnsi" w:hAnsiTheme="minorHAnsi"/>
          <w:szCs w:val="22"/>
          <w:lang w:eastAsia="en-US"/>
        </w:rPr>
        <w:t xml:space="preserve">την οργάνωση, η Ελλάδα είναι μία από </w:t>
      </w:r>
      <w:r w:rsidR="0008006C" w:rsidRPr="005525C5">
        <w:rPr>
          <w:rFonts w:asciiTheme="minorHAnsi" w:eastAsiaTheme="minorHAnsi" w:hAnsiTheme="minorHAnsi"/>
          <w:szCs w:val="22"/>
          <w:lang w:eastAsia="en-US"/>
        </w:rPr>
        <w:t>τις πιο συγκεντρωτικές</w:t>
      </w:r>
      <w:r w:rsidR="00147805" w:rsidRPr="005525C5">
        <w:rPr>
          <w:rFonts w:asciiTheme="minorHAnsi" w:eastAsiaTheme="minorHAnsi" w:hAnsiTheme="minorHAnsi"/>
          <w:szCs w:val="22"/>
          <w:lang w:eastAsia="en-US"/>
        </w:rPr>
        <w:t xml:space="preserve"> </w:t>
      </w:r>
      <w:r w:rsidRPr="005525C5">
        <w:rPr>
          <w:rFonts w:asciiTheme="minorHAnsi" w:eastAsiaTheme="minorHAnsi" w:hAnsiTheme="minorHAnsi"/>
          <w:szCs w:val="22"/>
          <w:lang w:eastAsia="en-US"/>
        </w:rPr>
        <w:t>ευρωπαϊκές</w:t>
      </w:r>
      <w:r w:rsidR="00147805" w:rsidRPr="005525C5">
        <w:rPr>
          <w:rFonts w:asciiTheme="minorHAnsi" w:eastAsiaTheme="minorHAnsi" w:hAnsiTheme="minorHAnsi"/>
          <w:szCs w:val="22"/>
          <w:lang w:eastAsia="en-US"/>
        </w:rPr>
        <w:t xml:space="preserve"> χώρες </w:t>
      </w:r>
      <w:r w:rsidR="0008006C" w:rsidRPr="005525C5">
        <w:rPr>
          <w:rFonts w:asciiTheme="minorHAnsi" w:eastAsiaTheme="minorHAnsi" w:hAnsiTheme="minorHAnsi"/>
          <w:szCs w:val="22"/>
          <w:lang w:eastAsia="en-US"/>
        </w:rPr>
        <w:t>της ΕΕ, με την</w:t>
      </w:r>
      <w:r w:rsidR="00147805" w:rsidRPr="005525C5">
        <w:rPr>
          <w:rFonts w:asciiTheme="minorHAnsi" w:eastAsiaTheme="minorHAnsi" w:hAnsiTheme="minorHAnsi"/>
          <w:szCs w:val="22"/>
          <w:lang w:eastAsia="en-US"/>
        </w:rPr>
        <w:t xml:space="preserve"> τοπική αυτοδιοίκηση </w:t>
      </w:r>
      <w:r w:rsidR="0008006C" w:rsidRPr="005525C5">
        <w:rPr>
          <w:rFonts w:asciiTheme="minorHAnsi" w:eastAsiaTheme="minorHAnsi" w:hAnsiTheme="minorHAnsi"/>
          <w:szCs w:val="22"/>
          <w:lang w:eastAsia="en-US"/>
        </w:rPr>
        <w:t xml:space="preserve">να έχει </w:t>
      </w:r>
      <w:r w:rsidR="00147805" w:rsidRPr="005525C5">
        <w:rPr>
          <w:rFonts w:asciiTheme="minorHAnsi" w:eastAsiaTheme="minorHAnsi" w:hAnsiTheme="minorHAnsi"/>
          <w:szCs w:val="22"/>
          <w:lang w:eastAsia="en-US"/>
        </w:rPr>
        <w:t xml:space="preserve">περιορισμένες αρμοδιότητες, λόγω </w:t>
      </w:r>
      <w:r w:rsidR="0008006C" w:rsidRPr="005525C5">
        <w:rPr>
          <w:rFonts w:asciiTheme="minorHAnsi" w:eastAsiaTheme="minorHAnsi" w:hAnsiTheme="minorHAnsi"/>
          <w:szCs w:val="22"/>
          <w:lang w:eastAsia="en-US"/>
        </w:rPr>
        <w:t xml:space="preserve">της </w:t>
      </w:r>
      <w:r w:rsidR="00147805" w:rsidRPr="005525C5">
        <w:rPr>
          <w:rFonts w:asciiTheme="minorHAnsi" w:eastAsiaTheme="minorHAnsi" w:hAnsiTheme="minorHAnsi"/>
          <w:szCs w:val="22"/>
          <w:lang w:eastAsia="en-US"/>
        </w:rPr>
        <w:t xml:space="preserve">ύπαρξης μίας </w:t>
      </w:r>
      <w:r w:rsidR="0008006C" w:rsidRPr="005525C5">
        <w:rPr>
          <w:rFonts w:asciiTheme="minorHAnsi" w:eastAsiaTheme="minorHAnsi" w:hAnsiTheme="minorHAnsi"/>
          <w:szCs w:val="22"/>
          <w:lang w:eastAsia="en-US"/>
        </w:rPr>
        <w:t xml:space="preserve">παραδοσιακά ισχυρής </w:t>
      </w:r>
      <w:r w:rsidR="00147805" w:rsidRPr="005525C5">
        <w:rPr>
          <w:rFonts w:asciiTheme="minorHAnsi" w:eastAsiaTheme="minorHAnsi" w:hAnsiTheme="minorHAnsi"/>
          <w:szCs w:val="22"/>
          <w:lang w:eastAsia="en-US"/>
        </w:rPr>
        <w:t>κεντρικής κυβέρνησης</w:t>
      </w:r>
      <w:r w:rsidR="005525C5" w:rsidRPr="005525C5">
        <w:rPr>
          <w:rFonts w:asciiTheme="minorHAnsi" w:eastAsiaTheme="minorHAnsi" w:hAnsiTheme="minorHAnsi"/>
          <w:szCs w:val="22"/>
          <w:lang w:eastAsia="en-US"/>
        </w:rPr>
        <w:t xml:space="preserve"> </w:t>
      </w:r>
      <w:r w:rsidR="00147805" w:rsidRPr="005525C5">
        <w:rPr>
          <w:rFonts w:asciiTheme="minorHAnsi" w:eastAsiaTheme="minorHAnsi" w:hAnsiTheme="minorHAnsi"/>
          <w:szCs w:val="22"/>
          <w:lang w:eastAsia="en-US"/>
        </w:rPr>
        <w:t xml:space="preserve">(DEXIA – Συμβούλιο </w:t>
      </w:r>
      <w:r w:rsidRPr="005525C5">
        <w:rPr>
          <w:rFonts w:asciiTheme="minorHAnsi" w:eastAsiaTheme="minorHAnsi" w:hAnsiTheme="minorHAnsi"/>
          <w:szCs w:val="22"/>
          <w:lang w:eastAsia="en-US"/>
        </w:rPr>
        <w:t>Ευρωπαϊκών</w:t>
      </w:r>
      <w:r w:rsidR="00147805" w:rsidRPr="005525C5">
        <w:rPr>
          <w:rFonts w:asciiTheme="minorHAnsi" w:eastAsiaTheme="minorHAnsi" w:hAnsiTheme="minorHAnsi"/>
          <w:szCs w:val="22"/>
          <w:lang w:eastAsia="en-US"/>
        </w:rPr>
        <w:t xml:space="preserve"> Δήμων και Περιφερειών 2012).</w:t>
      </w:r>
    </w:p>
    <w:p w:rsidR="00D4121B" w:rsidRPr="005525C5" w:rsidRDefault="004063A7" w:rsidP="00B57015">
      <w:pPr>
        <w:spacing w:line="400" w:lineRule="atLeast"/>
        <w:ind w:firstLine="720"/>
        <w:jc w:val="both"/>
        <w:rPr>
          <w:rFonts w:asciiTheme="minorHAnsi" w:eastAsiaTheme="minorHAnsi" w:hAnsiTheme="minorHAnsi"/>
          <w:szCs w:val="22"/>
          <w:lang w:eastAsia="en-US"/>
        </w:rPr>
      </w:pPr>
      <w:r w:rsidRPr="005525C5">
        <w:rPr>
          <w:rFonts w:asciiTheme="minorHAnsi" w:eastAsiaTheme="minorHAnsi" w:hAnsiTheme="minorHAnsi"/>
          <w:szCs w:val="22"/>
          <w:lang w:eastAsia="en-US"/>
        </w:rPr>
        <w:t xml:space="preserve">Μετά από τις τελευταίες </w:t>
      </w:r>
      <w:r w:rsidR="00F96838" w:rsidRPr="005525C5">
        <w:rPr>
          <w:rFonts w:asciiTheme="minorHAnsi" w:eastAsiaTheme="minorHAnsi" w:hAnsiTheme="minorHAnsi"/>
          <w:szCs w:val="22"/>
          <w:lang w:eastAsia="en-US"/>
        </w:rPr>
        <w:t xml:space="preserve">μεταρρυθμίσεις που επέφεραν μία εδαφική αναδιοργάνωση, η Ελλάδα </w:t>
      </w:r>
      <w:r w:rsidR="0008006C" w:rsidRPr="005525C5">
        <w:rPr>
          <w:rFonts w:asciiTheme="minorHAnsi" w:eastAsiaTheme="minorHAnsi" w:hAnsiTheme="minorHAnsi"/>
          <w:szCs w:val="22"/>
          <w:lang w:eastAsia="en-US"/>
        </w:rPr>
        <w:t xml:space="preserve">προχώρησε σε διοικητική μεταρρύθμιση των δήμων </w:t>
      </w:r>
      <w:r w:rsidR="00D4121B" w:rsidRPr="005525C5">
        <w:rPr>
          <w:rFonts w:asciiTheme="minorHAnsi" w:eastAsiaTheme="minorHAnsi" w:hAnsiTheme="minorHAnsi"/>
          <w:szCs w:val="22"/>
          <w:lang w:eastAsia="en-US"/>
        </w:rPr>
        <w:t xml:space="preserve">μέσω του </w:t>
      </w:r>
      <w:r w:rsidR="009A1C6B" w:rsidRPr="005525C5">
        <w:rPr>
          <w:rFonts w:asciiTheme="minorHAnsi" w:eastAsiaTheme="minorHAnsi" w:hAnsiTheme="minorHAnsi"/>
          <w:szCs w:val="22"/>
          <w:lang w:eastAsia="en-US"/>
        </w:rPr>
        <w:t>Προγράμματος</w:t>
      </w:r>
      <w:r w:rsidR="00D4121B" w:rsidRPr="005525C5">
        <w:rPr>
          <w:rFonts w:asciiTheme="minorHAnsi" w:eastAsiaTheme="minorHAnsi" w:hAnsiTheme="minorHAnsi"/>
          <w:szCs w:val="22"/>
          <w:lang w:eastAsia="en-US"/>
        </w:rPr>
        <w:t xml:space="preserve"> Καλλικράτης (Ν. </w:t>
      </w:r>
      <w:proofErr w:type="spellStart"/>
      <w:r w:rsidR="00D4121B" w:rsidRPr="005525C5">
        <w:rPr>
          <w:rFonts w:asciiTheme="minorHAnsi" w:eastAsiaTheme="minorHAnsi" w:hAnsiTheme="minorHAnsi"/>
          <w:szCs w:val="22"/>
          <w:lang w:eastAsia="en-US"/>
        </w:rPr>
        <w:t>Μπλανάς</w:t>
      </w:r>
      <w:proofErr w:type="spellEnd"/>
      <w:r w:rsidR="00D4121B" w:rsidRPr="005525C5">
        <w:rPr>
          <w:rFonts w:asciiTheme="minorHAnsi" w:eastAsiaTheme="minorHAnsi" w:hAnsiTheme="minorHAnsi"/>
          <w:szCs w:val="22"/>
          <w:lang w:eastAsia="en-US"/>
        </w:rPr>
        <w:t xml:space="preserve"> και άλλοι, 2014 και DEXIA – Συμβούλιο </w:t>
      </w:r>
      <w:r w:rsidR="009A1C6B" w:rsidRPr="005525C5">
        <w:rPr>
          <w:rFonts w:asciiTheme="minorHAnsi" w:eastAsiaTheme="minorHAnsi" w:hAnsiTheme="minorHAnsi"/>
          <w:szCs w:val="22"/>
          <w:lang w:eastAsia="en-US"/>
        </w:rPr>
        <w:t>Ευρωπαϊκών</w:t>
      </w:r>
      <w:r w:rsidR="00D4121B" w:rsidRPr="005525C5">
        <w:rPr>
          <w:rFonts w:asciiTheme="minorHAnsi" w:eastAsiaTheme="minorHAnsi" w:hAnsiTheme="minorHAnsi"/>
          <w:szCs w:val="22"/>
          <w:lang w:eastAsia="en-US"/>
        </w:rPr>
        <w:t xml:space="preserve"> Δήμων και Περιφερειών 2012). Η ελληνική εδαφική μεταρρύθμιση</w:t>
      </w:r>
      <w:r w:rsidR="0008006C" w:rsidRPr="005525C5">
        <w:rPr>
          <w:rFonts w:asciiTheme="minorHAnsi" w:eastAsiaTheme="minorHAnsi" w:hAnsiTheme="minorHAnsi"/>
          <w:szCs w:val="22"/>
          <w:lang w:eastAsia="en-US"/>
        </w:rPr>
        <w:t>,</w:t>
      </w:r>
      <w:r w:rsidR="00D4121B" w:rsidRPr="005525C5">
        <w:rPr>
          <w:rFonts w:asciiTheme="minorHAnsi" w:eastAsiaTheme="minorHAnsi" w:hAnsiTheme="minorHAnsi"/>
          <w:szCs w:val="22"/>
          <w:lang w:eastAsia="en-US"/>
        </w:rPr>
        <w:t xml:space="preserve"> γνωστή </w:t>
      </w:r>
      <w:r w:rsidR="00D4121B" w:rsidRPr="005525C5">
        <w:rPr>
          <w:rFonts w:asciiTheme="minorHAnsi" w:eastAsiaTheme="minorHAnsi" w:hAnsiTheme="minorHAnsi"/>
          <w:szCs w:val="22"/>
          <w:lang w:eastAsia="en-US"/>
        </w:rPr>
        <w:lastRenderedPageBreak/>
        <w:t xml:space="preserve">με το όνομα Καλλικράτης τέθηκε σε εφαρμογή τον Ιανουάριο του 2011, με σκοπό να συμβάλλει στην πρόοδο της αποκέντρωσης και του εκσυγχρονισμού των τοπικών και περιφερειακών διοικήσεων. Ο νέος νόμος, που προετοιμαζόταν για μεγάλο χρονικό διάστημα, υιοθετήθηκε βιαστικά λόγω της αναγκαιότητας του οικονομικού </w:t>
      </w:r>
      <w:proofErr w:type="spellStart"/>
      <w:r w:rsidR="00D4121B" w:rsidRPr="005525C5">
        <w:rPr>
          <w:rFonts w:asciiTheme="minorHAnsi" w:eastAsiaTheme="minorHAnsi" w:hAnsiTheme="minorHAnsi"/>
          <w:szCs w:val="22"/>
          <w:lang w:eastAsia="en-US"/>
        </w:rPr>
        <w:t>εξορθολογισμού</w:t>
      </w:r>
      <w:proofErr w:type="spellEnd"/>
      <w:r w:rsidR="00D4121B" w:rsidRPr="005525C5">
        <w:rPr>
          <w:rFonts w:asciiTheme="minorHAnsi" w:eastAsiaTheme="minorHAnsi" w:hAnsiTheme="minorHAnsi"/>
          <w:szCs w:val="22"/>
          <w:lang w:eastAsia="en-US"/>
        </w:rPr>
        <w:t xml:space="preserve"> και της μείωσης του αριθμού των δημοσίων υπαλλήλων, </w:t>
      </w:r>
      <w:r w:rsidR="0008006C" w:rsidRPr="005525C5">
        <w:rPr>
          <w:rFonts w:asciiTheme="minorHAnsi" w:eastAsiaTheme="minorHAnsi" w:hAnsiTheme="minorHAnsi"/>
          <w:szCs w:val="22"/>
          <w:lang w:eastAsia="en-US"/>
        </w:rPr>
        <w:t xml:space="preserve">ως αποτέλεσμα των μέτρων </w:t>
      </w:r>
      <w:r w:rsidR="00D4121B" w:rsidRPr="005525C5">
        <w:rPr>
          <w:rFonts w:asciiTheme="minorHAnsi" w:eastAsiaTheme="minorHAnsi" w:hAnsiTheme="minorHAnsi"/>
          <w:szCs w:val="22"/>
          <w:lang w:eastAsia="en-US"/>
        </w:rPr>
        <w:t xml:space="preserve">λιτότητας. </w:t>
      </w:r>
      <w:r w:rsidR="008F2375" w:rsidRPr="005525C5">
        <w:rPr>
          <w:rFonts w:asciiTheme="minorHAnsi" w:eastAsiaTheme="minorHAnsi" w:hAnsiTheme="minorHAnsi"/>
          <w:szCs w:val="22"/>
          <w:lang w:eastAsia="en-US"/>
        </w:rPr>
        <w:t xml:space="preserve">(Συμβούλιο </w:t>
      </w:r>
      <w:r w:rsidR="009A1C6B" w:rsidRPr="005525C5">
        <w:rPr>
          <w:rFonts w:asciiTheme="minorHAnsi" w:eastAsiaTheme="minorHAnsi" w:hAnsiTheme="minorHAnsi"/>
          <w:szCs w:val="22"/>
          <w:lang w:eastAsia="en-US"/>
        </w:rPr>
        <w:t>Ευρωπαϊκών</w:t>
      </w:r>
      <w:r w:rsidR="008F2375" w:rsidRPr="005525C5">
        <w:rPr>
          <w:rFonts w:asciiTheme="minorHAnsi" w:eastAsiaTheme="minorHAnsi" w:hAnsiTheme="minorHAnsi"/>
          <w:szCs w:val="22"/>
          <w:lang w:eastAsia="en-US"/>
        </w:rPr>
        <w:t xml:space="preserve"> Δήμων και Περιφερειών 2013</w:t>
      </w:r>
      <w:r w:rsidR="00FC5B08" w:rsidRPr="005525C5">
        <w:rPr>
          <w:rFonts w:asciiTheme="minorHAnsi" w:eastAsiaTheme="minorHAnsi" w:hAnsiTheme="minorHAnsi"/>
          <w:szCs w:val="22"/>
          <w:lang w:eastAsia="en-US"/>
        </w:rPr>
        <w:t>. Η αποκέντρωση σε σταυροδρόμι. Ο</w:t>
      </w:r>
      <w:r w:rsidR="0008006C" w:rsidRPr="005525C5">
        <w:rPr>
          <w:rFonts w:asciiTheme="minorHAnsi" w:eastAsiaTheme="minorHAnsi" w:hAnsiTheme="minorHAnsi"/>
          <w:szCs w:val="22"/>
          <w:lang w:eastAsia="en-US"/>
        </w:rPr>
        <w:t>ι</w:t>
      </w:r>
      <w:r w:rsidR="00FC5B08" w:rsidRPr="005525C5">
        <w:rPr>
          <w:rFonts w:asciiTheme="minorHAnsi" w:eastAsiaTheme="minorHAnsi" w:hAnsiTheme="minorHAnsi"/>
          <w:szCs w:val="22"/>
          <w:lang w:eastAsia="en-US"/>
        </w:rPr>
        <w:t xml:space="preserve"> τοπικές </w:t>
      </w:r>
      <w:r w:rsidR="009A1C6B" w:rsidRPr="005525C5">
        <w:rPr>
          <w:rFonts w:asciiTheme="minorHAnsi" w:eastAsiaTheme="minorHAnsi" w:hAnsiTheme="minorHAnsi"/>
          <w:szCs w:val="22"/>
          <w:lang w:eastAsia="en-US"/>
        </w:rPr>
        <w:t>μεταρρυθμίσεις</w:t>
      </w:r>
      <w:r w:rsidR="00FC5B08" w:rsidRPr="005525C5">
        <w:rPr>
          <w:rFonts w:asciiTheme="minorHAnsi" w:eastAsiaTheme="minorHAnsi" w:hAnsiTheme="minorHAnsi"/>
          <w:szCs w:val="22"/>
          <w:lang w:eastAsia="en-US"/>
        </w:rPr>
        <w:t xml:space="preserve"> στην Ευρώπη σε περίοδο κρίσης). Η εξαντλητική επανεξέταση της τοπικής οργάνωσης της χώρας οδήγησε στην μείωση του αριθμού των δήμων από 1034 σε 325 και στην κατάργηση των 54 νομαρχιών, οι οποίες αντικαταστάθηκαν με 13 περιφέρειες (Ν. </w:t>
      </w:r>
      <w:proofErr w:type="spellStart"/>
      <w:r w:rsidR="00FC5B08" w:rsidRPr="005525C5">
        <w:rPr>
          <w:rFonts w:asciiTheme="minorHAnsi" w:eastAsiaTheme="minorHAnsi" w:hAnsiTheme="minorHAnsi"/>
          <w:szCs w:val="22"/>
          <w:lang w:eastAsia="en-US"/>
        </w:rPr>
        <w:t>ΜΠλάνας</w:t>
      </w:r>
      <w:proofErr w:type="spellEnd"/>
      <w:r w:rsidR="00FC5B08" w:rsidRPr="005525C5">
        <w:rPr>
          <w:rFonts w:asciiTheme="minorHAnsi" w:eastAsiaTheme="minorHAnsi" w:hAnsiTheme="minorHAnsi"/>
          <w:szCs w:val="22"/>
          <w:lang w:eastAsia="en-US"/>
        </w:rPr>
        <w:t xml:space="preserve"> και άλλοι, 2014). Το πρόγραμμα Καλλικράτης συνέβαλλε στην εξέλιξη της καθετοποιημένης κατανομής των αρμοδιοτήτων υπέρ των δήμων</w:t>
      </w:r>
      <w:r w:rsidR="0008006C" w:rsidRPr="005525C5">
        <w:rPr>
          <w:rFonts w:asciiTheme="minorHAnsi" w:eastAsiaTheme="minorHAnsi" w:hAnsiTheme="minorHAnsi"/>
          <w:szCs w:val="22"/>
          <w:lang w:eastAsia="en-US"/>
        </w:rPr>
        <w:t>,</w:t>
      </w:r>
      <w:r w:rsidR="00FC5B08" w:rsidRPr="005525C5">
        <w:rPr>
          <w:rFonts w:asciiTheme="minorHAnsi" w:eastAsiaTheme="minorHAnsi" w:hAnsiTheme="minorHAnsi"/>
          <w:szCs w:val="22"/>
          <w:lang w:eastAsia="en-US"/>
        </w:rPr>
        <w:t xml:space="preserve"> </w:t>
      </w:r>
      <w:r w:rsidR="00981024" w:rsidRPr="005525C5">
        <w:rPr>
          <w:rFonts w:asciiTheme="minorHAnsi" w:eastAsiaTheme="minorHAnsi" w:hAnsiTheme="minorHAnsi"/>
          <w:szCs w:val="22"/>
          <w:lang w:eastAsia="en-US"/>
        </w:rPr>
        <w:t xml:space="preserve">ενίσχυσε τις εξουσίες </w:t>
      </w:r>
      <w:r w:rsidR="0008006C" w:rsidRPr="005525C5">
        <w:rPr>
          <w:rFonts w:asciiTheme="minorHAnsi" w:eastAsiaTheme="minorHAnsi" w:hAnsiTheme="minorHAnsi"/>
          <w:szCs w:val="22"/>
          <w:lang w:eastAsia="en-US"/>
        </w:rPr>
        <w:t>τους, αναθέτοντας</w:t>
      </w:r>
      <w:r w:rsidR="005525C5" w:rsidRPr="005525C5">
        <w:rPr>
          <w:rFonts w:asciiTheme="minorHAnsi" w:eastAsiaTheme="minorHAnsi" w:hAnsiTheme="minorHAnsi"/>
          <w:szCs w:val="22"/>
          <w:lang w:eastAsia="en-US"/>
        </w:rPr>
        <w:t xml:space="preserve"> </w:t>
      </w:r>
      <w:r w:rsidR="00981024" w:rsidRPr="005525C5">
        <w:rPr>
          <w:rFonts w:asciiTheme="minorHAnsi" w:eastAsiaTheme="minorHAnsi" w:hAnsiTheme="minorHAnsi"/>
          <w:szCs w:val="22"/>
          <w:lang w:eastAsia="en-US"/>
        </w:rPr>
        <w:t xml:space="preserve">νέα καθήκοντα στις </w:t>
      </w:r>
      <w:r w:rsidR="0008006C" w:rsidRPr="005525C5">
        <w:rPr>
          <w:rFonts w:asciiTheme="minorHAnsi" w:eastAsiaTheme="minorHAnsi" w:hAnsiTheme="minorHAnsi"/>
          <w:szCs w:val="22"/>
          <w:lang w:eastAsia="en-US"/>
        </w:rPr>
        <w:t xml:space="preserve">τοπικές </w:t>
      </w:r>
      <w:r w:rsidR="00981024" w:rsidRPr="005525C5">
        <w:rPr>
          <w:rFonts w:asciiTheme="minorHAnsi" w:eastAsiaTheme="minorHAnsi" w:hAnsiTheme="minorHAnsi"/>
          <w:szCs w:val="22"/>
          <w:lang w:eastAsia="en-US"/>
        </w:rPr>
        <w:t xml:space="preserve">αρχές και διευρύνοντας τις θητείες των αιρετών σε τοπικό επίπεδο από τέσσερα σε πέντε έτη (Συμβούλιο </w:t>
      </w:r>
      <w:r w:rsidR="009A1C6B" w:rsidRPr="005525C5">
        <w:rPr>
          <w:rFonts w:asciiTheme="minorHAnsi" w:eastAsiaTheme="minorHAnsi" w:hAnsiTheme="minorHAnsi"/>
          <w:szCs w:val="22"/>
          <w:lang w:eastAsia="en-US"/>
        </w:rPr>
        <w:t>Ευρωπαϊκών</w:t>
      </w:r>
      <w:r w:rsidR="00981024" w:rsidRPr="005525C5">
        <w:rPr>
          <w:rFonts w:asciiTheme="minorHAnsi" w:eastAsiaTheme="minorHAnsi" w:hAnsiTheme="minorHAnsi"/>
          <w:szCs w:val="22"/>
          <w:lang w:eastAsia="en-US"/>
        </w:rPr>
        <w:t xml:space="preserve"> Δήμων και Περιφερειών 2013. Η αποκέντρωση σε σταυροδρόμι. Ο</w:t>
      </w:r>
      <w:r w:rsidR="0008006C" w:rsidRPr="005525C5">
        <w:rPr>
          <w:rFonts w:asciiTheme="minorHAnsi" w:eastAsiaTheme="minorHAnsi" w:hAnsiTheme="minorHAnsi"/>
          <w:szCs w:val="22"/>
          <w:lang w:eastAsia="en-US"/>
        </w:rPr>
        <w:t>ι</w:t>
      </w:r>
      <w:r w:rsidR="00981024" w:rsidRPr="005525C5">
        <w:rPr>
          <w:rFonts w:asciiTheme="minorHAnsi" w:eastAsiaTheme="minorHAnsi" w:hAnsiTheme="minorHAnsi"/>
          <w:szCs w:val="22"/>
          <w:lang w:eastAsia="en-US"/>
        </w:rPr>
        <w:t xml:space="preserve"> τοπικές </w:t>
      </w:r>
      <w:r w:rsidR="009A1C6B" w:rsidRPr="005525C5">
        <w:rPr>
          <w:rFonts w:asciiTheme="minorHAnsi" w:eastAsiaTheme="minorHAnsi" w:hAnsiTheme="minorHAnsi"/>
          <w:szCs w:val="22"/>
          <w:lang w:eastAsia="en-US"/>
        </w:rPr>
        <w:t>μεταρρυθμίσει</w:t>
      </w:r>
      <w:r w:rsidR="009A1C6B" w:rsidRPr="005525C5">
        <w:rPr>
          <w:rFonts w:asciiTheme="minorHAnsi" w:hAnsiTheme="minorHAnsi" w:cs="Arial"/>
          <w:spacing w:val="40"/>
        </w:rPr>
        <w:t>ς</w:t>
      </w:r>
      <w:r w:rsidR="00981024" w:rsidRPr="005525C5">
        <w:rPr>
          <w:rFonts w:asciiTheme="minorHAnsi" w:eastAsiaTheme="minorHAnsi" w:hAnsiTheme="minorHAnsi"/>
          <w:szCs w:val="22"/>
          <w:lang w:eastAsia="en-US"/>
        </w:rPr>
        <w:t xml:space="preserve"> στην Ευρώπη σε περίοδο κρίσης). Χάρη στο πρόγραμμα Καλλικράτης, χορηγήθηκε μία σειρά αρμοδιοτήτων (εξουσιών) σ</w:t>
      </w:r>
      <w:r w:rsidR="0008006C" w:rsidRPr="005525C5">
        <w:rPr>
          <w:rFonts w:asciiTheme="minorHAnsi" w:eastAsiaTheme="minorHAnsi" w:hAnsiTheme="minorHAnsi"/>
          <w:szCs w:val="22"/>
          <w:lang w:eastAsia="en-US"/>
        </w:rPr>
        <w:t>τους</w:t>
      </w:r>
      <w:r w:rsidR="00981024" w:rsidRPr="005525C5">
        <w:rPr>
          <w:rFonts w:asciiTheme="minorHAnsi" w:eastAsiaTheme="minorHAnsi" w:hAnsiTheme="minorHAnsi"/>
          <w:szCs w:val="22"/>
          <w:lang w:eastAsia="en-US"/>
        </w:rPr>
        <w:t xml:space="preserve"> νέους δήμους, </w:t>
      </w:r>
      <w:r w:rsidR="0008006C" w:rsidRPr="005525C5">
        <w:rPr>
          <w:rFonts w:asciiTheme="minorHAnsi" w:eastAsiaTheme="minorHAnsi" w:hAnsiTheme="minorHAnsi"/>
          <w:szCs w:val="22"/>
          <w:lang w:eastAsia="en-US"/>
        </w:rPr>
        <w:t>όπως</w:t>
      </w:r>
      <w:r w:rsidR="00981024" w:rsidRPr="005525C5">
        <w:rPr>
          <w:rFonts w:asciiTheme="minorHAnsi" w:eastAsiaTheme="minorHAnsi" w:hAnsiTheme="minorHAnsi"/>
          <w:szCs w:val="22"/>
          <w:lang w:eastAsia="en-US"/>
        </w:rPr>
        <w:t xml:space="preserve"> στον τομέα του περιβάλλοντος και </w:t>
      </w:r>
      <w:r w:rsidR="0008006C" w:rsidRPr="005525C5">
        <w:rPr>
          <w:rFonts w:asciiTheme="minorHAnsi" w:eastAsiaTheme="minorHAnsi" w:hAnsiTheme="minorHAnsi"/>
          <w:szCs w:val="22"/>
          <w:lang w:eastAsia="en-US"/>
        </w:rPr>
        <w:t xml:space="preserve">της </w:t>
      </w:r>
      <w:r w:rsidR="00981024" w:rsidRPr="005525C5">
        <w:rPr>
          <w:rFonts w:asciiTheme="minorHAnsi" w:eastAsiaTheme="minorHAnsi" w:hAnsiTheme="minorHAnsi"/>
          <w:szCs w:val="22"/>
          <w:lang w:eastAsia="en-US"/>
        </w:rPr>
        <w:t xml:space="preserve">ποιότητας ζωής, </w:t>
      </w:r>
      <w:r w:rsidR="0008006C" w:rsidRPr="005525C5">
        <w:rPr>
          <w:rFonts w:asciiTheme="minorHAnsi" w:eastAsiaTheme="minorHAnsi" w:hAnsiTheme="minorHAnsi"/>
          <w:szCs w:val="22"/>
          <w:lang w:eastAsia="en-US"/>
        </w:rPr>
        <w:t xml:space="preserve">της </w:t>
      </w:r>
      <w:r w:rsidR="00981024" w:rsidRPr="005525C5">
        <w:rPr>
          <w:rFonts w:asciiTheme="minorHAnsi" w:eastAsiaTheme="minorHAnsi" w:hAnsiTheme="minorHAnsi"/>
          <w:szCs w:val="22"/>
          <w:lang w:eastAsia="en-US"/>
        </w:rPr>
        <w:t xml:space="preserve">υγείας, </w:t>
      </w:r>
      <w:r w:rsidR="0008006C" w:rsidRPr="005525C5">
        <w:rPr>
          <w:rFonts w:asciiTheme="minorHAnsi" w:eastAsiaTheme="minorHAnsi" w:hAnsiTheme="minorHAnsi"/>
          <w:szCs w:val="22"/>
          <w:lang w:eastAsia="en-US"/>
        </w:rPr>
        <w:t xml:space="preserve">της </w:t>
      </w:r>
      <w:r w:rsidR="00981024" w:rsidRPr="005525C5">
        <w:rPr>
          <w:rFonts w:asciiTheme="minorHAnsi" w:eastAsiaTheme="minorHAnsi" w:hAnsiTheme="minorHAnsi"/>
          <w:szCs w:val="22"/>
          <w:lang w:eastAsia="en-US"/>
        </w:rPr>
        <w:t xml:space="preserve">εκπαίδευσης, </w:t>
      </w:r>
      <w:r w:rsidR="0008006C" w:rsidRPr="005525C5">
        <w:rPr>
          <w:rFonts w:asciiTheme="minorHAnsi" w:eastAsiaTheme="minorHAnsi" w:hAnsiTheme="minorHAnsi"/>
          <w:szCs w:val="22"/>
          <w:lang w:eastAsia="en-US"/>
        </w:rPr>
        <w:t xml:space="preserve">του </w:t>
      </w:r>
      <w:r w:rsidR="00981024" w:rsidRPr="005525C5">
        <w:rPr>
          <w:rFonts w:asciiTheme="minorHAnsi" w:eastAsiaTheme="minorHAnsi" w:hAnsiTheme="minorHAnsi"/>
          <w:szCs w:val="22"/>
          <w:lang w:eastAsia="en-US"/>
        </w:rPr>
        <w:t>πολιτισμ</w:t>
      </w:r>
      <w:r w:rsidR="0008006C" w:rsidRPr="005525C5">
        <w:rPr>
          <w:rFonts w:asciiTheme="minorHAnsi" w:eastAsiaTheme="minorHAnsi" w:hAnsiTheme="minorHAnsi"/>
          <w:szCs w:val="22"/>
          <w:lang w:eastAsia="en-US"/>
        </w:rPr>
        <w:t>ού</w:t>
      </w:r>
      <w:r w:rsidR="00981024" w:rsidRPr="005525C5">
        <w:rPr>
          <w:rFonts w:asciiTheme="minorHAnsi" w:eastAsiaTheme="minorHAnsi" w:hAnsiTheme="minorHAnsi"/>
          <w:szCs w:val="22"/>
          <w:lang w:eastAsia="en-US"/>
        </w:rPr>
        <w:t xml:space="preserve"> και αθλητισμ</w:t>
      </w:r>
      <w:r w:rsidR="0008006C" w:rsidRPr="005525C5">
        <w:rPr>
          <w:rFonts w:asciiTheme="minorHAnsi" w:eastAsiaTheme="minorHAnsi" w:hAnsiTheme="minorHAnsi"/>
          <w:szCs w:val="22"/>
          <w:lang w:eastAsia="en-US"/>
        </w:rPr>
        <w:t>ού</w:t>
      </w:r>
      <w:r w:rsidR="00981024" w:rsidRPr="005525C5">
        <w:rPr>
          <w:rFonts w:asciiTheme="minorHAnsi" w:eastAsiaTheme="minorHAnsi" w:hAnsiTheme="minorHAnsi"/>
          <w:szCs w:val="22"/>
          <w:lang w:eastAsia="en-US"/>
        </w:rPr>
        <w:t xml:space="preserve">, </w:t>
      </w:r>
      <w:r w:rsidR="0008006C" w:rsidRPr="005525C5">
        <w:rPr>
          <w:rFonts w:asciiTheme="minorHAnsi" w:eastAsiaTheme="minorHAnsi" w:hAnsiTheme="minorHAnsi"/>
          <w:szCs w:val="22"/>
          <w:lang w:eastAsia="en-US"/>
        </w:rPr>
        <w:t xml:space="preserve">της </w:t>
      </w:r>
      <w:r w:rsidR="00981024" w:rsidRPr="005525C5">
        <w:rPr>
          <w:rFonts w:asciiTheme="minorHAnsi" w:eastAsiaTheme="minorHAnsi" w:hAnsiTheme="minorHAnsi"/>
          <w:szCs w:val="22"/>
          <w:lang w:eastAsia="en-US"/>
        </w:rPr>
        <w:t xml:space="preserve">αγροτικής ανάπτυξης, </w:t>
      </w:r>
      <w:r w:rsidR="0008006C" w:rsidRPr="005525C5">
        <w:rPr>
          <w:rFonts w:asciiTheme="minorHAnsi" w:eastAsiaTheme="minorHAnsi" w:hAnsiTheme="minorHAnsi"/>
          <w:szCs w:val="22"/>
          <w:lang w:eastAsia="en-US"/>
        </w:rPr>
        <w:t xml:space="preserve">της </w:t>
      </w:r>
      <w:r w:rsidR="0001528D" w:rsidRPr="005525C5">
        <w:rPr>
          <w:rFonts w:asciiTheme="minorHAnsi" w:eastAsiaTheme="minorHAnsi" w:hAnsiTheme="minorHAnsi"/>
          <w:szCs w:val="22"/>
          <w:lang w:eastAsia="en-US"/>
        </w:rPr>
        <w:t xml:space="preserve">δασοκομίας, </w:t>
      </w:r>
      <w:r w:rsidR="0008006C" w:rsidRPr="005525C5">
        <w:rPr>
          <w:rFonts w:asciiTheme="minorHAnsi" w:eastAsiaTheme="minorHAnsi" w:hAnsiTheme="minorHAnsi"/>
          <w:szCs w:val="22"/>
          <w:lang w:eastAsia="en-US"/>
        </w:rPr>
        <w:t xml:space="preserve">της </w:t>
      </w:r>
      <w:r w:rsidR="0001528D" w:rsidRPr="005525C5">
        <w:rPr>
          <w:rFonts w:asciiTheme="minorHAnsi" w:eastAsiaTheme="minorHAnsi" w:hAnsiTheme="minorHAnsi"/>
          <w:szCs w:val="22"/>
          <w:lang w:eastAsia="en-US"/>
        </w:rPr>
        <w:t>κτηνοτροφίας και</w:t>
      </w:r>
      <w:r w:rsidR="0008006C" w:rsidRPr="005525C5">
        <w:rPr>
          <w:rFonts w:asciiTheme="minorHAnsi" w:eastAsiaTheme="minorHAnsi" w:hAnsiTheme="minorHAnsi"/>
          <w:szCs w:val="22"/>
          <w:lang w:eastAsia="en-US"/>
        </w:rPr>
        <w:t xml:space="preserve"> </w:t>
      </w:r>
      <w:r w:rsidR="0001528D" w:rsidRPr="005525C5">
        <w:rPr>
          <w:rFonts w:asciiTheme="minorHAnsi" w:eastAsiaTheme="minorHAnsi" w:hAnsiTheme="minorHAnsi"/>
          <w:szCs w:val="22"/>
          <w:lang w:eastAsia="en-US"/>
        </w:rPr>
        <w:t>αλιείας (</w:t>
      </w:r>
      <w:proofErr w:type="spellStart"/>
      <w:r w:rsidR="0001528D" w:rsidRPr="005525C5">
        <w:rPr>
          <w:rFonts w:asciiTheme="minorHAnsi" w:eastAsiaTheme="minorHAnsi" w:hAnsiTheme="minorHAnsi"/>
          <w:szCs w:val="22"/>
          <w:lang w:eastAsia="en-US"/>
        </w:rPr>
        <w:t>Λεουτσάκος</w:t>
      </w:r>
      <w:proofErr w:type="spellEnd"/>
      <w:r w:rsidR="0001528D" w:rsidRPr="005525C5">
        <w:rPr>
          <w:rFonts w:asciiTheme="minorHAnsi" w:eastAsiaTheme="minorHAnsi" w:hAnsiTheme="minorHAnsi"/>
          <w:szCs w:val="22"/>
          <w:lang w:eastAsia="en-US"/>
        </w:rPr>
        <w:t xml:space="preserve">, Α. και άλλοι, 2014). </w:t>
      </w:r>
    </w:p>
    <w:p w:rsidR="0001528D" w:rsidRPr="005525C5" w:rsidRDefault="0001528D" w:rsidP="00B57015">
      <w:pPr>
        <w:spacing w:line="400" w:lineRule="atLeast"/>
        <w:ind w:firstLine="720"/>
        <w:jc w:val="both"/>
        <w:rPr>
          <w:rFonts w:asciiTheme="minorHAnsi" w:eastAsiaTheme="minorHAnsi" w:hAnsiTheme="minorHAnsi"/>
          <w:szCs w:val="22"/>
          <w:lang w:eastAsia="en-US"/>
        </w:rPr>
      </w:pPr>
    </w:p>
    <w:p w:rsidR="0089690D" w:rsidRPr="005F4728" w:rsidRDefault="0089690D" w:rsidP="00B57015">
      <w:pPr>
        <w:spacing w:line="400" w:lineRule="atLeast"/>
        <w:jc w:val="both"/>
        <w:rPr>
          <w:rFonts w:asciiTheme="minorHAnsi" w:eastAsiaTheme="minorHAnsi" w:hAnsiTheme="minorHAnsi"/>
          <w:b/>
          <w:szCs w:val="22"/>
          <w:lang w:eastAsia="en-US"/>
        </w:rPr>
      </w:pPr>
      <w:r w:rsidRPr="005F4728">
        <w:rPr>
          <w:rFonts w:asciiTheme="minorHAnsi" w:eastAsiaTheme="minorHAnsi" w:hAnsiTheme="minorHAnsi"/>
          <w:b/>
          <w:szCs w:val="22"/>
          <w:lang w:eastAsia="en-US"/>
        </w:rPr>
        <w:t xml:space="preserve">2. </w:t>
      </w:r>
      <w:r w:rsidR="00520B98" w:rsidRPr="005F4728">
        <w:rPr>
          <w:rFonts w:asciiTheme="minorHAnsi" w:eastAsiaTheme="minorHAnsi" w:hAnsiTheme="minorHAnsi"/>
          <w:b/>
          <w:szCs w:val="22"/>
          <w:lang w:eastAsia="en-US"/>
        </w:rPr>
        <w:t>Έσοδα</w:t>
      </w:r>
      <w:r w:rsidR="001F00BE" w:rsidRPr="005F4728">
        <w:rPr>
          <w:rFonts w:asciiTheme="minorHAnsi" w:eastAsiaTheme="minorHAnsi" w:hAnsiTheme="minorHAnsi"/>
          <w:b/>
          <w:szCs w:val="22"/>
          <w:lang w:eastAsia="en-US"/>
        </w:rPr>
        <w:t xml:space="preserve"> του </w:t>
      </w:r>
      <w:r w:rsidRPr="005F4728">
        <w:rPr>
          <w:rFonts w:asciiTheme="minorHAnsi" w:eastAsiaTheme="minorHAnsi" w:hAnsiTheme="minorHAnsi"/>
          <w:b/>
          <w:szCs w:val="22"/>
          <w:lang w:eastAsia="en-US"/>
        </w:rPr>
        <w:t xml:space="preserve">εθνικού και </w:t>
      </w:r>
      <w:proofErr w:type="spellStart"/>
      <w:r w:rsidRPr="005F4728">
        <w:rPr>
          <w:rFonts w:asciiTheme="minorHAnsi" w:eastAsiaTheme="minorHAnsi" w:hAnsiTheme="minorHAnsi"/>
          <w:b/>
          <w:szCs w:val="22"/>
          <w:lang w:eastAsia="en-US"/>
        </w:rPr>
        <w:t>υποεθνικού</w:t>
      </w:r>
      <w:proofErr w:type="spellEnd"/>
      <w:r w:rsidRPr="005F4728">
        <w:rPr>
          <w:rFonts w:asciiTheme="minorHAnsi" w:eastAsiaTheme="minorHAnsi" w:hAnsiTheme="minorHAnsi"/>
          <w:b/>
          <w:szCs w:val="22"/>
          <w:lang w:eastAsia="en-US"/>
        </w:rPr>
        <w:t xml:space="preserve"> </w:t>
      </w:r>
      <w:r w:rsidR="001F00BE" w:rsidRPr="005F4728">
        <w:rPr>
          <w:rFonts w:asciiTheme="minorHAnsi" w:eastAsiaTheme="minorHAnsi" w:hAnsiTheme="minorHAnsi"/>
          <w:b/>
          <w:szCs w:val="22"/>
          <w:lang w:eastAsia="en-US"/>
        </w:rPr>
        <w:t>Δημοσίου το</w:t>
      </w:r>
      <w:r w:rsidRPr="005F4728">
        <w:rPr>
          <w:rFonts w:asciiTheme="minorHAnsi" w:eastAsiaTheme="minorHAnsi" w:hAnsiTheme="minorHAnsi"/>
          <w:b/>
          <w:szCs w:val="22"/>
          <w:lang w:eastAsia="en-US"/>
        </w:rPr>
        <w:t>μέα</w:t>
      </w:r>
    </w:p>
    <w:p w:rsidR="00452D3F" w:rsidRPr="005525C5" w:rsidRDefault="001F00BE" w:rsidP="00B57015">
      <w:pPr>
        <w:spacing w:line="400" w:lineRule="atLeast"/>
        <w:ind w:firstLine="720"/>
        <w:jc w:val="both"/>
        <w:rPr>
          <w:rFonts w:asciiTheme="minorHAnsi" w:eastAsiaTheme="minorHAnsi" w:hAnsiTheme="minorHAnsi"/>
          <w:szCs w:val="22"/>
          <w:lang w:eastAsia="en-US"/>
        </w:rPr>
      </w:pPr>
      <w:r w:rsidRPr="005525C5">
        <w:rPr>
          <w:rFonts w:asciiTheme="minorHAnsi" w:eastAsiaTheme="minorHAnsi" w:hAnsiTheme="minorHAnsi"/>
          <w:szCs w:val="22"/>
          <w:lang w:eastAsia="en-US"/>
        </w:rPr>
        <w:t>Το ποσοστό των συνολικών εσόδων του εθνικού</w:t>
      </w:r>
      <w:r w:rsidR="000A7480" w:rsidRPr="005525C5">
        <w:rPr>
          <w:rFonts w:eastAsiaTheme="minorHAnsi"/>
          <w:szCs w:val="22"/>
          <w:lang w:eastAsia="en-US"/>
        </w:rPr>
        <w:footnoteReference w:id="2"/>
      </w:r>
      <w:r w:rsidRPr="005525C5">
        <w:rPr>
          <w:rFonts w:asciiTheme="minorHAnsi" w:eastAsiaTheme="minorHAnsi" w:hAnsiTheme="minorHAnsi"/>
          <w:szCs w:val="22"/>
          <w:lang w:eastAsia="en-US"/>
        </w:rPr>
        <w:t xml:space="preserve"> δημόσιου</w:t>
      </w:r>
      <w:r w:rsidR="000A7480" w:rsidRPr="005525C5">
        <w:rPr>
          <w:rFonts w:asciiTheme="minorHAnsi" w:eastAsiaTheme="minorHAnsi" w:hAnsiTheme="minorHAnsi"/>
          <w:szCs w:val="22"/>
          <w:lang w:eastAsia="en-US"/>
        </w:rPr>
        <w:t xml:space="preserve"> τομέα του ΑΕΠ είναι παρόμοιο με εκείνο της Ευρώπης των 27 </w:t>
      </w:r>
      <w:r w:rsidR="004F0F70" w:rsidRPr="005525C5">
        <w:rPr>
          <w:rFonts w:asciiTheme="minorHAnsi" w:eastAsiaTheme="minorHAnsi" w:hAnsiTheme="minorHAnsi"/>
          <w:szCs w:val="22"/>
          <w:lang w:eastAsia="en-US"/>
        </w:rPr>
        <w:t xml:space="preserve">(44,7% του ΑΕΠ) και στην Ελλάδα (42,3% του ΑΕΠ) αλλά τα συνολικά </w:t>
      </w:r>
      <w:r w:rsidR="00E257EC" w:rsidRPr="005525C5">
        <w:rPr>
          <w:rFonts w:asciiTheme="minorHAnsi" w:eastAsiaTheme="minorHAnsi" w:hAnsiTheme="minorHAnsi"/>
          <w:szCs w:val="22"/>
          <w:lang w:eastAsia="en-US"/>
        </w:rPr>
        <w:t xml:space="preserve">κατά κεφαλήν </w:t>
      </w:r>
      <w:r w:rsidR="004F0F70" w:rsidRPr="005525C5">
        <w:rPr>
          <w:rFonts w:asciiTheme="minorHAnsi" w:eastAsiaTheme="minorHAnsi" w:hAnsiTheme="minorHAnsi"/>
          <w:szCs w:val="22"/>
          <w:lang w:eastAsia="en-US"/>
        </w:rPr>
        <w:t xml:space="preserve">έσοδα του δημοσίου τομέα είναι </w:t>
      </w:r>
      <w:r w:rsidR="00E257EC" w:rsidRPr="005525C5">
        <w:rPr>
          <w:rFonts w:asciiTheme="minorHAnsi" w:eastAsiaTheme="minorHAnsi" w:hAnsiTheme="minorHAnsi"/>
          <w:szCs w:val="22"/>
          <w:lang w:eastAsia="en-US"/>
        </w:rPr>
        <w:t>μικρότερα</w:t>
      </w:r>
      <w:r w:rsidR="004F0F70" w:rsidRPr="005525C5">
        <w:rPr>
          <w:rFonts w:asciiTheme="minorHAnsi" w:eastAsiaTheme="minorHAnsi" w:hAnsiTheme="minorHAnsi"/>
          <w:szCs w:val="22"/>
          <w:lang w:eastAsia="en-US"/>
        </w:rPr>
        <w:t xml:space="preserve"> στην Ελλάδα (7.811€ ανά κάτοικο)</w:t>
      </w:r>
      <w:r w:rsidR="00E257EC" w:rsidRPr="005525C5">
        <w:rPr>
          <w:rFonts w:asciiTheme="minorHAnsi" w:eastAsiaTheme="minorHAnsi" w:hAnsiTheme="minorHAnsi"/>
          <w:szCs w:val="22"/>
          <w:lang w:eastAsia="en-US"/>
        </w:rPr>
        <w:t>,</w:t>
      </w:r>
      <w:r w:rsidR="004F0F70" w:rsidRPr="005525C5">
        <w:rPr>
          <w:rFonts w:asciiTheme="minorHAnsi" w:eastAsiaTheme="minorHAnsi" w:hAnsiTheme="minorHAnsi"/>
          <w:szCs w:val="22"/>
          <w:lang w:eastAsia="en-US"/>
        </w:rPr>
        <w:t xml:space="preserve"> από ότι στην Ευρώπη των 27 (11.24€ ανά κάτοικο). Αυτό εξηγείται από το κατά κεφαλή ΑΕΠ</w:t>
      </w:r>
      <w:r w:rsidR="00E257EC" w:rsidRPr="005525C5">
        <w:rPr>
          <w:rFonts w:asciiTheme="minorHAnsi" w:eastAsiaTheme="minorHAnsi" w:hAnsiTheme="minorHAnsi"/>
          <w:szCs w:val="22"/>
          <w:lang w:eastAsia="en-US"/>
        </w:rPr>
        <w:t>,</w:t>
      </w:r>
      <w:r w:rsidR="004F0F70" w:rsidRPr="005525C5">
        <w:rPr>
          <w:rFonts w:asciiTheme="minorHAnsi" w:eastAsiaTheme="minorHAnsi" w:hAnsiTheme="minorHAnsi"/>
          <w:szCs w:val="22"/>
          <w:lang w:eastAsia="en-US"/>
        </w:rPr>
        <w:t xml:space="preserve"> το οποίο είναι μικρότερο στην Ελλάδα από εκείνο της Ευρώπης των 27 (Συμβούλιο </w:t>
      </w:r>
      <w:r w:rsidR="00520B98" w:rsidRPr="005525C5">
        <w:rPr>
          <w:rFonts w:asciiTheme="minorHAnsi" w:eastAsiaTheme="minorHAnsi" w:hAnsiTheme="minorHAnsi"/>
          <w:szCs w:val="22"/>
          <w:lang w:eastAsia="en-US"/>
        </w:rPr>
        <w:t>Ευρωπαϊκών</w:t>
      </w:r>
      <w:r w:rsidR="004F0F70" w:rsidRPr="005525C5">
        <w:rPr>
          <w:rFonts w:asciiTheme="minorHAnsi" w:eastAsiaTheme="minorHAnsi" w:hAnsiTheme="minorHAnsi"/>
          <w:szCs w:val="22"/>
          <w:lang w:eastAsia="en-US"/>
        </w:rPr>
        <w:t xml:space="preserve"> Δήμων και Περιφερειών, 2013. Πληροφοριακά δελτία). </w:t>
      </w:r>
    </w:p>
    <w:p w:rsidR="00882E05" w:rsidRPr="005525C5" w:rsidRDefault="0062157D" w:rsidP="00B57015">
      <w:pPr>
        <w:spacing w:line="400" w:lineRule="atLeast"/>
        <w:ind w:firstLine="720"/>
        <w:jc w:val="both"/>
        <w:rPr>
          <w:rFonts w:asciiTheme="minorHAnsi" w:eastAsiaTheme="minorHAnsi" w:hAnsiTheme="minorHAnsi"/>
          <w:szCs w:val="22"/>
          <w:lang w:eastAsia="en-US"/>
        </w:rPr>
      </w:pPr>
      <w:r w:rsidRPr="005525C5">
        <w:rPr>
          <w:rFonts w:asciiTheme="minorHAnsi" w:eastAsiaTheme="minorHAnsi" w:hAnsiTheme="minorHAnsi"/>
          <w:szCs w:val="22"/>
          <w:lang w:eastAsia="en-US"/>
        </w:rPr>
        <w:t xml:space="preserve">Τα </w:t>
      </w:r>
      <w:proofErr w:type="spellStart"/>
      <w:r w:rsidRPr="005525C5">
        <w:rPr>
          <w:rFonts w:asciiTheme="minorHAnsi" w:eastAsiaTheme="minorHAnsi" w:hAnsiTheme="minorHAnsi"/>
          <w:szCs w:val="22"/>
          <w:lang w:eastAsia="en-US"/>
        </w:rPr>
        <w:t>υποεθνικά</w:t>
      </w:r>
      <w:proofErr w:type="spellEnd"/>
      <w:r w:rsidRPr="005525C5">
        <w:rPr>
          <w:rFonts w:asciiTheme="minorHAnsi" w:eastAsiaTheme="minorHAnsi" w:hAnsiTheme="minorHAnsi"/>
          <w:szCs w:val="22"/>
          <w:lang w:eastAsia="en-US"/>
        </w:rPr>
        <w:t xml:space="preserve"> έσοδα επηρεάστηκαν </w:t>
      </w:r>
      <w:r w:rsidR="00E257EC" w:rsidRPr="005525C5">
        <w:rPr>
          <w:rFonts w:asciiTheme="minorHAnsi" w:eastAsiaTheme="minorHAnsi" w:hAnsiTheme="minorHAnsi"/>
          <w:szCs w:val="22"/>
          <w:lang w:eastAsia="en-US"/>
        </w:rPr>
        <w:t xml:space="preserve">από τις αλλεπάλληλες κρίσεις </w:t>
      </w:r>
      <w:r w:rsidR="006A4922" w:rsidRPr="005525C5">
        <w:rPr>
          <w:rFonts w:asciiTheme="minorHAnsi" w:eastAsiaTheme="minorHAnsi" w:hAnsiTheme="minorHAnsi"/>
          <w:szCs w:val="22"/>
          <w:lang w:eastAsia="en-US"/>
        </w:rPr>
        <w:t xml:space="preserve">: μία οικονομική και κοινωνική κρίση που συνεχίστηκε μέχρι το 2010, </w:t>
      </w:r>
      <w:r w:rsidR="00E257EC" w:rsidRPr="005525C5">
        <w:rPr>
          <w:rFonts w:asciiTheme="minorHAnsi" w:eastAsiaTheme="minorHAnsi" w:hAnsiTheme="minorHAnsi"/>
          <w:szCs w:val="22"/>
          <w:lang w:eastAsia="en-US"/>
        </w:rPr>
        <w:t xml:space="preserve">επιφέροντας περιορισμό των </w:t>
      </w:r>
      <w:r w:rsidR="006A4922" w:rsidRPr="005525C5">
        <w:rPr>
          <w:rFonts w:asciiTheme="minorHAnsi" w:eastAsiaTheme="minorHAnsi" w:hAnsiTheme="minorHAnsi"/>
          <w:szCs w:val="22"/>
          <w:lang w:eastAsia="en-US"/>
        </w:rPr>
        <w:t>φορολογικών εσόδων και συνεπώς μία κρίση των δημόσιων οικονομικών</w:t>
      </w:r>
      <w:r w:rsidR="00E257EC" w:rsidRPr="005525C5">
        <w:rPr>
          <w:rFonts w:asciiTheme="minorHAnsi" w:eastAsiaTheme="minorHAnsi" w:hAnsiTheme="minorHAnsi"/>
          <w:szCs w:val="22"/>
          <w:lang w:eastAsia="en-US"/>
        </w:rPr>
        <w:t>,</w:t>
      </w:r>
      <w:r w:rsidR="006A4922" w:rsidRPr="005525C5">
        <w:rPr>
          <w:rFonts w:asciiTheme="minorHAnsi" w:eastAsiaTheme="minorHAnsi" w:hAnsiTheme="minorHAnsi"/>
          <w:szCs w:val="22"/>
          <w:lang w:eastAsia="en-US"/>
        </w:rPr>
        <w:t xml:space="preserve"> που </w:t>
      </w:r>
      <w:r w:rsidR="006A4922" w:rsidRPr="005525C5">
        <w:rPr>
          <w:rFonts w:asciiTheme="minorHAnsi" w:eastAsiaTheme="minorHAnsi" w:hAnsiTheme="minorHAnsi"/>
          <w:szCs w:val="22"/>
          <w:lang w:eastAsia="en-US"/>
        </w:rPr>
        <w:lastRenderedPageBreak/>
        <w:t xml:space="preserve">οδήγησε πολλές κεντρικές κυβερνήσεις να παγώσουν ή να μειώσουν </w:t>
      </w:r>
      <w:r w:rsidR="00E13460" w:rsidRPr="005525C5">
        <w:rPr>
          <w:rFonts w:asciiTheme="minorHAnsi" w:eastAsiaTheme="minorHAnsi" w:hAnsiTheme="minorHAnsi"/>
          <w:szCs w:val="22"/>
          <w:lang w:eastAsia="en-US"/>
        </w:rPr>
        <w:t xml:space="preserve">τις </w:t>
      </w:r>
      <w:r w:rsidR="00E257EC" w:rsidRPr="005525C5">
        <w:rPr>
          <w:rFonts w:asciiTheme="minorHAnsi" w:eastAsiaTheme="minorHAnsi" w:hAnsiTheme="minorHAnsi"/>
          <w:szCs w:val="22"/>
          <w:lang w:eastAsia="en-US"/>
        </w:rPr>
        <w:t xml:space="preserve">επιχορηγήσεις τους προς την </w:t>
      </w:r>
      <w:r w:rsidR="006A4922" w:rsidRPr="005525C5">
        <w:rPr>
          <w:rFonts w:asciiTheme="minorHAnsi" w:eastAsiaTheme="minorHAnsi" w:hAnsiTheme="minorHAnsi"/>
          <w:szCs w:val="22"/>
          <w:lang w:eastAsia="en-US"/>
        </w:rPr>
        <w:t>τοπική αυτοδιοίκηση</w:t>
      </w:r>
      <w:r w:rsidR="00E257EC" w:rsidRPr="005525C5">
        <w:rPr>
          <w:rFonts w:asciiTheme="minorHAnsi" w:eastAsiaTheme="minorHAnsi" w:hAnsiTheme="minorHAnsi"/>
          <w:szCs w:val="22"/>
          <w:lang w:eastAsia="en-US"/>
        </w:rPr>
        <w:t>,</w:t>
      </w:r>
      <w:r w:rsidR="006A4922" w:rsidRPr="005525C5">
        <w:rPr>
          <w:rFonts w:asciiTheme="minorHAnsi" w:eastAsiaTheme="minorHAnsi" w:hAnsiTheme="minorHAnsi"/>
          <w:szCs w:val="22"/>
          <w:lang w:eastAsia="en-US"/>
        </w:rPr>
        <w:t xml:space="preserve"> με σκοπό </w:t>
      </w:r>
      <w:r w:rsidR="00E257EC" w:rsidRPr="005525C5">
        <w:rPr>
          <w:rFonts w:asciiTheme="minorHAnsi" w:eastAsiaTheme="minorHAnsi" w:hAnsiTheme="minorHAnsi"/>
          <w:szCs w:val="22"/>
          <w:lang w:eastAsia="en-US"/>
        </w:rPr>
        <w:t xml:space="preserve">την εξοικονόμηση πόρων του </w:t>
      </w:r>
      <w:r w:rsidR="00536A72" w:rsidRPr="005525C5">
        <w:rPr>
          <w:rFonts w:asciiTheme="minorHAnsi" w:eastAsiaTheme="minorHAnsi" w:hAnsiTheme="minorHAnsi"/>
          <w:szCs w:val="22"/>
          <w:lang w:eastAsia="en-US"/>
        </w:rPr>
        <w:t>προϋπολογισμού</w:t>
      </w:r>
      <w:r w:rsidR="00E257EC" w:rsidRPr="005525C5">
        <w:rPr>
          <w:rFonts w:asciiTheme="minorHAnsi" w:eastAsiaTheme="minorHAnsi" w:hAnsiTheme="minorHAnsi"/>
          <w:szCs w:val="22"/>
          <w:lang w:eastAsia="en-US"/>
        </w:rPr>
        <w:t xml:space="preserve"> </w:t>
      </w:r>
      <w:r w:rsidR="006A4922" w:rsidRPr="005525C5">
        <w:rPr>
          <w:rFonts w:asciiTheme="minorHAnsi" w:eastAsiaTheme="minorHAnsi" w:hAnsiTheme="minorHAnsi"/>
          <w:szCs w:val="22"/>
          <w:lang w:eastAsia="en-US"/>
        </w:rPr>
        <w:t>(DEXIA – Συμβούλιο Ευρωπαϊκών Δήμων και Περιφερειών 2012).</w:t>
      </w:r>
    </w:p>
    <w:p w:rsidR="00E13460" w:rsidRPr="005525C5" w:rsidRDefault="006A4922" w:rsidP="00B57015">
      <w:pPr>
        <w:spacing w:line="400" w:lineRule="atLeast"/>
        <w:ind w:firstLine="720"/>
        <w:jc w:val="both"/>
        <w:rPr>
          <w:rFonts w:asciiTheme="minorHAnsi" w:eastAsiaTheme="minorHAnsi" w:hAnsiTheme="minorHAnsi"/>
          <w:szCs w:val="22"/>
          <w:lang w:eastAsia="en-US"/>
        </w:rPr>
      </w:pPr>
      <w:r w:rsidRPr="005525C5">
        <w:rPr>
          <w:rFonts w:asciiTheme="minorHAnsi" w:eastAsiaTheme="minorHAnsi" w:hAnsiTheme="minorHAnsi"/>
          <w:szCs w:val="22"/>
          <w:lang w:eastAsia="en-US"/>
        </w:rPr>
        <w:t xml:space="preserve">Στην ειδική περίπτωση της Ελλάδας, παρατηρούμε ότι τα έσοδα του </w:t>
      </w:r>
      <w:proofErr w:type="spellStart"/>
      <w:r w:rsidRPr="005525C5">
        <w:rPr>
          <w:rFonts w:asciiTheme="minorHAnsi" w:eastAsiaTheme="minorHAnsi" w:hAnsiTheme="minorHAnsi"/>
          <w:szCs w:val="22"/>
          <w:lang w:eastAsia="en-US"/>
        </w:rPr>
        <w:t>υποεθνικού</w:t>
      </w:r>
      <w:proofErr w:type="spellEnd"/>
      <w:r w:rsidRPr="005525C5">
        <w:rPr>
          <w:rFonts w:asciiTheme="minorHAnsi" w:eastAsiaTheme="minorHAnsi" w:hAnsiTheme="minorHAnsi"/>
          <w:szCs w:val="22"/>
          <w:lang w:eastAsia="en-US"/>
        </w:rPr>
        <w:t xml:space="preserve"> δημόσιου τομέα (3,3% του ΑΕΠ και 7,8% των συνολικών εσόδων του δημοσίου τομέα) είναι κάτω του μέσου όρου της Ευρώπης των 27 (16% του ΑΕΠ και 35,7% των εσόδων του δημοσίου τομέα). Οι περικοπές του </w:t>
      </w:r>
      <w:r w:rsidR="00D25780" w:rsidRPr="005525C5">
        <w:rPr>
          <w:rFonts w:asciiTheme="minorHAnsi" w:eastAsiaTheme="minorHAnsi" w:hAnsiTheme="minorHAnsi"/>
          <w:szCs w:val="22"/>
          <w:lang w:eastAsia="en-US"/>
        </w:rPr>
        <w:t>προϋπολογισμού</w:t>
      </w:r>
      <w:r w:rsidRPr="005525C5">
        <w:rPr>
          <w:rFonts w:asciiTheme="minorHAnsi" w:eastAsiaTheme="minorHAnsi" w:hAnsiTheme="minorHAnsi"/>
          <w:szCs w:val="22"/>
          <w:lang w:eastAsia="en-US"/>
        </w:rPr>
        <w:t xml:space="preserve"> που </w:t>
      </w:r>
      <w:r w:rsidR="00D25780" w:rsidRPr="005525C5">
        <w:rPr>
          <w:rFonts w:asciiTheme="minorHAnsi" w:eastAsiaTheme="minorHAnsi" w:hAnsiTheme="minorHAnsi"/>
          <w:szCs w:val="22"/>
          <w:lang w:eastAsia="en-US"/>
        </w:rPr>
        <w:t>υλοποιηθήκαν</w:t>
      </w:r>
      <w:r w:rsidRPr="005525C5">
        <w:rPr>
          <w:rFonts w:asciiTheme="minorHAnsi" w:eastAsiaTheme="minorHAnsi" w:hAnsiTheme="minorHAnsi"/>
          <w:szCs w:val="22"/>
          <w:lang w:eastAsia="en-US"/>
        </w:rPr>
        <w:t xml:space="preserve"> από τις κεντρικές κυβερνήσεις το 2010, αιτιολογημένες από την κρίση των δημοσίων οικονομικών, </w:t>
      </w:r>
      <w:r w:rsidR="00E13460" w:rsidRPr="005525C5">
        <w:rPr>
          <w:rFonts w:asciiTheme="minorHAnsi" w:eastAsiaTheme="minorHAnsi" w:hAnsiTheme="minorHAnsi"/>
          <w:szCs w:val="22"/>
          <w:lang w:eastAsia="en-US"/>
        </w:rPr>
        <w:t xml:space="preserve">οδήγησαν ένα μεγάλο αριθμό αντίστοιχων κεντρικών κυβερνήσεων να παγώσουν τις μεταβιβάσεις και τις επιχορηγήσεις προς τον </w:t>
      </w:r>
      <w:proofErr w:type="spellStart"/>
      <w:r w:rsidR="00E13460" w:rsidRPr="005525C5">
        <w:rPr>
          <w:rFonts w:asciiTheme="minorHAnsi" w:eastAsiaTheme="minorHAnsi" w:hAnsiTheme="minorHAnsi"/>
          <w:szCs w:val="22"/>
          <w:lang w:eastAsia="en-US"/>
        </w:rPr>
        <w:t>υποεθνικό</w:t>
      </w:r>
      <w:proofErr w:type="spellEnd"/>
      <w:r w:rsidR="00E13460" w:rsidRPr="005525C5">
        <w:rPr>
          <w:rFonts w:asciiTheme="minorHAnsi" w:eastAsiaTheme="minorHAnsi" w:hAnsiTheme="minorHAnsi"/>
          <w:szCs w:val="22"/>
          <w:lang w:eastAsia="en-US"/>
        </w:rPr>
        <w:t xml:space="preserve"> τομέα. </w:t>
      </w:r>
    </w:p>
    <w:p w:rsidR="00E13460" w:rsidRPr="005525C5" w:rsidRDefault="00D45FD3" w:rsidP="00B57015">
      <w:pPr>
        <w:spacing w:line="400" w:lineRule="atLeast"/>
        <w:ind w:firstLine="720"/>
        <w:jc w:val="both"/>
        <w:rPr>
          <w:rFonts w:asciiTheme="minorHAnsi" w:eastAsiaTheme="minorHAnsi" w:hAnsiTheme="minorHAnsi"/>
          <w:szCs w:val="22"/>
          <w:lang w:eastAsia="en-US"/>
        </w:rPr>
      </w:pPr>
      <w:r>
        <w:rPr>
          <w:rFonts w:asciiTheme="minorHAnsi" w:eastAsiaTheme="minorHAnsi" w:hAnsiTheme="minorHAnsi"/>
          <w:noProof/>
          <w:szCs w:val="22"/>
        </w:rPr>
        <w:drawing>
          <wp:anchor distT="0" distB="0" distL="114300" distR="114300" simplePos="0" relativeHeight="251659264" behindDoc="0" locked="0" layoutInCell="1" allowOverlap="1">
            <wp:simplePos x="0" y="0"/>
            <wp:positionH relativeFrom="column">
              <wp:posOffset>2266315</wp:posOffset>
            </wp:positionH>
            <wp:positionV relativeFrom="paragraph">
              <wp:posOffset>169545</wp:posOffset>
            </wp:positionV>
            <wp:extent cx="3589020" cy="3507105"/>
            <wp:effectExtent l="19050" t="0" r="0" b="0"/>
            <wp:wrapSquare wrapText="bothSides"/>
            <wp:docPr id="2" name="1 - Εικόνα"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stretch>
                      <a:fillRect/>
                    </a:stretch>
                  </pic:blipFill>
                  <pic:spPr>
                    <a:xfrm>
                      <a:off x="0" y="0"/>
                      <a:ext cx="3589020" cy="3507105"/>
                    </a:xfrm>
                    <a:prstGeom prst="rect">
                      <a:avLst/>
                    </a:prstGeom>
                  </pic:spPr>
                </pic:pic>
              </a:graphicData>
            </a:graphic>
          </wp:anchor>
        </w:drawing>
      </w:r>
      <w:r w:rsidR="00E13460" w:rsidRPr="005525C5">
        <w:rPr>
          <w:rFonts w:asciiTheme="minorHAnsi" w:eastAsiaTheme="minorHAnsi" w:hAnsiTheme="minorHAnsi"/>
          <w:szCs w:val="22"/>
          <w:lang w:eastAsia="en-US"/>
        </w:rPr>
        <w:t xml:space="preserve">Ο </w:t>
      </w:r>
      <w:proofErr w:type="spellStart"/>
      <w:r w:rsidR="00E13460" w:rsidRPr="005525C5">
        <w:rPr>
          <w:rFonts w:asciiTheme="minorHAnsi" w:eastAsiaTheme="minorHAnsi" w:hAnsiTheme="minorHAnsi"/>
          <w:szCs w:val="22"/>
          <w:lang w:eastAsia="en-US"/>
        </w:rPr>
        <w:t>υπ’αριθμ</w:t>
      </w:r>
      <w:proofErr w:type="spellEnd"/>
      <w:r w:rsidR="00E13460" w:rsidRPr="005525C5">
        <w:rPr>
          <w:rFonts w:asciiTheme="minorHAnsi" w:eastAsiaTheme="minorHAnsi" w:hAnsiTheme="minorHAnsi"/>
          <w:szCs w:val="22"/>
          <w:lang w:eastAsia="en-US"/>
        </w:rPr>
        <w:t xml:space="preserve">. 1 πίνακας απεικονίζει τα </w:t>
      </w:r>
      <w:proofErr w:type="spellStart"/>
      <w:r w:rsidR="00E13460" w:rsidRPr="005525C5">
        <w:rPr>
          <w:rFonts w:asciiTheme="minorHAnsi" w:eastAsiaTheme="minorHAnsi" w:hAnsiTheme="minorHAnsi"/>
          <w:szCs w:val="22"/>
          <w:lang w:eastAsia="en-US"/>
        </w:rPr>
        <w:t>υποεθνικά</w:t>
      </w:r>
      <w:proofErr w:type="spellEnd"/>
      <w:r w:rsidR="00E13460" w:rsidRPr="005525C5">
        <w:rPr>
          <w:rFonts w:asciiTheme="minorHAnsi" w:eastAsiaTheme="minorHAnsi" w:hAnsiTheme="minorHAnsi"/>
          <w:szCs w:val="22"/>
          <w:lang w:eastAsia="en-US"/>
        </w:rPr>
        <w:t xml:space="preserve"> έσοδα ανά χώρα στην Ευρώπη των 27 το 2010. Προκύπτει ξεκάθαρα ότι το 2010, τα </w:t>
      </w:r>
      <w:proofErr w:type="spellStart"/>
      <w:r w:rsidR="00E13460" w:rsidRPr="005525C5">
        <w:rPr>
          <w:rFonts w:asciiTheme="minorHAnsi" w:eastAsiaTheme="minorHAnsi" w:hAnsiTheme="minorHAnsi"/>
          <w:szCs w:val="22"/>
          <w:lang w:eastAsia="en-US"/>
        </w:rPr>
        <w:t>υποεθνικά</w:t>
      </w:r>
      <w:proofErr w:type="spellEnd"/>
      <w:r w:rsidR="00E13460" w:rsidRPr="005525C5">
        <w:rPr>
          <w:rFonts w:asciiTheme="minorHAnsi" w:eastAsiaTheme="minorHAnsi" w:hAnsiTheme="minorHAnsi"/>
          <w:szCs w:val="22"/>
          <w:lang w:eastAsia="en-US"/>
        </w:rPr>
        <w:t xml:space="preserve"> έσοδα της Ελλάδα ήταν μακράν τα μικρότερα στην Ευρώπη των 27</w:t>
      </w:r>
    </w:p>
    <w:p w:rsidR="0089690D" w:rsidRPr="00D45FD3" w:rsidRDefault="0089690D" w:rsidP="00B57015">
      <w:pPr>
        <w:spacing w:line="400" w:lineRule="atLeast"/>
        <w:ind w:firstLine="720"/>
        <w:jc w:val="both"/>
        <w:rPr>
          <w:rFonts w:asciiTheme="minorHAnsi" w:eastAsiaTheme="minorHAnsi" w:hAnsiTheme="minorHAnsi"/>
          <w:szCs w:val="22"/>
          <w:lang w:val="en-US" w:eastAsia="en-US"/>
        </w:rPr>
      </w:pPr>
    </w:p>
    <w:p w:rsidR="0089690D" w:rsidRPr="005F4728" w:rsidRDefault="0089690D" w:rsidP="00B57015">
      <w:pPr>
        <w:spacing w:line="400" w:lineRule="atLeast"/>
        <w:jc w:val="both"/>
        <w:rPr>
          <w:rFonts w:asciiTheme="minorHAnsi" w:eastAsiaTheme="minorHAnsi" w:hAnsiTheme="minorHAnsi"/>
          <w:b/>
          <w:szCs w:val="22"/>
          <w:lang w:eastAsia="en-US"/>
        </w:rPr>
      </w:pPr>
      <w:r w:rsidRPr="005F4728">
        <w:rPr>
          <w:rFonts w:asciiTheme="minorHAnsi" w:eastAsiaTheme="minorHAnsi" w:hAnsiTheme="minorHAnsi"/>
          <w:b/>
          <w:szCs w:val="22"/>
          <w:lang w:eastAsia="en-US"/>
        </w:rPr>
        <w:t xml:space="preserve">3. </w:t>
      </w:r>
      <w:r w:rsidR="00BA6196" w:rsidRPr="005F4728">
        <w:rPr>
          <w:rFonts w:asciiTheme="minorHAnsi" w:eastAsiaTheme="minorHAnsi" w:hAnsiTheme="minorHAnsi"/>
          <w:b/>
          <w:szCs w:val="22"/>
          <w:lang w:eastAsia="en-US"/>
        </w:rPr>
        <w:t xml:space="preserve">Δαπάνες </w:t>
      </w:r>
      <w:r w:rsidRPr="005F4728">
        <w:rPr>
          <w:rFonts w:asciiTheme="minorHAnsi" w:eastAsiaTheme="minorHAnsi" w:hAnsiTheme="minorHAnsi"/>
          <w:b/>
          <w:szCs w:val="22"/>
          <w:lang w:eastAsia="en-US"/>
        </w:rPr>
        <w:t xml:space="preserve">του εθνικού και </w:t>
      </w:r>
      <w:proofErr w:type="spellStart"/>
      <w:r w:rsidRPr="005F4728">
        <w:rPr>
          <w:rFonts w:asciiTheme="minorHAnsi" w:eastAsiaTheme="minorHAnsi" w:hAnsiTheme="minorHAnsi"/>
          <w:b/>
          <w:szCs w:val="22"/>
          <w:lang w:eastAsia="en-US"/>
        </w:rPr>
        <w:t>υποεθνικού</w:t>
      </w:r>
      <w:proofErr w:type="spellEnd"/>
      <w:r w:rsidRPr="005F4728">
        <w:rPr>
          <w:rFonts w:asciiTheme="minorHAnsi" w:eastAsiaTheme="minorHAnsi" w:hAnsiTheme="minorHAnsi"/>
          <w:b/>
          <w:szCs w:val="22"/>
          <w:lang w:eastAsia="en-US"/>
        </w:rPr>
        <w:t xml:space="preserve"> δημόσιου τομέα</w:t>
      </w:r>
    </w:p>
    <w:p w:rsidR="008955C1" w:rsidRPr="005525C5" w:rsidRDefault="00975CCE" w:rsidP="00B57015">
      <w:pPr>
        <w:spacing w:line="400" w:lineRule="atLeast"/>
        <w:ind w:firstLine="720"/>
        <w:jc w:val="both"/>
        <w:rPr>
          <w:rFonts w:asciiTheme="minorHAnsi" w:eastAsiaTheme="minorHAnsi" w:hAnsiTheme="minorHAnsi"/>
          <w:szCs w:val="22"/>
          <w:lang w:eastAsia="en-US"/>
        </w:rPr>
      </w:pPr>
      <w:r w:rsidRPr="005525C5">
        <w:rPr>
          <w:rFonts w:asciiTheme="minorHAnsi" w:eastAsiaTheme="minorHAnsi" w:hAnsiTheme="minorHAnsi"/>
          <w:szCs w:val="22"/>
          <w:lang w:eastAsia="en-US"/>
        </w:rPr>
        <w:t xml:space="preserve">Το ποσοστό </w:t>
      </w:r>
      <w:r w:rsidR="00BA6196" w:rsidRPr="005525C5">
        <w:rPr>
          <w:rFonts w:asciiTheme="minorHAnsi" w:eastAsiaTheme="minorHAnsi" w:hAnsiTheme="minorHAnsi"/>
          <w:szCs w:val="22"/>
          <w:lang w:eastAsia="en-US"/>
        </w:rPr>
        <w:t>δαπανών</w:t>
      </w:r>
      <w:r w:rsidRPr="005525C5">
        <w:rPr>
          <w:rFonts w:asciiTheme="minorHAnsi" w:eastAsiaTheme="minorHAnsi" w:hAnsiTheme="minorHAnsi"/>
          <w:szCs w:val="22"/>
          <w:lang w:eastAsia="en-US"/>
        </w:rPr>
        <w:t xml:space="preserve"> του εθνικού</w:t>
      </w:r>
      <w:r w:rsidR="00564A68" w:rsidRPr="005525C5">
        <w:rPr>
          <w:rFonts w:eastAsiaTheme="minorHAnsi"/>
          <w:szCs w:val="22"/>
          <w:lang w:eastAsia="en-US"/>
        </w:rPr>
        <w:footnoteReference w:id="3"/>
      </w:r>
      <w:r w:rsidRPr="005525C5">
        <w:rPr>
          <w:rFonts w:asciiTheme="minorHAnsi" w:eastAsiaTheme="minorHAnsi" w:hAnsiTheme="minorHAnsi"/>
          <w:szCs w:val="22"/>
          <w:lang w:eastAsia="en-US"/>
        </w:rPr>
        <w:t xml:space="preserve"> δημόσιου</w:t>
      </w:r>
      <w:r w:rsidR="00E60F4B" w:rsidRPr="005525C5">
        <w:rPr>
          <w:rFonts w:asciiTheme="minorHAnsi" w:eastAsiaTheme="minorHAnsi" w:hAnsiTheme="minorHAnsi"/>
          <w:szCs w:val="22"/>
          <w:lang w:eastAsia="en-US"/>
        </w:rPr>
        <w:t xml:space="preserve"> τομέα </w:t>
      </w:r>
      <w:r w:rsidRPr="005525C5">
        <w:rPr>
          <w:rFonts w:asciiTheme="minorHAnsi" w:eastAsiaTheme="minorHAnsi" w:hAnsiTheme="minorHAnsi"/>
          <w:szCs w:val="22"/>
          <w:lang w:eastAsia="en-US"/>
        </w:rPr>
        <w:t xml:space="preserve">είναι παρόμοιο στην Ελλάδα (51,8% του ΑΕΠ) και στην Ευρώπη των 27 (49,1% του ΑΕΠ) αλλά </w:t>
      </w:r>
      <w:r w:rsidR="00BA6196" w:rsidRPr="005525C5">
        <w:rPr>
          <w:rFonts w:asciiTheme="minorHAnsi" w:eastAsiaTheme="minorHAnsi" w:hAnsiTheme="minorHAnsi"/>
          <w:szCs w:val="22"/>
          <w:lang w:eastAsia="en-US"/>
        </w:rPr>
        <w:t xml:space="preserve">οι </w:t>
      </w:r>
      <w:r w:rsidR="00E60F4B" w:rsidRPr="005525C5">
        <w:rPr>
          <w:rFonts w:asciiTheme="minorHAnsi" w:eastAsiaTheme="minorHAnsi" w:hAnsiTheme="minorHAnsi"/>
          <w:szCs w:val="22"/>
          <w:lang w:eastAsia="en-US"/>
        </w:rPr>
        <w:t xml:space="preserve">κατά κεφαλήν </w:t>
      </w:r>
      <w:r w:rsidRPr="005525C5">
        <w:rPr>
          <w:rFonts w:asciiTheme="minorHAnsi" w:eastAsiaTheme="minorHAnsi" w:hAnsiTheme="minorHAnsi"/>
          <w:szCs w:val="22"/>
          <w:lang w:eastAsia="en-US"/>
        </w:rPr>
        <w:t>συνολικ</w:t>
      </w:r>
      <w:r w:rsidR="00BA6196" w:rsidRPr="005525C5">
        <w:rPr>
          <w:rFonts w:asciiTheme="minorHAnsi" w:eastAsiaTheme="minorHAnsi" w:hAnsiTheme="minorHAnsi"/>
          <w:szCs w:val="22"/>
          <w:lang w:eastAsia="en-US"/>
        </w:rPr>
        <w:t xml:space="preserve">ές δαπάνες </w:t>
      </w:r>
      <w:r w:rsidRPr="005525C5">
        <w:rPr>
          <w:rFonts w:asciiTheme="minorHAnsi" w:eastAsiaTheme="minorHAnsi" w:hAnsiTheme="minorHAnsi"/>
          <w:szCs w:val="22"/>
          <w:lang w:eastAsia="en-US"/>
        </w:rPr>
        <w:t>του εθνικού δημόσιου τομέα είναι μικρότερ</w:t>
      </w:r>
      <w:r w:rsidR="00E60F4B" w:rsidRPr="005525C5">
        <w:rPr>
          <w:rFonts w:asciiTheme="minorHAnsi" w:eastAsiaTheme="minorHAnsi" w:hAnsiTheme="minorHAnsi"/>
          <w:szCs w:val="22"/>
          <w:lang w:eastAsia="en-US"/>
        </w:rPr>
        <w:t xml:space="preserve">ες </w:t>
      </w:r>
      <w:r w:rsidRPr="005525C5">
        <w:rPr>
          <w:rFonts w:asciiTheme="minorHAnsi" w:eastAsiaTheme="minorHAnsi" w:hAnsiTheme="minorHAnsi"/>
          <w:szCs w:val="22"/>
          <w:lang w:eastAsia="en-US"/>
        </w:rPr>
        <w:t>στην Ελλάδα (9.565€ ανά κάτοικο)</w:t>
      </w:r>
      <w:r w:rsidR="00E60F4B" w:rsidRPr="005525C5">
        <w:rPr>
          <w:rFonts w:asciiTheme="minorHAnsi" w:eastAsiaTheme="minorHAnsi" w:hAnsiTheme="minorHAnsi"/>
          <w:szCs w:val="22"/>
          <w:lang w:eastAsia="en-US"/>
        </w:rPr>
        <w:t>,</w:t>
      </w:r>
      <w:r w:rsidRPr="005525C5">
        <w:rPr>
          <w:rFonts w:asciiTheme="minorHAnsi" w:eastAsiaTheme="minorHAnsi" w:hAnsiTheme="minorHAnsi"/>
          <w:szCs w:val="22"/>
          <w:lang w:eastAsia="en-US"/>
        </w:rPr>
        <w:t xml:space="preserve"> σε σχέση με την Ευρώπη των 27 (12.356€ ανά κάτοικο) </w:t>
      </w:r>
      <w:r w:rsidR="008955C1" w:rsidRPr="005525C5">
        <w:rPr>
          <w:rFonts w:asciiTheme="minorHAnsi" w:eastAsiaTheme="minorHAnsi" w:hAnsiTheme="minorHAnsi"/>
          <w:szCs w:val="22"/>
          <w:lang w:eastAsia="en-US"/>
        </w:rPr>
        <w:t xml:space="preserve">(Συμβούλιο Ευρωπαϊκών Δήμων και Περιφερειών, 2013. Πληροφοριακά δελτία). Αυτό εξηγείται επίσης από το γεγονός ότι το κατά κεφαλήν ΑΕΠ είναι μικρότερο στην Ελλάδα </w:t>
      </w:r>
      <w:proofErr w:type="spellStart"/>
      <w:r w:rsidR="008955C1" w:rsidRPr="005525C5">
        <w:rPr>
          <w:rFonts w:asciiTheme="minorHAnsi" w:eastAsiaTheme="minorHAnsi" w:hAnsiTheme="minorHAnsi"/>
          <w:szCs w:val="22"/>
          <w:lang w:eastAsia="en-US"/>
        </w:rPr>
        <w:t>απ</w:t>
      </w:r>
      <w:r w:rsidR="00E60F4B" w:rsidRPr="005525C5">
        <w:rPr>
          <w:rFonts w:asciiTheme="minorHAnsi" w:eastAsiaTheme="minorHAnsi" w:hAnsiTheme="minorHAnsi"/>
          <w:szCs w:val="22"/>
          <w:lang w:eastAsia="en-US"/>
        </w:rPr>
        <w:t>’ότι</w:t>
      </w:r>
      <w:proofErr w:type="spellEnd"/>
      <w:r w:rsidR="00E60F4B" w:rsidRPr="005525C5">
        <w:rPr>
          <w:rFonts w:asciiTheme="minorHAnsi" w:eastAsiaTheme="minorHAnsi" w:hAnsiTheme="minorHAnsi"/>
          <w:szCs w:val="22"/>
          <w:lang w:eastAsia="en-US"/>
        </w:rPr>
        <w:t xml:space="preserve"> σ</w:t>
      </w:r>
      <w:r w:rsidR="008955C1" w:rsidRPr="005525C5">
        <w:rPr>
          <w:rFonts w:asciiTheme="minorHAnsi" w:eastAsiaTheme="minorHAnsi" w:hAnsiTheme="minorHAnsi"/>
          <w:szCs w:val="22"/>
          <w:lang w:eastAsia="en-US"/>
        </w:rPr>
        <w:t xml:space="preserve">την Ευρώπη των 27. </w:t>
      </w:r>
    </w:p>
    <w:p w:rsidR="00CD213E" w:rsidRPr="00D45FD3" w:rsidRDefault="00BA6196" w:rsidP="00B57015">
      <w:pPr>
        <w:spacing w:line="400" w:lineRule="atLeast"/>
        <w:ind w:firstLine="720"/>
        <w:jc w:val="both"/>
        <w:rPr>
          <w:rFonts w:asciiTheme="minorHAnsi" w:eastAsiaTheme="minorHAnsi" w:hAnsiTheme="minorHAnsi"/>
          <w:szCs w:val="22"/>
          <w:lang w:eastAsia="en-US"/>
        </w:rPr>
      </w:pPr>
      <w:r w:rsidRPr="005525C5">
        <w:rPr>
          <w:rFonts w:asciiTheme="minorHAnsi" w:eastAsiaTheme="minorHAnsi" w:hAnsiTheme="minorHAnsi"/>
          <w:szCs w:val="22"/>
          <w:lang w:eastAsia="en-US"/>
        </w:rPr>
        <w:t xml:space="preserve">Το μερίδιο των </w:t>
      </w:r>
      <w:proofErr w:type="spellStart"/>
      <w:r w:rsidRPr="005525C5">
        <w:rPr>
          <w:rFonts w:asciiTheme="minorHAnsi" w:eastAsiaTheme="minorHAnsi" w:hAnsiTheme="minorHAnsi"/>
          <w:szCs w:val="22"/>
          <w:lang w:eastAsia="en-US"/>
        </w:rPr>
        <w:t>υποεθνικών</w:t>
      </w:r>
      <w:proofErr w:type="spellEnd"/>
      <w:r w:rsidRPr="005525C5">
        <w:rPr>
          <w:rFonts w:asciiTheme="minorHAnsi" w:eastAsiaTheme="minorHAnsi" w:hAnsiTheme="minorHAnsi"/>
          <w:szCs w:val="22"/>
          <w:lang w:eastAsia="en-US"/>
        </w:rPr>
        <w:t xml:space="preserve"> δαπανών </w:t>
      </w:r>
      <w:r w:rsidR="0093402A" w:rsidRPr="005525C5">
        <w:rPr>
          <w:rFonts w:asciiTheme="minorHAnsi" w:eastAsiaTheme="minorHAnsi" w:hAnsiTheme="minorHAnsi"/>
          <w:szCs w:val="22"/>
          <w:lang w:eastAsia="en-US"/>
        </w:rPr>
        <w:t>ως ποσοστό των συνολικών δαπανών της</w:t>
      </w:r>
      <w:r w:rsidRPr="005525C5">
        <w:rPr>
          <w:rFonts w:asciiTheme="minorHAnsi" w:eastAsiaTheme="minorHAnsi" w:hAnsiTheme="minorHAnsi"/>
          <w:szCs w:val="22"/>
          <w:lang w:eastAsia="en-US"/>
        </w:rPr>
        <w:t xml:space="preserve"> γενικής κυβέρνησης</w:t>
      </w:r>
      <w:r w:rsidR="0093402A" w:rsidRPr="005525C5">
        <w:rPr>
          <w:rFonts w:asciiTheme="minorHAnsi" w:eastAsiaTheme="minorHAnsi" w:hAnsiTheme="minorHAnsi"/>
          <w:szCs w:val="22"/>
          <w:lang w:eastAsia="en-US"/>
        </w:rPr>
        <w:t>,</w:t>
      </w:r>
      <w:r w:rsidRPr="005525C5">
        <w:rPr>
          <w:rFonts w:asciiTheme="minorHAnsi" w:eastAsiaTheme="minorHAnsi" w:hAnsiTheme="minorHAnsi"/>
          <w:szCs w:val="22"/>
          <w:lang w:eastAsia="en-US"/>
        </w:rPr>
        <w:t xml:space="preserve"> αυξήθηκε στην πλειονότητα των χωρών της ΕΕ</w:t>
      </w:r>
      <w:r w:rsidR="0093402A" w:rsidRPr="005525C5">
        <w:rPr>
          <w:rFonts w:asciiTheme="minorHAnsi" w:eastAsiaTheme="minorHAnsi" w:hAnsiTheme="minorHAnsi"/>
          <w:szCs w:val="22"/>
          <w:lang w:eastAsia="en-US"/>
        </w:rPr>
        <w:t>,</w:t>
      </w:r>
      <w:r w:rsidRPr="005525C5">
        <w:rPr>
          <w:rFonts w:asciiTheme="minorHAnsi" w:eastAsiaTheme="minorHAnsi" w:hAnsiTheme="minorHAnsi"/>
          <w:szCs w:val="22"/>
          <w:lang w:eastAsia="en-US"/>
        </w:rPr>
        <w:t xml:space="preserve"> κατά τη διάρκεια των τελευταίων δεκαετιών, δεδομένου ότι ο ρόλος των τοπικών και περιφερειακών </w:t>
      </w:r>
      <w:r w:rsidRPr="005525C5">
        <w:rPr>
          <w:rFonts w:asciiTheme="minorHAnsi" w:eastAsiaTheme="minorHAnsi" w:hAnsiTheme="minorHAnsi"/>
          <w:szCs w:val="22"/>
          <w:lang w:eastAsia="en-US"/>
        </w:rPr>
        <w:lastRenderedPageBreak/>
        <w:t xml:space="preserve">αρχών στην υλοποίηση των δημοσίων πολιτικών </w:t>
      </w:r>
      <w:r w:rsidR="009205A3" w:rsidRPr="005525C5">
        <w:rPr>
          <w:rFonts w:asciiTheme="minorHAnsi" w:eastAsiaTheme="minorHAnsi" w:hAnsiTheme="minorHAnsi"/>
          <w:szCs w:val="22"/>
          <w:lang w:eastAsia="en-US"/>
        </w:rPr>
        <w:t xml:space="preserve">ενισχύθηκε. Ωστόσο, ο όγκος αυτού του μεριδίου ποικίλλει σημαντικά από τη μία χώρα στην άλλη, ανάλογα με τις διαφορές του θεσμικού πλαισίου και του βαθμού αποκέντρωσης που επιτεύχθηκε. </w:t>
      </w:r>
      <w:r w:rsidR="006B6B99" w:rsidRPr="005525C5">
        <w:rPr>
          <w:rFonts w:asciiTheme="minorHAnsi" w:eastAsiaTheme="minorHAnsi" w:hAnsiTheme="minorHAnsi"/>
          <w:szCs w:val="22"/>
          <w:lang w:eastAsia="en-US"/>
        </w:rPr>
        <w:t xml:space="preserve">Οι περιφέρεις και οι τοπικές αυτοδιοικήσεις είναι </w:t>
      </w:r>
      <w:r w:rsidR="0093402A" w:rsidRPr="005525C5">
        <w:rPr>
          <w:rFonts w:asciiTheme="minorHAnsi" w:eastAsiaTheme="minorHAnsi" w:hAnsiTheme="minorHAnsi"/>
          <w:szCs w:val="22"/>
          <w:lang w:eastAsia="en-US"/>
        </w:rPr>
        <w:t xml:space="preserve">υπεύθυνες για </w:t>
      </w:r>
      <w:r w:rsidR="006B6B99" w:rsidRPr="005525C5">
        <w:rPr>
          <w:rFonts w:asciiTheme="minorHAnsi" w:eastAsiaTheme="minorHAnsi" w:hAnsiTheme="minorHAnsi"/>
          <w:szCs w:val="22"/>
          <w:lang w:eastAsia="en-US"/>
        </w:rPr>
        <w:t>το 66% του συνόλου των δημοσίων δαπανών στην Δανί</w:t>
      </w:r>
      <w:r w:rsidR="00CD213E" w:rsidRPr="005525C5">
        <w:rPr>
          <w:rFonts w:asciiTheme="minorHAnsi" w:eastAsiaTheme="minorHAnsi" w:hAnsiTheme="minorHAnsi"/>
          <w:szCs w:val="22"/>
          <w:lang w:eastAsia="en-US"/>
        </w:rPr>
        <w:t>α</w:t>
      </w:r>
      <w:r w:rsidR="006B6B99" w:rsidRPr="005525C5">
        <w:rPr>
          <w:rFonts w:asciiTheme="minorHAnsi" w:eastAsiaTheme="minorHAnsi" w:hAnsiTheme="minorHAnsi"/>
          <w:szCs w:val="22"/>
          <w:lang w:eastAsia="en-US"/>
        </w:rPr>
        <w:t xml:space="preserve"> και περί</w:t>
      </w:r>
      <w:r w:rsidR="00CD213E" w:rsidRPr="005525C5">
        <w:rPr>
          <w:rFonts w:asciiTheme="minorHAnsi" w:eastAsiaTheme="minorHAnsi" w:hAnsiTheme="minorHAnsi"/>
          <w:szCs w:val="22"/>
          <w:lang w:eastAsia="en-US"/>
        </w:rPr>
        <w:t>π</w:t>
      </w:r>
      <w:r w:rsidR="006B6B99" w:rsidRPr="005525C5">
        <w:rPr>
          <w:rFonts w:asciiTheme="minorHAnsi" w:eastAsiaTheme="minorHAnsi" w:hAnsiTheme="minorHAnsi"/>
          <w:szCs w:val="22"/>
          <w:lang w:eastAsia="en-US"/>
        </w:rPr>
        <w:t xml:space="preserve">ου </w:t>
      </w:r>
      <w:r w:rsidR="0093402A" w:rsidRPr="005525C5">
        <w:rPr>
          <w:rFonts w:asciiTheme="minorHAnsi" w:eastAsiaTheme="minorHAnsi" w:hAnsiTheme="minorHAnsi"/>
          <w:szCs w:val="22"/>
          <w:lang w:eastAsia="en-US"/>
        </w:rPr>
        <w:t xml:space="preserve">για το </w:t>
      </w:r>
      <w:r w:rsidR="006B6B99" w:rsidRPr="005525C5">
        <w:rPr>
          <w:rFonts w:asciiTheme="minorHAnsi" w:eastAsiaTheme="minorHAnsi" w:hAnsiTheme="minorHAnsi"/>
          <w:szCs w:val="22"/>
          <w:lang w:eastAsia="en-US"/>
        </w:rPr>
        <w:t>50</w:t>
      </w:r>
      <w:r w:rsidR="00975CCE" w:rsidRPr="005525C5">
        <w:rPr>
          <w:rFonts w:asciiTheme="minorHAnsi" w:eastAsiaTheme="minorHAnsi" w:hAnsiTheme="minorHAnsi"/>
          <w:szCs w:val="22"/>
          <w:lang w:eastAsia="en-US"/>
        </w:rPr>
        <w:t>%</w:t>
      </w:r>
      <w:r w:rsidR="006B6B99" w:rsidRPr="005525C5">
        <w:rPr>
          <w:rFonts w:asciiTheme="minorHAnsi" w:eastAsiaTheme="minorHAnsi" w:hAnsiTheme="minorHAnsi"/>
          <w:szCs w:val="22"/>
          <w:lang w:eastAsia="en-US"/>
        </w:rPr>
        <w:t xml:space="preserve"> στην Σουηδία και την Ισπανία. Στην Ελλάδα, την </w:t>
      </w:r>
      <w:r w:rsidR="0061779D" w:rsidRPr="005525C5">
        <w:rPr>
          <w:rFonts w:asciiTheme="minorHAnsi" w:eastAsiaTheme="minorHAnsi" w:hAnsiTheme="minorHAnsi"/>
          <w:szCs w:val="22"/>
          <w:lang w:eastAsia="en-US"/>
        </w:rPr>
        <w:t>Κύπρο</w:t>
      </w:r>
      <w:r w:rsidR="006B6B99" w:rsidRPr="005525C5">
        <w:rPr>
          <w:rFonts w:asciiTheme="minorHAnsi" w:eastAsiaTheme="minorHAnsi" w:hAnsiTheme="minorHAnsi"/>
          <w:szCs w:val="22"/>
          <w:lang w:eastAsia="en-US"/>
        </w:rPr>
        <w:t xml:space="preserve"> και την Μάλτα αντιθέτως, είναι </w:t>
      </w:r>
      <w:r w:rsidR="0093402A" w:rsidRPr="005525C5">
        <w:rPr>
          <w:rFonts w:asciiTheme="minorHAnsi" w:eastAsiaTheme="minorHAnsi" w:hAnsiTheme="minorHAnsi"/>
          <w:szCs w:val="22"/>
          <w:lang w:eastAsia="en-US"/>
        </w:rPr>
        <w:t xml:space="preserve">υπεύθυνες για ποσοστό μικρότερο </w:t>
      </w:r>
      <w:r w:rsidR="00CD213E" w:rsidRPr="005525C5">
        <w:rPr>
          <w:rFonts w:asciiTheme="minorHAnsi" w:eastAsiaTheme="minorHAnsi" w:hAnsiTheme="minorHAnsi"/>
          <w:szCs w:val="22"/>
          <w:lang w:eastAsia="en-US"/>
        </w:rPr>
        <w:t>του 6</w:t>
      </w:r>
      <w:r w:rsidR="00975CCE" w:rsidRPr="005525C5">
        <w:rPr>
          <w:rFonts w:asciiTheme="minorHAnsi" w:eastAsiaTheme="minorHAnsi" w:hAnsiTheme="minorHAnsi"/>
          <w:szCs w:val="22"/>
          <w:lang w:eastAsia="en-US"/>
        </w:rPr>
        <w:t>%</w:t>
      </w:r>
      <w:r w:rsidR="00CD213E" w:rsidRPr="005525C5">
        <w:rPr>
          <w:rFonts w:asciiTheme="minorHAnsi" w:eastAsiaTheme="minorHAnsi" w:hAnsiTheme="minorHAnsi"/>
          <w:szCs w:val="22"/>
          <w:lang w:eastAsia="en-US"/>
        </w:rPr>
        <w:t xml:space="preserve"> </w:t>
      </w:r>
      <w:r w:rsidR="00D45FD3">
        <w:rPr>
          <w:rFonts w:asciiTheme="minorHAnsi" w:eastAsiaTheme="minorHAnsi" w:hAnsiTheme="minorHAnsi"/>
          <w:noProof/>
          <w:szCs w:val="22"/>
        </w:rPr>
        <w:drawing>
          <wp:anchor distT="0" distB="0" distL="114300" distR="114300" simplePos="0" relativeHeight="251660288" behindDoc="0" locked="0" layoutInCell="1" allowOverlap="1">
            <wp:simplePos x="0" y="0"/>
            <wp:positionH relativeFrom="column">
              <wp:posOffset>-124460</wp:posOffset>
            </wp:positionH>
            <wp:positionV relativeFrom="paragraph">
              <wp:posOffset>1928495</wp:posOffset>
            </wp:positionV>
            <wp:extent cx="5934075" cy="2647950"/>
            <wp:effectExtent l="19050" t="0" r="9525" b="0"/>
            <wp:wrapSquare wrapText="bothSides"/>
            <wp:docPr id="3" name="2 - Εικόνα"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0" cstate="print"/>
                    <a:stretch>
                      <a:fillRect/>
                    </a:stretch>
                  </pic:blipFill>
                  <pic:spPr>
                    <a:xfrm>
                      <a:off x="0" y="0"/>
                      <a:ext cx="5934075" cy="2647950"/>
                    </a:xfrm>
                    <a:prstGeom prst="rect">
                      <a:avLst/>
                    </a:prstGeom>
                  </pic:spPr>
                </pic:pic>
              </a:graphicData>
            </a:graphic>
          </wp:anchor>
        </w:drawing>
      </w:r>
      <w:r w:rsidR="00CD213E" w:rsidRPr="005525C5">
        <w:rPr>
          <w:rFonts w:asciiTheme="minorHAnsi" w:eastAsiaTheme="minorHAnsi" w:hAnsiTheme="minorHAnsi"/>
          <w:szCs w:val="22"/>
          <w:lang w:eastAsia="en-US"/>
        </w:rPr>
        <w:t>(</w:t>
      </w:r>
      <w:proofErr w:type="spellStart"/>
      <w:r w:rsidR="00CD213E" w:rsidRPr="005525C5">
        <w:rPr>
          <w:rFonts w:asciiTheme="minorHAnsi" w:eastAsiaTheme="minorHAnsi" w:hAnsiTheme="minorHAnsi"/>
          <w:szCs w:val="22"/>
          <w:lang w:eastAsia="en-US"/>
        </w:rPr>
        <w:t>υπ’αριθμ</w:t>
      </w:r>
      <w:proofErr w:type="spellEnd"/>
      <w:r w:rsidR="00CD213E" w:rsidRPr="005525C5">
        <w:rPr>
          <w:rFonts w:asciiTheme="minorHAnsi" w:eastAsiaTheme="minorHAnsi" w:hAnsiTheme="minorHAnsi"/>
          <w:szCs w:val="22"/>
          <w:lang w:eastAsia="en-US"/>
        </w:rPr>
        <w:t>. 2 πίνακας) (</w:t>
      </w:r>
      <w:r w:rsidR="0061779D" w:rsidRPr="005525C5">
        <w:rPr>
          <w:rFonts w:asciiTheme="minorHAnsi" w:eastAsiaTheme="minorHAnsi" w:hAnsiTheme="minorHAnsi"/>
          <w:szCs w:val="22"/>
          <w:lang w:eastAsia="en-US"/>
        </w:rPr>
        <w:t>Ευρωπαϊκή</w:t>
      </w:r>
      <w:r w:rsidR="00CD213E" w:rsidRPr="005525C5">
        <w:rPr>
          <w:rFonts w:asciiTheme="minorHAnsi" w:eastAsiaTheme="minorHAnsi" w:hAnsiTheme="minorHAnsi"/>
          <w:szCs w:val="22"/>
          <w:lang w:eastAsia="en-US"/>
        </w:rPr>
        <w:t xml:space="preserve"> Επιτροπή, 2014)</w:t>
      </w:r>
      <w:r w:rsidR="00D45FD3" w:rsidRPr="00D45FD3">
        <w:rPr>
          <w:rFonts w:asciiTheme="minorHAnsi" w:eastAsiaTheme="minorHAnsi" w:hAnsiTheme="minorHAnsi"/>
          <w:szCs w:val="22"/>
          <w:lang w:eastAsia="en-US"/>
        </w:rPr>
        <w:t>.</w:t>
      </w:r>
    </w:p>
    <w:p w:rsidR="00CD213E" w:rsidRPr="00D45FD3" w:rsidRDefault="00D45FD3" w:rsidP="00D45FD3">
      <w:pPr>
        <w:spacing w:line="400" w:lineRule="atLeast"/>
        <w:ind w:firstLine="720"/>
        <w:jc w:val="center"/>
        <w:rPr>
          <w:rFonts w:asciiTheme="minorHAnsi" w:eastAsiaTheme="minorHAnsi" w:hAnsiTheme="minorHAnsi"/>
          <w:i/>
          <w:sz w:val="20"/>
          <w:szCs w:val="22"/>
          <w:lang w:val="en-US" w:eastAsia="en-US"/>
        </w:rPr>
      </w:pPr>
      <w:r>
        <w:rPr>
          <w:rFonts w:asciiTheme="minorHAnsi" w:eastAsiaTheme="minorHAnsi" w:hAnsiTheme="minorHAnsi"/>
          <w:i/>
          <w:sz w:val="20"/>
          <w:szCs w:val="22"/>
          <w:lang w:eastAsia="en-US"/>
        </w:rPr>
        <w:t>Π</w:t>
      </w:r>
      <w:r w:rsidRPr="00D45FD3">
        <w:rPr>
          <w:rFonts w:asciiTheme="minorHAnsi" w:eastAsiaTheme="minorHAnsi" w:hAnsiTheme="minorHAnsi"/>
          <w:i/>
          <w:sz w:val="20"/>
          <w:szCs w:val="22"/>
          <w:lang w:eastAsia="en-US"/>
        </w:rPr>
        <w:t>ίνακας</w:t>
      </w:r>
      <w:r>
        <w:rPr>
          <w:rFonts w:asciiTheme="minorHAnsi" w:eastAsiaTheme="minorHAnsi" w:hAnsiTheme="minorHAnsi"/>
          <w:i/>
          <w:sz w:val="20"/>
          <w:szCs w:val="22"/>
          <w:lang w:eastAsia="en-US"/>
        </w:rPr>
        <w:t xml:space="preserve"> 2</w:t>
      </w:r>
      <w:r w:rsidR="00CD213E" w:rsidRPr="00D45FD3">
        <w:rPr>
          <w:rFonts w:asciiTheme="minorHAnsi" w:eastAsiaTheme="minorHAnsi" w:hAnsiTheme="minorHAnsi"/>
          <w:i/>
          <w:sz w:val="20"/>
          <w:szCs w:val="22"/>
          <w:lang w:eastAsia="en-US"/>
        </w:rPr>
        <w:t xml:space="preserve">. Δαπάνες του </w:t>
      </w:r>
      <w:proofErr w:type="spellStart"/>
      <w:r w:rsidR="00CD213E" w:rsidRPr="00D45FD3">
        <w:rPr>
          <w:rFonts w:asciiTheme="minorHAnsi" w:eastAsiaTheme="minorHAnsi" w:hAnsiTheme="minorHAnsi"/>
          <w:i/>
          <w:sz w:val="20"/>
          <w:szCs w:val="22"/>
          <w:lang w:eastAsia="en-US"/>
        </w:rPr>
        <w:t>υποεθνικού</w:t>
      </w:r>
      <w:proofErr w:type="spellEnd"/>
      <w:r w:rsidR="00CD213E" w:rsidRPr="00D45FD3">
        <w:rPr>
          <w:rFonts w:asciiTheme="minorHAnsi" w:eastAsiaTheme="minorHAnsi" w:hAnsiTheme="minorHAnsi"/>
          <w:i/>
          <w:sz w:val="20"/>
          <w:szCs w:val="22"/>
          <w:lang w:eastAsia="en-US"/>
        </w:rPr>
        <w:t xml:space="preserve"> τομέα στις διάφορες χώρες το 2010 (ποσοστό σε όγκο) (επεξεργάστηκε από την </w:t>
      </w:r>
      <w:r w:rsidR="0061779D" w:rsidRPr="00D45FD3">
        <w:rPr>
          <w:rFonts w:asciiTheme="minorHAnsi" w:eastAsiaTheme="minorHAnsi" w:hAnsiTheme="minorHAnsi"/>
          <w:i/>
          <w:sz w:val="20"/>
          <w:szCs w:val="22"/>
          <w:lang w:eastAsia="en-US"/>
        </w:rPr>
        <w:t>Ευρωπαϊκή</w:t>
      </w:r>
      <w:r w:rsidR="00CD213E" w:rsidRPr="00D45FD3">
        <w:rPr>
          <w:rFonts w:asciiTheme="minorHAnsi" w:eastAsiaTheme="minorHAnsi" w:hAnsiTheme="minorHAnsi"/>
          <w:i/>
          <w:sz w:val="20"/>
          <w:szCs w:val="22"/>
          <w:lang w:eastAsia="en-US"/>
        </w:rPr>
        <w:t xml:space="preserve"> Επιτροπή, 2014. Πηγή : </w:t>
      </w:r>
      <w:proofErr w:type="spellStart"/>
      <w:r w:rsidR="00CD213E" w:rsidRPr="00D45FD3">
        <w:rPr>
          <w:rFonts w:asciiTheme="minorHAnsi" w:eastAsiaTheme="minorHAnsi" w:hAnsiTheme="minorHAnsi"/>
          <w:i/>
          <w:sz w:val="20"/>
          <w:szCs w:val="22"/>
          <w:lang w:eastAsia="en-US"/>
        </w:rPr>
        <w:t>Eurostat</w:t>
      </w:r>
      <w:proofErr w:type="spellEnd"/>
      <w:r w:rsidR="00CD213E" w:rsidRPr="00D45FD3">
        <w:rPr>
          <w:rFonts w:asciiTheme="minorHAnsi" w:eastAsiaTheme="minorHAnsi" w:hAnsiTheme="minorHAnsi"/>
          <w:i/>
          <w:sz w:val="20"/>
          <w:szCs w:val="22"/>
          <w:lang w:eastAsia="en-US"/>
        </w:rPr>
        <w:t>).</w:t>
      </w:r>
    </w:p>
    <w:p w:rsidR="00D45FD3" w:rsidRPr="00D45FD3" w:rsidRDefault="00D45FD3" w:rsidP="00B57015">
      <w:pPr>
        <w:spacing w:line="400" w:lineRule="atLeast"/>
        <w:ind w:firstLine="720"/>
        <w:jc w:val="both"/>
        <w:rPr>
          <w:rFonts w:asciiTheme="minorHAnsi" w:eastAsiaTheme="minorHAnsi" w:hAnsiTheme="minorHAnsi"/>
          <w:szCs w:val="22"/>
          <w:lang w:val="en-US" w:eastAsia="en-US"/>
        </w:rPr>
      </w:pPr>
    </w:p>
    <w:p w:rsidR="00975CCE" w:rsidRPr="005525C5" w:rsidRDefault="00CD213E" w:rsidP="00B57015">
      <w:pPr>
        <w:spacing w:line="400" w:lineRule="atLeast"/>
        <w:ind w:firstLine="720"/>
        <w:jc w:val="both"/>
        <w:rPr>
          <w:rFonts w:asciiTheme="minorHAnsi" w:eastAsiaTheme="minorHAnsi" w:hAnsiTheme="minorHAnsi"/>
          <w:szCs w:val="22"/>
          <w:lang w:eastAsia="en-US"/>
        </w:rPr>
      </w:pPr>
      <w:r w:rsidRPr="005525C5">
        <w:rPr>
          <w:rFonts w:asciiTheme="minorHAnsi" w:eastAsiaTheme="minorHAnsi" w:hAnsiTheme="minorHAnsi"/>
          <w:szCs w:val="22"/>
          <w:lang w:eastAsia="en-US"/>
        </w:rPr>
        <w:t xml:space="preserve">Οι δαπάνες του </w:t>
      </w:r>
      <w:proofErr w:type="spellStart"/>
      <w:r w:rsidRPr="005525C5">
        <w:rPr>
          <w:rFonts w:asciiTheme="minorHAnsi" w:eastAsiaTheme="minorHAnsi" w:hAnsiTheme="minorHAnsi"/>
          <w:szCs w:val="22"/>
          <w:lang w:eastAsia="en-US"/>
        </w:rPr>
        <w:t>υποεθνικού</w:t>
      </w:r>
      <w:proofErr w:type="spellEnd"/>
      <w:r w:rsidRPr="005525C5">
        <w:rPr>
          <w:rFonts w:asciiTheme="minorHAnsi" w:eastAsiaTheme="minorHAnsi" w:hAnsiTheme="minorHAnsi"/>
          <w:szCs w:val="22"/>
          <w:lang w:eastAsia="en-US"/>
        </w:rPr>
        <w:t xml:space="preserve"> δημόσιου τομέα είναι πολύ μικρότερες στην Ελλάδα (3,1</w:t>
      </w:r>
      <w:r w:rsidR="00975CCE" w:rsidRPr="005525C5">
        <w:rPr>
          <w:rFonts w:asciiTheme="minorHAnsi" w:eastAsiaTheme="minorHAnsi" w:hAnsiTheme="minorHAnsi"/>
          <w:szCs w:val="22"/>
          <w:lang w:eastAsia="en-US"/>
        </w:rPr>
        <w:t>%</w:t>
      </w:r>
      <w:r w:rsidRPr="005525C5">
        <w:rPr>
          <w:rFonts w:asciiTheme="minorHAnsi" w:eastAsiaTheme="minorHAnsi" w:hAnsiTheme="minorHAnsi"/>
          <w:szCs w:val="22"/>
          <w:lang w:eastAsia="en-US"/>
        </w:rPr>
        <w:t xml:space="preserve"> του ΑΕΠ και 5,9% των εθνικών δημοσίων δαπανών)</w:t>
      </w:r>
      <w:r w:rsidR="0093402A" w:rsidRPr="005525C5">
        <w:rPr>
          <w:rFonts w:asciiTheme="minorHAnsi" w:eastAsiaTheme="minorHAnsi" w:hAnsiTheme="minorHAnsi"/>
          <w:szCs w:val="22"/>
          <w:lang w:eastAsia="en-US"/>
        </w:rPr>
        <w:t>,</w:t>
      </w:r>
      <w:r w:rsidRPr="005525C5">
        <w:rPr>
          <w:rFonts w:asciiTheme="minorHAnsi" w:eastAsiaTheme="minorHAnsi" w:hAnsiTheme="minorHAnsi"/>
          <w:szCs w:val="22"/>
          <w:lang w:eastAsia="en-US"/>
        </w:rPr>
        <w:t xml:space="preserve"> από τον μέσο όρο των δαπανών του δημοσίου </w:t>
      </w:r>
      <w:proofErr w:type="spellStart"/>
      <w:r w:rsidRPr="005525C5">
        <w:rPr>
          <w:rFonts w:asciiTheme="minorHAnsi" w:eastAsiaTheme="minorHAnsi" w:hAnsiTheme="minorHAnsi"/>
          <w:szCs w:val="22"/>
          <w:lang w:eastAsia="en-US"/>
        </w:rPr>
        <w:t>υποεθνικού</w:t>
      </w:r>
      <w:proofErr w:type="spellEnd"/>
      <w:r w:rsidRPr="005525C5">
        <w:rPr>
          <w:rFonts w:asciiTheme="minorHAnsi" w:eastAsiaTheme="minorHAnsi" w:hAnsiTheme="minorHAnsi"/>
          <w:szCs w:val="22"/>
          <w:lang w:eastAsia="en-US"/>
        </w:rPr>
        <w:t xml:space="preserve"> τομέα στην ΕΕ (16,7% του ΑΕΠ και 34% των εθνικών δημοσίων δαπανών) (Συμβούλιο Ευρωπαϊκών Δήμων και Περιφερειών, 2013. Πληροφοριακά δελτία).</w:t>
      </w:r>
    </w:p>
    <w:p w:rsidR="00CD213E" w:rsidRPr="005525C5" w:rsidRDefault="00075163" w:rsidP="00B57015">
      <w:pPr>
        <w:spacing w:line="400" w:lineRule="atLeast"/>
        <w:ind w:firstLine="720"/>
        <w:jc w:val="both"/>
        <w:rPr>
          <w:rFonts w:asciiTheme="minorHAnsi" w:eastAsiaTheme="minorHAnsi" w:hAnsiTheme="minorHAnsi"/>
          <w:szCs w:val="22"/>
          <w:lang w:eastAsia="en-US"/>
        </w:rPr>
      </w:pPr>
      <w:r w:rsidRPr="005525C5">
        <w:rPr>
          <w:rFonts w:asciiTheme="minorHAnsi" w:eastAsiaTheme="minorHAnsi" w:hAnsiTheme="minorHAnsi"/>
          <w:szCs w:val="22"/>
          <w:lang w:eastAsia="en-US"/>
        </w:rPr>
        <w:t xml:space="preserve">Ενώ η μέση αύξηση των δαπανών στην Ευρώπη παραμένει στάσιμη γύρω στο μηδέν, σε </w:t>
      </w:r>
      <w:r w:rsidR="004B1969" w:rsidRPr="005525C5">
        <w:rPr>
          <w:rFonts w:asciiTheme="minorHAnsi" w:eastAsiaTheme="minorHAnsi" w:hAnsiTheme="minorHAnsi"/>
          <w:szCs w:val="22"/>
          <w:lang w:eastAsia="en-US"/>
        </w:rPr>
        <w:t>πάνω από τις μισές χώρες της ΕΕ, ο όγκος δαπανών πραγματικά σημείωσε ύφεση. Για ορισμένες χώρες, αυτή η ύφεση ήταν πολύ ξεκάθαρη, κυρίως για την Ελλάδα, την Πορτογαλία, την Ιρλανδία, την Ιταλία και την Ισπανία (DEXIA – Συμβούλιο Ευρωπαϊκών Δήμων και Περιφερειών 2012).</w:t>
      </w:r>
    </w:p>
    <w:p w:rsidR="009949CE" w:rsidRPr="005525C5" w:rsidRDefault="009949CE" w:rsidP="00B57015">
      <w:pPr>
        <w:spacing w:line="400" w:lineRule="atLeast"/>
        <w:ind w:firstLine="720"/>
        <w:jc w:val="both"/>
        <w:rPr>
          <w:rFonts w:asciiTheme="minorHAnsi" w:eastAsiaTheme="minorHAnsi" w:hAnsiTheme="minorHAnsi"/>
          <w:szCs w:val="22"/>
          <w:lang w:eastAsia="en-US"/>
        </w:rPr>
      </w:pPr>
      <w:r w:rsidRPr="005525C5">
        <w:rPr>
          <w:rFonts w:asciiTheme="minorHAnsi" w:eastAsiaTheme="minorHAnsi" w:hAnsiTheme="minorHAnsi"/>
          <w:szCs w:val="22"/>
          <w:lang w:eastAsia="en-US"/>
        </w:rPr>
        <w:t xml:space="preserve">Το χαμηλό επίπεδο </w:t>
      </w:r>
      <w:proofErr w:type="spellStart"/>
      <w:r w:rsidRPr="005525C5">
        <w:rPr>
          <w:rFonts w:asciiTheme="minorHAnsi" w:eastAsiaTheme="minorHAnsi" w:hAnsiTheme="minorHAnsi"/>
          <w:szCs w:val="22"/>
          <w:lang w:eastAsia="en-US"/>
        </w:rPr>
        <w:t>υποεθνικών</w:t>
      </w:r>
      <w:proofErr w:type="spellEnd"/>
      <w:r w:rsidRPr="005525C5">
        <w:rPr>
          <w:rFonts w:asciiTheme="minorHAnsi" w:eastAsiaTheme="minorHAnsi" w:hAnsiTheme="minorHAnsi"/>
          <w:szCs w:val="22"/>
          <w:lang w:eastAsia="en-US"/>
        </w:rPr>
        <w:t xml:space="preserve"> δημοσίων δαπανών στην Ελλάδα αποδεικνύει ότι</w:t>
      </w:r>
      <w:r w:rsidR="0093402A" w:rsidRPr="005525C5">
        <w:rPr>
          <w:rFonts w:asciiTheme="minorHAnsi" w:eastAsiaTheme="minorHAnsi" w:hAnsiTheme="minorHAnsi"/>
          <w:szCs w:val="22"/>
          <w:lang w:eastAsia="en-US"/>
        </w:rPr>
        <w:t>,</w:t>
      </w:r>
      <w:r w:rsidRPr="005525C5">
        <w:rPr>
          <w:rFonts w:asciiTheme="minorHAnsi" w:eastAsiaTheme="minorHAnsi" w:hAnsiTheme="minorHAnsi"/>
          <w:szCs w:val="22"/>
          <w:lang w:eastAsia="en-US"/>
        </w:rPr>
        <w:t xml:space="preserve"> παρά το γεγονός ότι το ποσοστό του ΑΕΠ που δαπανήθηκε από τον εθνικό δημόσιο τομέα στην Ελλάδα είναι κοντά σε εκείνο της Ευρώπης των 27, οι πόροι που χορηγήθηκαν στις </w:t>
      </w:r>
      <w:proofErr w:type="spellStart"/>
      <w:r w:rsidRPr="005525C5">
        <w:rPr>
          <w:rFonts w:asciiTheme="minorHAnsi" w:eastAsiaTheme="minorHAnsi" w:hAnsiTheme="minorHAnsi"/>
          <w:szCs w:val="22"/>
          <w:lang w:eastAsia="en-US"/>
        </w:rPr>
        <w:lastRenderedPageBreak/>
        <w:t>υποεθνικές</w:t>
      </w:r>
      <w:proofErr w:type="spellEnd"/>
      <w:r w:rsidRPr="005525C5">
        <w:rPr>
          <w:rFonts w:asciiTheme="minorHAnsi" w:eastAsiaTheme="minorHAnsi" w:hAnsiTheme="minorHAnsi"/>
          <w:szCs w:val="22"/>
          <w:lang w:eastAsia="en-US"/>
        </w:rPr>
        <w:t xml:space="preserve"> αρχές στην Ελλάδα είναι πολύ πιο χαμηλοί από οποιαδήποτε άλλη χώρα της ΕΕ. </w:t>
      </w:r>
    </w:p>
    <w:p w:rsidR="009949CE" w:rsidRPr="005525C5" w:rsidRDefault="009949CE" w:rsidP="00B57015">
      <w:pPr>
        <w:spacing w:line="400" w:lineRule="atLeast"/>
        <w:ind w:firstLine="720"/>
        <w:jc w:val="both"/>
        <w:rPr>
          <w:rFonts w:asciiTheme="minorHAnsi" w:eastAsiaTheme="minorHAnsi" w:hAnsiTheme="minorHAnsi"/>
          <w:szCs w:val="22"/>
          <w:lang w:eastAsia="en-US"/>
        </w:rPr>
      </w:pPr>
    </w:p>
    <w:p w:rsidR="009949CE" w:rsidRPr="005F4728" w:rsidRDefault="009949CE" w:rsidP="00B57015">
      <w:pPr>
        <w:spacing w:line="400" w:lineRule="atLeast"/>
        <w:jc w:val="both"/>
        <w:rPr>
          <w:rFonts w:asciiTheme="minorHAnsi" w:eastAsiaTheme="minorHAnsi" w:hAnsiTheme="minorHAnsi"/>
          <w:b/>
          <w:szCs w:val="22"/>
          <w:lang w:eastAsia="en-US"/>
        </w:rPr>
      </w:pPr>
      <w:r w:rsidRPr="005F4728">
        <w:rPr>
          <w:rFonts w:asciiTheme="minorHAnsi" w:eastAsiaTheme="minorHAnsi" w:hAnsiTheme="minorHAnsi"/>
          <w:b/>
          <w:szCs w:val="22"/>
          <w:lang w:eastAsia="en-US"/>
        </w:rPr>
        <w:t xml:space="preserve">4. </w:t>
      </w:r>
      <w:r w:rsidR="003B5D9D" w:rsidRPr="005F4728">
        <w:rPr>
          <w:rFonts w:asciiTheme="minorHAnsi" w:eastAsiaTheme="minorHAnsi" w:hAnsiTheme="minorHAnsi"/>
          <w:b/>
          <w:szCs w:val="22"/>
          <w:lang w:eastAsia="en-US"/>
        </w:rPr>
        <w:t>Άμεσες</w:t>
      </w:r>
      <w:r w:rsidRPr="005F4728">
        <w:rPr>
          <w:rFonts w:asciiTheme="minorHAnsi" w:eastAsiaTheme="minorHAnsi" w:hAnsiTheme="minorHAnsi"/>
          <w:b/>
          <w:szCs w:val="22"/>
          <w:lang w:eastAsia="en-US"/>
        </w:rPr>
        <w:t xml:space="preserve"> επενδύσεις του δημόσιου τομέα και του </w:t>
      </w:r>
      <w:proofErr w:type="spellStart"/>
      <w:r w:rsidRPr="005F4728">
        <w:rPr>
          <w:rFonts w:asciiTheme="minorHAnsi" w:eastAsiaTheme="minorHAnsi" w:hAnsiTheme="minorHAnsi"/>
          <w:b/>
          <w:szCs w:val="22"/>
          <w:lang w:eastAsia="en-US"/>
        </w:rPr>
        <w:t>υποεθνικού</w:t>
      </w:r>
      <w:proofErr w:type="spellEnd"/>
      <w:r w:rsidRPr="005F4728">
        <w:rPr>
          <w:rFonts w:asciiTheme="minorHAnsi" w:eastAsiaTheme="minorHAnsi" w:hAnsiTheme="minorHAnsi"/>
          <w:b/>
          <w:szCs w:val="22"/>
          <w:lang w:eastAsia="en-US"/>
        </w:rPr>
        <w:t xml:space="preserve"> τομέα</w:t>
      </w:r>
    </w:p>
    <w:p w:rsidR="00BA7B45" w:rsidRPr="005525C5" w:rsidRDefault="009949CE" w:rsidP="0078370C">
      <w:pPr>
        <w:spacing w:line="380" w:lineRule="atLeast"/>
        <w:ind w:firstLine="720"/>
        <w:jc w:val="both"/>
        <w:rPr>
          <w:rFonts w:asciiTheme="minorHAnsi" w:eastAsiaTheme="minorHAnsi" w:hAnsiTheme="minorHAnsi"/>
          <w:szCs w:val="22"/>
          <w:lang w:eastAsia="en-US"/>
        </w:rPr>
      </w:pPr>
      <w:r w:rsidRPr="005525C5">
        <w:rPr>
          <w:rFonts w:asciiTheme="minorHAnsi" w:eastAsiaTheme="minorHAnsi" w:hAnsiTheme="minorHAnsi"/>
          <w:szCs w:val="22"/>
          <w:lang w:eastAsia="en-US"/>
        </w:rPr>
        <w:t>Οι άμεσες επενδύσεις του δημόσιου</w:t>
      </w:r>
      <w:r w:rsidR="001C061A" w:rsidRPr="005F4728">
        <w:rPr>
          <w:rFonts w:eastAsiaTheme="minorHAnsi"/>
          <w:szCs w:val="22"/>
          <w:vertAlign w:val="superscript"/>
          <w:lang w:eastAsia="en-US"/>
        </w:rPr>
        <w:footnoteReference w:id="4"/>
      </w:r>
      <w:r w:rsidRPr="005525C5">
        <w:rPr>
          <w:rFonts w:asciiTheme="minorHAnsi" w:eastAsiaTheme="minorHAnsi" w:hAnsiTheme="minorHAnsi"/>
          <w:szCs w:val="22"/>
          <w:lang w:eastAsia="en-US"/>
        </w:rPr>
        <w:t xml:space="preserve"> </w:t>
      </w:r>
      <w:r w:rsidR="001C061A" w:rsidRPr="005525C5">
        <w:rPr>
          <w:rFonts w:asciiTheme="minorHAnsi" w:eastAsiaTheme="minorHAnsi" w:hAnsiTheme="minorHAnsi"/>
          <w:szCs w:val="22"/>
          <w:lang w:eastAsia="en-US"/>
        </w:rPr>
        <w:t xml:space="preserve">τομέα </w:t>
      </w:r>
      <w:r w:rsidRPr="005525C5">
        <w:rPr>
          <w:rFonts w:asciiTheme="minorHAnsi" w:eastAsiaTheme="minorHAnsi" w:hAnsiTheme="minorHAnsi"/>
          <w:szCs w:val="22"/>
          <w:lang w:eastAsia="en-US"/>
        </w:rPr>
        <w:t>είναι μεγα</w:t>
      </w:r>
      <w:r w:rsidR="00423BE2" w:rsidRPr="005525C5">
        <w:rPr>
          <w:rFonts w:asciiTheme="minorHAnsi" w:eastAsiaTheme="minorHAnsi" w:hAnsiTheme="minorHAnsi"/>
          <w:szCs w:val="22"/>
          <w:lang w:eastAsia="en-US"/>
        </w:rPr>
        <w:t>λ</w:t>
      </w:r>
      <w:r w:rsidRPr="005525C5">
        <w:rPr>
          <w:rFonts w:asciiTheme="minorHAnsi" w:eastAsiaTheme="minorHAnsi" w:hAnsiTheme="minorHAnsi"/>
          <w:szCs w:val="22"/>
          <w:lang w:eastAsia="en-US"/>
        </w:rPr>
        <w:t xml:space="preserve">ύτερες στην Ευρώπη των 27 (762 </w:t>
      </w:r>
      <w:r w:rsidR="003B5D9D" w:rsidRPr="005525C5">
        <w:rPr>
          <w:rFonts w:asciiTheme="minorHAnsi" w:eastAsiaTheme="minorHAnsi" w:hAnsiTheme="minorHAnsi"/>
          <w:szCs w:val="22"/>
          <w:lang w:eastAsia="en-US"/>
        </w:rPr>
        <w:t>δολάρια</w:t>
      </w:r>
      <w:r w:rsidRPr="005525C5">
        <w:rPr>
          <w:rFonts w:asciiTheme="minorHAnsi" w:eastAsiaTheme="minorHAnsi" w:hAnsiTheme="minorHAnsi"/>
          <w:szCs w:val="22"/>
          <w:lang w:eastAsia="en-US"/>
        </w:rPr>
        <w:t xml:space="preserve"> ανά κάτοικο και 2,3% του ΑΕΠ) σε σχέση με την Ελλάδα (475 </w:t>
      </w:r>
      <w:r w:rsidR="003B5D9D" w:rsidRPr="005525C5">
        <w:rPr>
          <w:rFonts w:asciiTheme="minorHAnsi" w:eastAsiaTheme="minorHAnsi" w:hAnsiTheme="minorHAnsi"/>
          <w:szCs w:val="22"/>
          <w:lang w:eastAsia="en-US"/>
        </w:rPr>
        <w:t>δολάρια</w:t>
      </w:r>
      <w:r w:rsidRPr="005525C5">
        <w:rPr>
          <w:rFonts w:asciiTheme="minorHAnsi" w:eastAsiaTheme="minorHAnsi" w:hAnsiTheme="minorHAnsi"/>
          <w:szCs w:val="22"/>
          <w:lang w:eastAsia="en-US"/>
        </w:rPr>
        <w:t xml:space="preserve"> ανά κάτοικο και 1,9% του ΑΕΠ). Λαμβάνοντας υπόψη τις εθνικές δημόσιες επενδύσεις, </w:t>
      </w:r>
      <w:r w:rsidR="00423BE2" w:rsidRPr="005525C5">
        <w:rPr>
          <w:rFonts w:asciiTheme="minorHAnsi" w:eastAsiaTheme="minorHAnsi" w:hAnsiTheme="minorHAnsi"/>
          <w:szCs w:val="22"/>
          <w:lang w:eastAsia="en-US"/>
        </w:rPr>
        <w:t xml:space="preserve">οι άμεσες επενδύσεις της κεντρικής κυβέρνησης είναι </w:t>
      </w:r>
      <w:r w:rsidR="003B5D9D" w:rsidRPr="005525C5">
        <w:rPr>
          <w:rFonts w:asciiTheme="minorHAnsi" w:eastAsiaTheme="minorHAnsi" w:hAnsiTheme="minorHAnsi"/>
          <w:szCs w:val="22"/>
          <w:lang w:eastAsia="en-US"/>
        </w:rPr>
        <w:t>μικρότερες</w:t>
      </w:r>
      <w:r w:rsidR="00423BE2" w:rsidRPr="005525C5">
        <w:rPr>
          <w:rFonts w:asciiTheme="minorHAnsi" w:eastAsiaTheme="minorHAnsi" w:hAnsiTheme="minorHAnsi"/>
          <w:szCs w:val="22"/>
          <w:lang w:eastAsia="en-US"/>
        </w:rPr>
        <w:t xml:space="preserve"> στην Ελλάδα (3,4% των δημοσίων επενδύσεων)</w:t>
      </w:r>
      <w:r w:rsidR="001C061A" w:rsidRPr="005525C5">
        <w:rPr>
          <w:rFonts w:asciiTheme="minorHAnsi" w:eastAsiaTheme="minorHAnsi" w:hAnsiTheme="minorHAnsi"/>
          <w:szCs w:val="22"/>
          <w:lang w:eastAsia="en-US"/>
        </w:rPr>
        <w:t>,</w:t>
      </w:r>
      <w:r w:rsidR="00423BE2" w:rsidRPr="005525C5">
        <w:rPr>
          <w:rFonts w:asciiTheme="minorHAnsi" w:eastAsiaTheme="minorHAnsi" w:hAnsiTheme="minorHAnsi"/>
          <w:szCs w:val="22"/>
          <w:lang w:eastAsia="en-US"/>
        </w:rPr>
        <w:t xml:space="preserve"> σε σχέση με την Ευρώπη των 27 (4,6% των δημοσίων επενδύσεων).</w:t>
      </w:r>
    </w:p>
    <w:p w:rsidR="00423BE2" w:rsidRPr="005525C5" w:rsidRDefault="00423BE2" w:rsidP="0078370C">
      <w:pPr>
        <w:spacing w:line="380" w:lineRule="atLeast"/>
        <w:ind w:firstLine="720"/>
        <w:jc w:val="both"/>
        <w:rPr>
          <w:rFonts w:asciiTheme="minorHAnsi" w:eastAsiaTheme="minorHAnsi" w:hAnsiTheme="minorHAnsi"/>
          <w:szCs w:val="22"/>
          <w:lang w:eastAsia="en-US"/>
        </w:rPr>
      </w:pPr>
      <w:r w:rsidRPr="005525C5">
        <w:rPr>
          <w:rFonts w:asciiTheme="minorHAnsi" w:eastAsiaTheme="minorHAnsi" w:hAnsiTheme="minorHAnsi"/>
          <w:szCs w:val="22"/>
          <w:lang w:eastAsia="en-US"/>
        </w:rPr>
        <w:t xml:space="preserve">Οι άμεσες επενδύσεις της </w:t>
      </w:r>
      <w:proofErr w:type="spellStart"/>
      <w:r w:rsidRPr="005525C5">
        <w:rPr>
          <w:rFonts w:asciiTheme="minorHAnsi" w:eastAsiaTheme="minorHAnsi" w:hAnsiTheme="minorHAnsi"/>
          <w:szCs w:val="22"/>
          <w:lang w:eastAsia="en-US"/>
        </w:rPr>
        <w:t>υποεθνικής</w:t>
      </w:r>
      <w:proofErr w:type="spellEnd"/>
      <w:r w:rsidRPr="005525C5">
        <w:rPr>
          <w:rFonts w:asciiTheme="minorHAnsi" w:eastAsiaTheme="minorHAnsi" w:hAnsiTheme="minorHAnsi"/>
          <w:szCs w:val="22"/>
          <w:lang w:eastAsia="en-US"/>
        </w:rPr>
        <w:t xml:space="preserve"> κυβέρνησης είναι πολύ μικρότερες στην Ελλάδα (146 </w:t>
      </w:r>
      <w:r w:rsidR="003B5D9D" w:rsidRPr="005525C5">
        <w:rPr>
          <w:rFonts w:asciiTheme="minorHAnsi" w:eastAsiaTheme="minorHAnsi" w:hAnsiTheme="minorHAnsi"/>
          <w:szCs w:val="22"/>
          <w:lang w:eastAsia="en-US"/>
        </w:rPr>
        <w:t>δολάρια</w:t>
      </w:r>
      <w:r w:rsidRPr="005525C5">
        <w:rPr>
          <w:rFonts w:asciiTheme="minorHAnsi" w:eastAsiaTheme="minorHAnsi" w:hAnsiTheme="minorHAnsi"/>
          <w:szCs w:val="22"/>
          <w:lang w:eastAsia="en-US"/>
        </w:rPr>
        <w:t xml:space="preserve"> ανά κάτοικο και 0,6% του ΑΕΠ) σε σχέση με την Ευρώπη των 27 (502 </w:t>
      </w:r>
      <w:r w:rsidR="003B5D9D" w:rsidRPr="005525C5">
        <w:rPr>
          <w:rFonts w:asciiTheme="minorHAnsi" w:eastAsiaTheme="minorHAnsi" w:hAnsiTheme="minorHAnsi"/>
          <w:szCs w:val="22"/>
          <w:lang w:eastAsia="en-US"/>
        </w:rPr>
        <w:t>δολάρια</w:t>
      </w:r>
      <w:r w:rsidRPr="005525C5">
        <w:rPr>
          <w:rFonts w:asciiTheme="minorHAnsi" w:eastAsiaTheme="minorHAnsi" w:hAnsiTheme="minorHAnsi"/>
          <w:szCs w:val="22"/>
          <w:lang w:eastAsia="en-US"/>
        </w:rPr>
        <w:t xml:space="preserve"> ανά κάτοικο και 1,5% του ΑΕΠ). (ΟΟΣΑ 2013).</w:t>
      </w:r>
    </w:p>
    <w:p w:rsidR="00B13AC4" w:rsidRPr="005525C5" w:rsidRDefault="00423BE2" w:rsidP="0078370C">
      <w:pPr>
        <w:spacing w:line="380" w:lineRule="atLeast"/>
        <w:ind w:firstLine="720"/>
        <w:jc w:val="both"/>
        <w:rPr>
          <w:rFonts w:asciiTheme="minorHAnsi" w:eastAsiaTheme="minorHAnsi" w:hAnsiTheme="minorHAnsi"/>
          <w:szCs w:val="22"/>
          <w:lang w:eastAsia="en-US"/>
        </w:rPr>
      </w:pPr>
      <w:r w:rsidRPr="005525C5">
        <w:rPr>
          <w:rFonts w:asciiTheme="minorHAnsi" w:eastAsiaTheme="minorHAnsi" w:hAnsiTheme="minorHAnsi"/>
          <w:szCs w:val="22"/>
          <w:lang w:eastAsia="en-US"/>
        </w:rPr>
        <w:t xml:space="preserve">Κατά τη διάρκεια της δεκαετίας 2000-2010, οι άμεσες επενδύσεις του </w:t>
      </w:r>
      <w:proofErr w:type="spellStart"/>
      <w:r w:rsidRPr="005525C5">
        <w:rPr>
          <w:rFonts w:asciiTheme="minorHAnsi" w:eastAsiaTheme="minorHAnsi" w:hAnsiTheme="minorHAnsi"/>
          <w:szCs w:val="22"/>
          <w:lang w:eastAsia="en-US"/>
        </w:rPr>
        <w:t>υποεθνικού</w:t>
      </w:r>
      <w:proofErr w:type="spellEnd"/>
      <w:r w:rsidRPr="005525C5">
        <w:rPr>
          <w:rFonts w:asciiTheme="minorHAnsi" w:eastAsiaTheme="minorHAnsi" w:hAnsiTheme="minorHAnsi"/>
          <w:szCs w:val="22"/>
          <w:lang w:eastAsia="en-US"/>
        </w:rPr>
        <w:t xml:space="preserve"> τομέα σημείωσαν άνοδο στην ΕΕ </w:t>
      </w:r>
      <w:r w:rsidR="007207E7" w:rsidRPr="005525C5">
        <w:rPr>
          <w:rFonts w:asciiTheme="minorHAnsi" w:eastAsiaTheme="minorHAnsi" w:hAnsiTheme="minorHAnsi"/>
          <w:szCs w:val="22"/>
          <w:lang w:eastAsia="en-US"/>
        </w:rPr>
        <w:t>λόγω</w:t>
      </w:r>
      <w:r w:rsidRPr="005525C5">
        <w:rPr>
          <w:rFonts w:asciiTheme="minorHAnsi" w:eastAsiaTheme="minorHAnsi" w:hAnsiTheme="minorHAnsi"/>
          <w:szCs w:val="22"/>
          <w:lang w:eastAsia="en-US"/>
        </w:rPr>
        <w:t xml:space="preserve"> της αποκέντρωσης και της με</w:t>
      </w:r>
      <w:r w:rsidR="005C3772" w:rsidRPr="005525C5">
        <w:rPr>
          <w:rFonts w:asciiTheme="minorHAnsi" w:eastAsiaTheme="minorHAnsi" w:hAnsiTheme="minorHAnsi"/>
          <w:szCs w:val="22"/>
          <w:lang w:eastAsia="en-US"/>
        </w:rPr>
        <w:t xml:space="preserve">ταφοράς των αρμοδιοτήτων, των σημαντικών αναγκών </w:t>
      </w:r>
      <w:r w:rsidR="007207E7" w:rsidRPr="005525C5">
        <w:rPr>
          <w:rFonts w:asciiTheme="minorHAnsi" w:eastAsiaTheme="minorHAnsi" w:hAnsiTheme="minorHAnsi"/>
          <w:szCs w:val="22"/>
          <w:lang w:eastAsia="en-US"/>
        </w:rPr>
        <w:t xml:space="preserve">αναφορικά με την ανανέωση και την </w:t>
      </w:r>
      <w:r w:rsidR="005C3772" w:rsidRPr="005525C5">
        <w:rPr>
          <w:rFonts w:asciiTheme="minorHAnsi" w:eastAsiaTheme="minorHAnsi" w:hAnsiTheme="minorHAnsi"/>
          <w:szCs w:val="22"/>
          <w:lang w:eastAsia="en-US"/>
        </w:rPr>
        <w:t xml:space="preserve">κατασκευή </w:t>
      </w:r>
      <w:r w:rsidR="007207E7" w:rsidRPr="005525C5">
        <w:rPr>
          <w:rFonts w:asciiTheme="minorHAnsi" w:eastAsiaTheme="minorHAnsi" w:hAnsiTheme="minorHAnsi"/>
          <w:szCs w:val="22"/>
          <w:lang w:eastAsia="en-US"/>
        </w:rPr>
        <w:t xml:space="preserve">του </w:t>
      </w:r>
      <w:r w:rsidR="005C3772" w:rsidRPr="005525C5">
        <w:rPr>
          <w:rFonts w:asciiTheme="minorHAnsi" w:eastAsiaTheme="minorHAnsi" w:hAnsiTheme="minorHAnsi"/>
          <w:szCs w:val="22"/>
          <w:lang w:eastAsia="en-US"/>
        </w:rPr>
        <w:t xml:space="preserve">δημόσιου εξοπλισμού και υποδομών (μεταφορές, νερό, </w:t>
      </w:r>
      <w:r w:rsidR="003B5D9D" w:rsidRPr="005525C5">
        <w:rPr>
          <w:rFonts w:asciiTheme="minorHAnsi" w:eastAsiaTheme="minorHAnsi" w:hAnsiTheme="minorHAnsi"/>
          <w:szCs w:val="22"/>
          <w:lang w:eastAsia="en-US"/>
        </w:rPr>
        <w:t>απορρίμματα</w:t>
      </w:r>
      <w:r w:rsidR="005C3772" w:rsidRPr="005525C5">
        <w:rPr>
          <w:rFonts w:asciiTheme="minorHAnsi" w:eastAsiaTheme="minorHAnsi" w:hAnsiTheme="minorHAnsi"/>
          <w:szCs w:val="22"/>
          <w:lang w:eastAsia="en-US"/>
        </w:rPr>
        <w:t>, κλπ.)</w:t>
      </w:r>
      <w:r w:rsidR="007207E7" w:rsidRPr="005525C5">
        <w:rPr>
          <w:rFonts w:asciiTheme="minorHAnsi" w:eastAsiaTheme="minorHAnsi" w:hAnsiTheme="minorHAnsi"/>
          <w:szCs w:val="22"/>
          <w:lang w:eastAsia="en-US"/>
        </w:rPr>
        <w:t>,</w:t>
      </w:r>
      <w:r w:rsidR="005C3772" w:rsidRPr="005525C5">
        <w:rPr>
          <w:rFonts w:asciiTheme="minorHAnsi" w:eastAsiaTheme="minorHAnsi" w:hAnsiTheme="minorHAnsi"/>
          <w:szCs w:val="22"/>
          <w:lang w:eastAsia="en-US"/>
        </w:rPr>
        <w:t xml:space="preserve"> </w:t>
      </w:r>
      <w:r w:rsidR="007207E7" w:rsidRPr="005525C5">
        <w:rPr>
          <w:rFonts w:asciiTheme="minorHAnsi" w:eastAsiaTheme="minorHAnsi" w:hAnsiTheme="minorHAnsi"/>
          <w:szCs w:val="22"/>
          <w:lang w:eastAsia="en-US"/>
        </w:rPr>
        <w:t xml:space="preserve">με στόχο </w:t>
      </w:r>
      <w:r w:rsidR="005C3772" w:rsidRPr="005525C5">
        <w:rPr>
          <w:rFonts w:asciiTheme="minorHAnsi" w:eastAsiaTheme="minorHAnsi" w:hAnsiTheme="minorHAnsi"/>
          <w:szCs w:val="22"/>
          <w:lang w:eastAsia="en-US"/>
        </w:rPr>
        <w:t xml:space="preserve">να </w:t>
      </w:r>
      <w:r w:rsidR="005F490A" w:rsidRPr="005525C5">
        <w:rPr>
          <w:rFonts w:asciiTheme="minorHAnsi" w:eastAsiaTheme="minorHAnsi" w:hAnsiTheme="minorHAnsi"/>
          <w:szCs w:val="22"/>
          <w:lang w:eastAsia="en-US"/>
        </w:rPr>
        <w:t xml:space="preserve">συμμορφωθούν με τα </w:t>
      </w:r>
      <w:r w:rsidR="003B5D9D" w:rsidRPr="005525C5">
        <w:rPr>
          <w:rFonts w:asciiTheme="minorHAnsi" w:eastAsiaTheme="minorHAnsi" w:hAnsiTheme="minorHAnsi"/>
          <w:szCs w:val="22"/>
          <w:lang w:eastAsia="en-US"/>
        </w:rPr>
        <w:t>ευρωπαϊκά</w:t>
      </w:r>
      <w:r w:rsidR="005F490A" w:rsidRPr="005525C5">
        <w:rPr>
          <w:rFonts w:asciiTheme="minorHAnsi" w:eastAsiaTheme="minorHAnsi" w:hAnsiTheme="minorHAnsi"/>
          <w:szCs w:val="22"/>
          <w:lang w:eastAsia="en-US"/>
        </w:rPr>
        <w:t xml:space="preserve"> πρότυπα. </w:t>
      </w:r>
      <w:r w:rsidR="007207E7" w:rsidRPr="005525C5">
        <w:rPr>
          <w:rFonts w:asciiTheme="minorHAnsi" w:eastAsiaTheme="minorHAnsi" w:hAnsiTheme="minorHAnsi"/>
          <w:szCs w:val="22"/>
          <w:lang w:eastAsia="en-US"/>
        </w:rPr>
        <w:t xml:space="preserve">Η </w:t>
      </w:r>
      <w:r w:rsidR="005F490A" w:rsidRPr="005525C5">
        <w:rPr>
          <w:rFonts w:asciiTheme="minorHAnsi" w:eastAsiaTheme="minorHAnsi" w:hAnsiTheme="minorHAnsi"/>
          <w:szCs w:val="22"/>
          <w:lang w:eastAsia="en-US"/>
        </w:rPr>
        <w:t xml:space="preserve">άνοδος </w:t>
      </w:r>
      <w:r w:rsidR="007207E7" w:rsidRPr="005525C5">
        <w:rPr>
          <w:rFonts w:asciiTheme="minorHAnsi" w:eastAsiaTheme="minorHAnsi" w:hAnsiTheme="minorHAnsi"/>
          <w:szCs w:val="22"/>
          <w:lang w:eastAsia="en-US"/>
        </w:rPr>
        <w:t xml:space="preserve">αυτή </w:t>
      </w:r>
      <w:r w:rsidR="005F490A" w:rsidRPr="005525C5">
        <w:rPr>
          <w:rFonts w:asciiTheme="minorHAnsi" w:eastAsiaTheme="minorHAnsi" w:hAnsiTheme="minorHAnsi"/>
          <w:szCs w:val="22"/>
          <w:lang w:eastAsia="en-US"/>
        </w:rPr>
        <w:t xml:space="preserve">αποτελεί </w:t>
      </w:r>
      <w:r w:rsidR="007207E7" w:rsidRPr="005525C5">
        <w:rPr>
          <w:rFonts w:asciiTheme="minorHAnsi" w:eastAsiaTheme="minorHAnsi" w:hAnsiTheme="minorHAnsi"/>
          <w:szCs w:val="22"/>
          <w:lang w:eastAsia="en-US"/>
        </w:rPr>
        <w:t>επίσης α</w:t>
      </w:r>
      <w:r w:rsidR="005F490A" w:rsidRPr="005525C5">
        <w:rPr>
          <w:rFonts w:asciiTheme="minorHAnsi" w:eastAsiaTheme="minorHAnsi" w:hAnsiTheme="minorHAnsi"/>
          <w:szCs w:val="22"/>
          <w:lang w:eastAsia="en-US"/>
        </w:rPr>
        <w:t>ποτέλεσμα της πρόσβασης στ</w:t>
      </w:r>
      <w:r w:rsidR="00B13AC4" w:rsidRPr="005525C5">
        <w:rPr>
          <w:rFonts w:asciiTheme="minorHAnsi" w:eastAsiaTheme="minorHAnsi" w:hAnsiTheme="minorHAnsi"/>
          <w:szCs w:val="22"/>
          <w:lang w:eastAsia="en-US"/>
        </w:rPr>
        <w:t>ην ελαστική πίστωση</w:t>
      </w:r>
      <w:r w:rsidR="007207E7" w:rsidRPr="005525C5">
        <w:rPr>
          <w:rFonts w:asciiTheme="minorHAnsi" w:eastAsiaTheme="minorHAnsi" w:hAnsiTheme="minorHAnsi"/>
          <w:szCs w:val="22"/>
          <w:lang w:eastAsia="en-US"/>
        </w:rPr>
        <w:t>,</w:t>
      </w:r>
      <w:r w:rsidR="00B13AC4" w:rsidRPr="005525C5">
        <w:rPr>
          <w:rFonts w:asciiTheme="minorHAnsi" w:eastAsiaTheme="minorHAnsi" w:hAnsiTheme="minorHAnsi"/>
          <w:szCs w:val="22"/>
          <w:lang w:eastAsia="en-US"/>
        </w:rPr>
        <w:t xml:space="preserve"> τη</w:t>
      </w:r>
      <w:r w:rsidR="007207E7" w:rsidRPr="005525C5">
        <w:rPr>
          <w:rFonts w:asciiTheme="minorHAnsi" w:eastAsiaTheme="minorHAnsi" w:hAnsiTheme="minorHAnsi"/>
          <w:szCs w:val="22"/>
          <w:lang w:eastAsia="en-US"/>
        </w:rPr>
        <w:t>ς</w:t>
      </w:r>
      <w:r w:rsidR="00B13AC4" w:rsidRPr="005525C5">
        <w:rPr>
          <w:rFonts w:asciiTheme="minorHAnsi" w:eastAsiaTheme="minorHAnsi" w:hAnsiTheme="minorHAnsi"/>
          <w:szCs w:val="22"/>
          <w:lang w:eastAsia="en-US"/>
        </w:rPr>
        <w:t xml:space="preserve"> τόνωση</w:t>
      </w:r>
      <w:r w:rsidR="007207E7" w:rsidRPr="005525C5">
        <w:rPr>
          <w:rFonts w:asciiTheme="minorHAnsi" w:eastAsiaTheme="minorHAnsi" w:hAnsiTheme="minorHAnsi"/>
          <w:szCs w:val="22"/>
          <w:lang w:eastAsia="en-US"/>
        </w:rPr>
        <w:t>ς</w:t>
      </w:r>
      <w:r w:rsidR="00B13AC4" w:rsidRPr="005525C5">
        <w:rPr>
          <w:rFonts w:asciiTheme="minorHAnsi" w:eastAsiaTheme="minorHAnsi" w:hAnsiTheme="minorHAnsi"/>
          <w:szCs w:val="22"/>
          <w:lang w:eastAsia="en-US"/>
        </w:rPr>
        <w:t xml:space="preserve"> των </w:t>
      </w:r>
      <w:r w:rsidR="003B5D9D" w:rsidRPr="005525C5">
        <w:rPr>
          <w:rFonts w:asciiTheme="minorHAnsi" w:eastAsiaTheme="minorHAnsi" w:hAnsiTheme="minorHAnsi"/>
          <w:szCs w:val="22"/>
          <w:lang w:eastAsia="en-US"/>
        </w:rPr>
        <w:t>ευρωπαϊκών</w:t>
      </w:r>
      <w:r w:rsidR="00B13AC4" w:rsidRPr="005525C5">
        <w:rPr>
          <w:rFonts w:asciiTheme="minorHAnsi" w:eastAsiaTheme="minorHAnsi" w:hAnsiTheme="minorHAnsi"/>
          <w:szCs w:val="22"/>
          <w:lang w:eastAsia="en-US"/>
        </w:rPr>
        <w:t xml:space="preserve"> κεφαλαίων </w:t>
      </w:r>
      <w:r w:rsidR="007207E7" w:rsidRPr="005525C5">
        <w:rPr>
          <w:rFonts w:asciiTheme="minorHAnsi" w:eastAsiaTheme="minorHAnsi" w:hAnsiTheme="minorHAnsi"/>
          <w:szCs w:val="22"/>
          <w:lang w:eastAsia="en-US"/>
        </w:rPr>
        <w:t xml:space="preserve">και </w:t>
      </w:r>
      <w:r w:rsidR="00B13AC4" w:rsidRPr="005525C5">
        <w:rPr>
          <w:rFonts w:asciiTheme="minorHAnsi" w:eastAsiaTheme="minorHAnsi" w:hAnsiTheme="minorHAnsi"/>
          <w:szCs w:val="22"/>
          <w:lang w:eastAsia="en-US"/>
        </w:rPr>
        <w:t>της αντίστοιχης τοπικής συγχρηματοδότησης (DEXIA – Συμβούλιο Ευρωπαϊκών Δήμων και Περιφερειών 2012).</w:t>
      </w:r>
    </w:p>
    <w:p w:rsidR="00974E54" w:rsidRPr="005525C5" w:rsidRDefault="00974E54" w:rsidP="0078370C">
      <w:pPr>
        <w:spacing w:line="380" w:lineRule="atLeast"/>
        <w:ind w:firstLine="720"/>
        <w:jc w:val="both"/>
        <w:rPr>
          <w:rFonts w:asciiTheme="minorHAnsi" w:eastAsiaTheme="minorHAnsi" w:hAnsiTheme="minorHAnsi"/>
          <w:szCs w:val="22"/>
          <w:lang w:eastAsia="en-US"/>
        </w:rPr>
      </w:pPr>
      <w:r w:rsidRPr="005525C5">
        <w:rPr>
          <w:rFonts w:asciiTheme="minorHAnsi" w:eastAsiaTheme="minorHAnsi" w:hAnsiTheme="minorHAnsi"/>
          <w:szCs w:val="22"/>
          <w:lang w:eastAsia="en-US"/>
        </w:rPr>
        <w:t xml:space="preserve">Ωστόσο, κατά τη διάρκεια των τελευταίων ετών που σηματοδοτήθηκαν από την οικονομική κρίση, οι άμεσες επενδύσεις στο </w:t>
      </w:r>
      <w:proofErr w:type="spellStart"/>
      <w:r w:rsidRPr="005525C5">
        <w:rPr>
          <w:rFonts w:asciiTheme="minorHAnsi" w:eastAsiaTheme="minorHAnsi" w:hAnsiTheme="minorHAnsi"/>
          <w:szCs w:val="22"/>
          <w:lang w:eastAsia="en-US"/>
        </w:rPr>
        <w:t>υποεθνικό</w:t>
      </w:r>
      <w:proofErr w:type="spellEnd"/>
      <w:r w:rsidRPr="005525C5">
        <w:rPr>
          <w:rFonts w:asciiTheme="minorHAnsi" w:eastAsiaTheme="minorHAnsi" w:hAnsiTheme="minorHAnsi"/>
          <w:szCs w:val="22"/>
          <w:lang w:eastAsia="en-US"/>
        </w:rPr>
        <w:t xml:space="preserve"> τομέα σημείωσαν πτώση στην Ευρώπη. Το 2010, οι άμεσες επενδύσεις μειώθηκαν σε όγκο σε πάνω από τα δύο τρίτα των κρατών μελών της ΕΕ και πάνω από 10% σε οκτώ χώρες</w:t>
      </w:r>
      <w:r w:rsidR="007207E7" w:rsidRPr="005525C5">
        <w:rPr>
          <w:rFonts w:asciiTheme="minorHAnsi" w:eastAsiaTheme="minorHAnsi" w:hAnsiTheme="minorHAnsi"/>
          <w:szCs w:val="22"/>
          <w:lang w:eastAsia="en-US"/>
        </w:rPr>
        <w:t>,</w:t>
      </w:r>
      <w:r w:rsidRPr="005525C5">
        <w:rPr>
          <w:rFonts w:asciiTheme="minorHAnsi" w:eastAsiaTheme="minorHAnsi" w:hAnsiTheme="minorHAnsi"/>
          <w:szCs w:val="22"/>
          <w:lang w:eastAsia="en-US"/>
        </w:rPr>
        <w:t xml:space="preserve"> συμπεριλαμβανομένου της Ελλάδας, Πορτογαλίας, Ισπανίας, Ιταλίας και Ιρλανδίας (DEXIA – Συμβούλιο Ευρωπαϊκών Δήμων και Περιφερειών 2012).</w:t>
      </w:r>
    </w:p>
    <w:p w:rsidR="00974E54" w:rsidRPr="005525C5" w:rsidRDefault="00974E54" w:rsidP="00B57015">
      <w:pPr>
        <w:spacing w:line="400" w:lineRule="atLeast"/>
        <w:ind w:firstLine="720"/>
        <w:jc w:val="both"/>
        <w:rPr>
          <w:rFonts w:asciiTheme="minorHAnsi" w:eastAsiaTheme="minorHAnsi" w:hAnsiTheme="minorHAnsi"/>
          <w:szCs w:val="22"/>
          <w:lang w:eastAsia="en-US"/>
        </w:rPr>
      </w:pPr>
    </w:p>
    <w:p w:rsidR="00974E54" w:rsidRPr="005F4728" w:rsidRDefault="00974E54" w:rsidP="00B57015">
      <w:pPr>
        <w:spacing w:line="400" w:lineRule="atLeast"/>
        <w:ind w:firstLine="720"/>
        <w:jc w:val="both"/>
        <w:rPr>
          <w:rFonts w:asciiTheme="minorHAnsi" w:eastAsiaTheme="minorHAnsi" w:hAnsiTheme="minorHAnsi"/>
          <w:b/>
          <w:szCs w:val="22"/>
          <w:lang w:eastAsia="en-US"/>
        </w:rPr>
      </w:pPr>
      <w:r w:rsidRPr="005F4728">
        <w:rPr>
          <w:rFonts w:asciiTheme="minorHAnsi" w:eastAsiaTheme="minorHAnsi" w:hAnsiTheme="minorHAnsi"/>
          <w:b/>
          <w:szCs w:val="22"/>
          <w:lang w:eastAsia="en-US"/>
        </w:rPr>
        <w:t xml:space="preserve">5. Χρέος του εθνικού και </w:t>
      </w:r>
      <w:proofErr w:type="spellStart"/>
      <w:r w:rsidRPr="005F4728">
        <w:rPr>
          <w:rFonts w:asciiTheme="minorHAnsi" w:eastAsiaTheme="minorHAnsi" w:hAnsiTheme="minorHAnsi"/>
          <w:b/>
          <w:szCs w:val="22"/>
          <w:lang w:eastAsia="en-US"/>
        </w:rPr>
        <w:t>υποεθνικού</w:t>
      </w:r>
      <w:proofErr w:type="spellEnd"/>
      <w:r w:rsidRPr="005F4728">
        <w:rPr>
          <w:rFonts w:asciiTheme="minorHAnsi" w:eastAsiaTheme="minorHAnsi" w:hAnsiTheme="minorHAnsi"/>
          <w:b/>
          <w:szCs w:val="22"/>
          <w:lang w:eastAsia="en-US"/>
        </w:rPr>
        <w:t xml:space="preserve"> δημόσιου τομέα</w:t>
      </w:r>
    </w:p>
    <w:p w:rsidR="002060C2" w:rsidRPr="005525C5" w:rsidRDefault="002060C2" w:rsidP="00B57015">
      <w:pPr>
        <w:spacing w:line="400" w:lineRule="atLeast"/>
        <w:ind w:firstLine="720"/>
        <w:jc w:val="both"/>
        <w:rPr>
          <w:rFonts w:asciiTheme="minorHAnsi" w:eastAsiaTheme="minorHAnsi" w:hAnsiTheme="minorHAnsi"/>
          <w:szCs w:val="22"/>
          <w:lang w:eastAsia="en-US"/>
        </w:rPr>
      </w:pPr>
      <w:r w:rsidRPr="005525C5">
        <w:rPr>
          <w:rFonts w:asciiTheme="minorHAnsi" w:eastAsiaTheme="minorHAnsi" w:hAnsiTheme="minorHAnsi"/>
          <w:szCs w:val="22"/>
          <w:lang w:eastAsia="en-US"/>
        </w:rPr>
        <w:t>Το χρέος του εθνικού</w:t>
      </w:r>
      <w:r w:rsidR="00D6074E" w:rsidRPr="005525C5">
        <w:rPr>
          <w:rFonts w:eastAsiaTheme="minorHAnsi"/>
          <w:szCs w:val="22"/>
          <w:lang w:eastAsia="en-US"/>
        </w:rPr>
        <w:footnoteReference w:id="5"/>
      </w:r>
      <w:r w:rsidRPr="005525C5">
        <w:rPr>
          <w:rFonts w:asciiTheme="minorHAnsi" w:eastAsiaTheme="minorHAnsi" w:hAnsiTheme="minorHAnsi"/>
          <w:szCs w:val="22"/>
          <w:lang w:eastAsia="en-US"/>
        </w:rPr>
        <w:t xml:space="preserve"> δημόσιου τομέα στην Ελλάδα ανέρχεται σε 170,6% του ΑΕΠ, ξεπερν</w:t>
      </w:r>
      <w:r w:rsidR="007A3AA7" w:rsidRPr="005525C5">
        <w:rPr>
          <w:rFonts w:asciiTheme="minorHAnsi" w:eastAsiaTheme="minorHAnsi" w:hAnsiTheme="minorHAnsi"/>
          <w:szCs w:val="22"/>
          <w:lang w:eastAsia="en-US"/>
        </w:rPr>
        <w:t>ώντας</w:t>
      </w:r>
      <w:r w:rsidRPr="005525C5">
        <w:rPr>
          <w:rFonts w:asciiTheme="minorHAnsi" w:eastAsiaTheme="minorHAnsi" w:hAnsiTheme="minorHAnsi"/>
          <w:szCs w:val="22"/>
          <w:lang w:eastAsia="en-US"/>
        </w:rPr>
        <w:t xml:space="preserve"> σημαντικά </w:t>
      </w:r>
      <w:r w:rsidR="007A3AA7" w:rsidRPr="005525C5">
        <w:rPr>
          <w:rFonts w:asciiTheme="minorHAnsi" w:eastAsiaTheme="minorHAnsi" w:hAnsiTheme="minorHAnsi"/>
          <w:szCs w:val="22"/>
          <w:lang w:eastAsia="en-US"/>
        </w:rPr>
        <w:t>ε</w:t>
      </w:r>
      <w:r w:rsidRPr="005525C5">
        <w:rPr>
          <w:rFonts w:asciiTheme="minorHAnsi" w:eastAsiaTheme="minorHAnsi" w:hAnsiTheme="minorHAnsi"/>
          <w:szCs w:val="22"/>
          <w:lang w:eastAsia="en-US"/>
        </w:rPr>
        <w:t>κείνο της Ευρώπης των 27</w:t>
      </w:r>
      <w:r w:rsidR="007A3AA7" w:rsidRPr="005525C5">
        <w:rPr>
          <w:rFonts w:asciiTheme="minorHAnsi" w:eastAsiaTheme="minorHAnsi" w:hAnsiTheme="minorHAnsi"/>
          <w:szCs w:val="22"/>
          <w:lang w:eastAsia="en-US"/>
        </w:rPr>
        <w:t>,</w:t>
      </w:r>
      <w:r w:rsidRPr="005525C5">
        <w:rPr>
          <w:rFonts w:asciiTheme="minorHAnsi" w:eastAsiaTheme="minorHAnsi" w:hAnsiTheme="minorHAnsi"/>
          <w:szCs w:val="22"/>
          <w:lang w:eastAsia="en-US"/>
        </w:rPr>
        <w:t xml:space="preserve"> όπου το χρέος είναι 82,5% του ΑΕΠ (Συμβούλιο Ευρωπαϊκών Δήμων και Περιφερειών, 2013. Πληροφοριακά δελτία).</w:t>
      </w:r>
    </w:p>
    <w:p w:rsidR="002F78D5" w:rsidRPr="005525C5" w:rsidRDefault="002060C2" w:rsidP="00B57015">
      <w:pPr>
        <w:spacing w:line="400" w:lineRule="atLeast"/>
        <w:ind w:firstLine="720"/>
        <w:jc w:val="both"/>
        <w:rPr>
          <w:rFonts w:asciiTheme="minorHAnsi" w:eastAsiaTheme="minorHAnsi" w:hAnsiTheme="minorHAnsi"/>
          <w:szCs w:val="22"/>
          <w:lang w:eastAsia="en-US"/>
        </w:rPr>
      </w:pPr>
      <w:r w:rsidRPr="005525C5">
        <w:rPr>
          <w:rFonts w:asciiTheme="minorHAnsi" w:eastAsiaTheme="minorHAnsi" w:hAnsiTheme="minorHAnsi"/>
          <w:szCs w:val="22"/>
          <w:lang w:eastAsia="en-US"/>
        </w:rPr>
        <w:lastRenderedPageBreak/>
        <w:t xml:space="preserve">Το δημόσιο χρέος, «η πιο βιώσιμη κληρονομιά της κρίσης» σύμφωνα με την </w:t>
      </w:r>
      <w:proofErr w:type="spellStart"/>
      <w:r w:rsidRPr="005525C5">
        <w:rPr>
          <w:rFonts w:asciiTheme="minorHAnsi" w:eastAsiaTheme="minorHAnsi" w:hAnsiTheme="minorHAnsi"/>
          <w:szCs w:val="22"/>
          <w:lang w:eastAsia="en-US"/>
        </w:rPr>
        <w:t>Ευρωπαική</w:t>
      </w:r>
      <w:proofErr w:type="spellEnd"/>
      <w:r w:rsidRPr="005525C5">
        <w:rPr>
          <w:rFonts w:asciiTheme="minorHAnsi" w:eastAsiaTheme="minorHAnsi" w:hAnsiTheme="minorHAnsi"/>
          <w:szCs w:val="22"/>
          <w:lang w:eastAsia="en-US"/>
        </w:rPr>
        <w:t xml:space="preserve"> Επιτροπή, </w:t>
      </w:r>
      <w:r w:rsidR="002F78D5" w:rsidRPr="005525C5">
        <w:rPr>
          <w:rFonts w:asciiTheme="minorHAnsi" w:eastAsiaTheme="minorHAnsi" w:hAnsiTheme="minorHAnsi"/>
          <w:szCs w:val="22"/>
          <w:lang w:eastAsia="en-US"/>
        </w:rPr>
        <w:t xml:space="preserve">δεν έχει ποτέ </w:t>
      </w:r>
      <w:r w:rsidR="0058325D" w:rsidRPr="005525C5">
        <w:rPr>
          <w:rFonts w:asciiTheme="minorHAnsi" w:eastAsiaTheme="minorHAnsi" w:hAnsiTheme="minorHAnsi"/>
          <w:szCs w:val="22"/>
          <w:lang w:eastAsia="en-US"/>
        </w:rPr>
        <w:t>παύσει</w:t>
      </w:r>
      <w:r w:rsidR="002F78D5" w:rsidRPr="005525C5">
        <w:rPr>
          <w:rFonts w:asciiTheme="minorHAnsi" w:eastAsiaTheme="minorHAnsi" w:hAnsiTheme="minorHAnsi"/>
          <w:szCs w:val="22"/>
          <w:lang w:eastAsia="en-US"/>
        </w:rPr>
        <w:t xml:space="preserve"> να επιβαρύνεται σημαντικά. Σύμφωνα με την μελέτη που επεξεργάστηκε η </w:t>
      </w:r>
      <w:proofErr w:type="spellStart"/>
      <w:r w:rsidR="002F78D5" w:rsidRPr="005525C5">
        <w:rPr>
          <w:rFonts w:asciiTheme="minorHAnsi" w:eastAsiaTheme="minorHAnsi" w:hAnsiTheme="minorHAnsi"/>
          <w:szCs w:val="22"/>
          <w:lang w:eastAsia="en-US"/>
        </w:rPr>
        <w:t>Dexia</w:t>
      </w:r>
      <w:proofErr w:type="spellEnd"/>
      <w:r w:rsidR="002F78D5" w:rsidRPr="005525C5">
        <w:rPr>
          <w:rFonts w:asciiTheme="minorHAnsi" w:eastAsiaTheme="minorHAnsi" w:hAnsiTheme="minorHAnsi"/>
          <w:szCs w:val="22"/>
          <w:lang w:eastAsia="en-US"/>
        </w:rPr>
        <w:t xml:space="preserve"> και το Συμβούλιο </w:t>
      </w:r>
      <w:r w:rsidR="0058325D" w:rsidRPr="005525C5">
        <w:rPr>
          <w:rFonts w:asciiTheme="minorHAnsi" w:eastAsiaTheme="minorHAnsi" w:hAnsiTheme="minorHAnsi"/>
          <w:szCs w:val="22"/>
          <w:lang w:eastAsia="en-US"/>
        </w:rPr>
        <w:t>Ευρωπαϊκών</w:t>
      </w:r>
      <w:r w:rsidR="002F78D5" w:rsidRPr="005525C5">
        <w:rPr>
          <w:rFonts w:asciiTheme="minorHAnsi" w:eastAsiaTheme="minorHAnsi" w:hAnsiTheme="minorHAnsi"/>
          <w:szCs w:val="22"/>
          <w:lang w:eastAsia="en-US"/>
        </w:rPr>
        <w:t xml:space="preserve"> Δήμων και Περιφερειών το 2012</w:t>
      </w:r>
      <w:r w:rsidR="00334A19" w:rsidRPr="005525C5">
        <w:rPr>
          <w:rFonts w:asciiTheme="minorHAnsi" w:eastAsiaTheme="minorHAnsi" w:hAnsiTheme="minorHAnsi"/>
          <w:szCs w:val="22"/>
          <w:lang w:eastAsia="en-US"/>
        </w:rPr>
        <w:t>,</w:t>
      </w:r>
      <w:r w:rsidR="002F78D5" w:rsidRPr="005525C5">
        <w:rPr>
          <w:rFonts w:asciiTheme="minorHAnsi" w:eastAsiaTheme="minorHAnsi" w:hAnsiTheme="minorHAnsi"/>
          <w:szCs w:val="22"/>
          <w:lang w:eastAsia="en-US"/>
        </w:rPr>
        <w:t xml:space="preserve"> σχετικά με τα δημόσια οικονομικά της τοπικής αυτοδιοίκησης στις χώρες της Ευρώπης των 27, διαπιστώνουμε ότι το χρέος του </w:t>
      </w:r>
      <w:proofErr w:type="spellStart"/>
      <w:r w:rsidR="002F78D5" w:rsidRPr="005525C5">
        <w:rPr>
          <w:rFonts w:asciiTheme="minorHAnsi" w:eastAsiaTheme="minorHAnsi" w:hAnsiTheme="minorHAnsi"/>
          <w:szCs w:val="22"/>
          <w:lang w:eastAsia="en-US"/>
        </w:rPr>
        <w:t>υποεθνικού</w:t>
      </w:r>
      <w:proofErr w:type="spellEnd"/>
      <w:r w:rsidR="002F78D5" w:rsidRPr="005525C5">
        <w:rPr>
          <w:rFonts w:asciiTheme="minorHAnsi" w:eastAsiaTheme="minorHAnsi" w:hAnsiTheme="minorHAnsi"/>
          <w:szCs w:val="22"/>
          <w:lang w:eastAsia="en-US"/>
        </w:rPr>
        <w:t xml:space="preserve"> δημόσιου τομέα στην Ελλάδα (0,9% του ΑΕΠ και 0,5% του δημόσιου χρέους) είναι σε πολύ χαμηλότερο επίπεδο από εκείνο της Ευρώπης των 27 (12,4 του ΑΕΠ και 15,1% του δημοσίου χρέους).</w:t>
      </w:r>
    </w:p>
    <w:p w:rsidR="00334A19" w:rsidRPr="005525C5" w:rsidRDefault="00D45FD3" w:rsidP="00B57015">
      <w:pPr>
        <w:spacing w:line="400" w:lineRule="atLeast"/>
        <w:ind w:firstLine="720"/>
        <w:jc w:val="both"/>
        <w:rPr>
          <w:rFonts w:asciiTheme="minorHAnsi" w:eastAsiaTheme="minorHAnsi" w:hAnsiTheme="minorHAnsi"/>
          <w:szCs w:val="22"/>
          <w:lang w:eastAsia="en-US"/>
        </w:rPr>
      </w:pPr>
      <w:r>
        <w:rPr>
          <w:rFonts w:asciiTheme="minorHAnsi" w:eastAsiaTheme="minorHAnsi" w:hAnsiTheme="minorHAnsi"/>
          <w:noProof/>
          <w:szCs w:val="22"/>
        </w:rPr>
        <w:drawing>
          <wp:anchor distT="0" distB="0" distL="114300" distR="114300" simplePos="0" relativeHeight="251661312" behindDoc="0" locked="0" layoutInCell="1" allowOverlap="1">
            <wp:simplePos x="0" y="0"/>
            <wp:positionH relativeFrom="column">
              <wp:posOffset>-105410</wp:posOffset>
            </wp:positionH>
            <wp:positionV relativeFrom="paragraph">
              <wp:posOffset>2150745</wp:posOffset>
            </wp:positionV>
            <wp:extent cx="6076950" cy="2686050"/>
            <wp:effectExtent l="19050" t="0" r="0" b="0"/>
            <wp:wrapSquare wrapText="bothSides"/>
            <wp:docPr id="4" name="3 - Εικόνα"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1" cstate="print"/>
                    <a:stretch>
                      <a:fillRect/>
                    </a:stretch>
                  </pic:blipFill>
                  <pic:spPr>
                    <a:xfrm>
                      <a:off x="0" y="0"/>
                      <a:ext cx="6076950" cy="2686050"/>
                    </a:xfrm>
                    <a:prstGeom prst="rect">
                      <a:avLst/>
                    </a:prstGeom>
                  </pic:spPr>
                </pic:pic>
              </a:graphicData>
            </a:graphic>
          </wp:anchor>
        </w:drawing>
      </w:r>
      <w:r w:rsidR="002F78D5" w:rsidRPr="005525C5">
        <w:rPr>
          <w:rFonts w:asciiTheme="minorHAnsi" w:eastAsiaTheme="minorHAnsi" w:hAnsiTheme="minorHAnsi"/>
          <w:szCs w:val="22"/>
          <w:lang w:eastAsia="en-US"/>
        </w:rPr>
        <w:t xml:space="preserve">Ο </w:t>
      </w:r>
      <w:proofErr w:type="spellStart"/>
      <w:r w:rsidR="002F78D5" w:rsidRPr="005525C5">
        <w:rPr>
          <w:rFonts w:asciiTheme="minorHAnsi" w:eastAsiaTheme="minorHAnsi" w:hAnsiTheme="minorHAnsi"/>
          <w:szCs w:val="22"/>
          <w:lang w:eastAsia="en-US"/>
        </w:rPr>
        <w:t>υπ’αριθμ</w:t>
      </w:r>
      <w:proofErr w:type="spellEnd"/>
      <w:r w:rsidR="002F78D5" w:rsidRPr="005525C5">
        <w:rPr>
          <w:rFonts w:asciiTheme="minorHAnsi" w:eastAsiaTheme="minorHAnsi" w:hAnsiTheme="minorHAnsi"/>
          <w:szCs w:val="22"/>
          <w:lang w:eastAsia="en-US"/>
        </w:rPr>
        <w:t xml:space="preserve"> 3 πίνακας παρουσιάζει το μερίδιο του μικτού χρέους των τοπικών αρχών και της κεντρικής </w:t>
      </w:r>
      <w:r w:rsidR="0058325D" w:rsidRPr="005525C5">
        <w:rPr>
          <w:rFonts w:asciiTheme="minorHAnsi" w:eastAsiaTheme="minorHAnsi" w:hAnsiTheme="minorHAnsi"/>
          <w:szCs w:val="22"/>
          <w:lang w:eastAsia="en-US"/>
        </w:rPr>
        <w:t>κυβέρνηση</w:t>
      </w:r>
      <w:r w:rsidR="00334A19" w:rsidRPr="005525C5">
        <w:rPr>
          <w:rFonts w:asciiTheme="minorHAnsi" w:eastAsiaTheme="minorHAnsi" w:hAnsiTheme="minorHAnsi"/>
          <w:szCs w:val="22"/>
          <w:lang w:eastAsia="en-US"/>
        </w:rPr>
        <w:t>ς</w:t>
      </w:r>
      <w:r w:rsidR="002F78D5" w:rsidRPr="005525C5">
        <w:rPr>
          <w:rFonts w:asciiTheme="minorHAnsi" w:eastAsiaTheme="minorHAnsi" w:hAnsiTheme="minorHAnsi"/>
          <w:szCs w:val="22"/>
          <w:lang w:eastAsia="en-US"/>
        </w:rPr>
        <w:t xml:space="preserve"> (</w:t>
      </w:r>
      <w:r w:rsidR="0058325D" w:rsidRPr="005525C5">
        <w:rPr>
          <w:rFonts w:asciiTheme="minorHAnsi" w:eastAsiaTheme="minorHAnsi" w:hAnsiTheme="minorHAnsi"/>
          <w:szCs w:val="22"/>
          <w:lang w:eastAsia="en-US"/>
        </w:rPr>
        <w:t>Ευρωπαϊκή</w:t>
      </w:r>
      <w:r w:rsidR="002F78D5" w:rsidRPr="005525C5">
        <w:rPr>
          <w:rFonts w:asciiTheme="minorHAnsi" w:eastAsiaTheme="minorHAnsi" w:hAnsiTheme="minorHAnsi"/>
          <w:szCs w:val="22"/>
          <w:lang w:eastAsia="en-US"/>
        </w:rPr>
        <w:t xml:space="preserve"> Επιτροπή, 2014). Στην Ελλάδα, </w:t>
      </w:r>
      <w:r w:rsidR="00334A19" w:rsidRPr="005525C5">
        <w:rPr>
          <w:rFonts w:asciiTheme="minorHAnsi" w:eastAsiaTheme="minorHAnsi" w:hAnsiTheme="minorHAnsi"/>
          <w:szCs w:val="22"/>
          <w:lang w:eastAsia="en-US"/>
        </w:rPr>
        <w:t>τ</w:t>
      </w:r>
      <w:r w:rsidR="002F78D5" w:rsidRPr="005525C5">
        <w:rPr>
          <w:rFonts w:asciiTheme="minorHAnsi" w:eastAsiaTheme="minorHAnsi" w:hAnsiTheme="minorHAnsi"/>
          <w:szCs w:val="22"/>
          <w:lang w:eastAsia="en-US"/>
        </w:rPr>
        <w:t>ο μικρό</w:t>
      </w:r>
      <w:r w:rsidR="00334A19" w:rsidRPr="005525C5">
        <w:rPr>
          <w:rFonts w:asciiTheme="minorHAnsi" w:eastAsiaTheme="minorHAnsi" w:hAnsiTheme="minorHAnsi"/>
          <w:szCs w:val="22"/>
          <w:lang w:eastAsia="en-US"/>
        </w:rPr>
        <w:t xml:space="preserve"> ποσοστό</w:t>
      </w:r>
      <w:r w:rsidR="002F78D5" w:rsidRPr="005525C5">
        <w:rPr>
          <w:rFonts w:asciiTheme="minorHAnsi" w:eastAsiaTheme="minorHAnsi" w:hAnsiTheme="minorHAnsi"/>
          <w:szCs w:val="22"/>
          <w:lang w:eastAsia="en-US"/>
        </w:rPr>
        <w:t xml:space="preserve"> του δημοσίου χρέους του </w:t>
      </w:r>
      <w:proofErr w:type="spellStart"/>
      <w:r w:rsidR="002F78D5" w:rsidRPr="005525C5">
        <w:rPr>
          <w:rFonts w:asciiTheme="minorHAnsi" w:eastAsiaTheme="minorHAnsi" w:hAnsiTheme="minorHAnsi"/>
          <w:szCs w:val="22"/>
          <w:lang w:eastAsia="en-US"/>
        </w:rPr>
        <w:t>υποεθνικού</w:t>
      </w:r>
      <w:proofErr w:type="spellEnd"/>
      <w:r w:rsidR="002F78D5" w:rsidRPr="005525C5">
        <w:rPr>
          <w:rFonts w:asciiTheme="minorHAnsi" w:eastAsiaTheme="minorHAnsi" w:hAnsiTheme="minorHAnsi"/>
          <w:szCs w:val="22"/>
          <w:lang w:eastAsia="en-US"/>
        </w:rPr>
        <w:t xml:space="preserve"> τομέα</w:t>
      </w:r>
      <w:r w:rsidR="00334A19" w:rsidRPr="005525C5">
        <w:rPr>
          <w:rFonts w:asciiTheme="minorHAnsi" w:eastAsiaTheme="minorHAnsi" w:hAnsiTheme="minorHAnsi"/>
          <w:szCs w:val="22"/>
          <w:lang w:eastAsia="en-US"/>
        </w:rPr>
        <w:t xml:space="preserve">, είναι αποτέλεσμα των χαμηλών δαπανών του δημοσίου </w:t>
      </w:r>
      <w:proofErr w:type="spellStart"/>
      <w:r w:rsidR="00334A19" w:rsidRPr="005525C5">
        <w:rPr>
          <w:rFonts w:asciiTheme="minorHAnsi" w:eastAsiaTheme="minorHAnsi" w:hAnsiTheme="minorHAnsi"/>
          <w:szCs w:val="22"/>
          <w:lang w:eastAsia="en-US"/>
        </w:rPr>
        <w:t>υποεθνικού</w:t>
      </w:r>
      <w:proofErr w:type="spellEnd"/>
      <w:r w:rsidR="00334A19" w:rsidRPr="005525C5">
        <w:rPr>
          <w:rFonts w:asciiTheme="minorHAnsi" w:eastAsiaTheme="minorHAnsi" w:hAnsiTheme="minorHAnsi"/>
          <w:szCs w:val="22"/>
          <w:lang w:eastAsia="en-US"/>
        </w:rPr>
        <w:t xml:space="preserve"> τομέα </w:t>
      </w:r>
      <w:r w:rsidR="002F78D5" w:rsidRPr="005525C5">
        <w:rPr>
          <w:rFonts w:asciiTheme="minorHAnsi" w:eastAsiaTheme="minorHAnsi" w:hAnsiTheme="minorHAnsi"/>
          <w:szCs w:val="22"/>
          <w:lang w:eastAsia="en-US"/>
        </w:rPr>
        <w:t xml:space="preserve">(που </w:t>
      </w:r>
      <w:r w:rsidR="00334A19" w:rsidRPr="005525C5">
        <w:rPr>
          <w:rFonts w:asciiTheme="minorHAnsi" w:eastAsiaTheme="minorHAnsi" w:hAnsiTheme="minorHAnsi"/>
          <w:szCs w:val="22"/>
          <w:lang w:eastAsia="en-US"/>
        </w:rPr>
        <w:t>αντιστοιχεί</w:t>
      </w:r>
      <w:r w:rsidR="002F78D5" w:rsidRPr="005525C5">
        <w:rPr>
          <w:rFonts w:asciiTheme="minorHAnsi" w:eastAsiaTheme="minorHAnsi" w:hAnsiTheme="minorHAnsi"/>
          <w:szCs w:val="22"/>
          <w:lang w:eastAsia="en-US"/>
        </w:rPr>
        <w:t xml:space="preserve"> όπως φαίνεται </w:t>
      </w:r>
      <w:r w:rsidR="001E61C1" w:rsidRPr="005525C5">
        <w:rPr>
          <w:rFonts w:asciiTheme="minorHAnsi" w:eastAsiaTheme="minorHAnsi" w:hAnsiTheme="minorHAnsi"/>
          <w:szCs w:val="22"/>
          <w:lang w:eastAsia="en-US"/>
        </w:rPr>
        <w:t>ανωτέρω</w:t>
      </w:r>
      <w:r w:rsidR="00334A19" w:rsidRPr="005525C5">
        <w:rPr>
          <w:rFonts w:asciiTheme="minorHAnsi" w:eastAsiaTheme="minorHAnsi" w:hAnsiTheme="minorHAnsi"/>
          <w:szCs w:val="22"/>
          <w:lang w:eastAsia="en-US"/>
        </w:rPr>
        <w:t xml:space="preserve"> στο</w:t>
      </w:r>
      <w:r w:rsidR="001E61C1" w:rsidRPr="005525C5">
        <w:rPr>
          <w:rFonts w:asciiTheme="minorHAnsi" w:eastAsiaTheme="minorHAnsi" w:hAnsiTheme="minorHAnsi"/>
          <w:szCs w:val="22"/>
          <w:lang w:eastAsia="en-US"/>
        </w:rPr>
        <w:t xml:space="preserve"> 5,9% των εθνικών δημοσίων δαπανών στην Ελλάδα, έναντι 34% των εθνικών δημοσίων δαπανών στην Ευρώπη των 27). Με αυτά τα δεδομένα, μπορούμε να βεβαιώσουμε ότι το σημαντικό χρέος του εθνικού δημόσιου τομέα στην Ελλάδα δεν </w:t>
      </w:r>
      <w:r w:rsidR="00334A19" w:rsidRPr="005525C5">
        <w:rPr>
          <w:rFonts w:asciiTheme="minorHAnsi" w:eastAsiaTheme="minorHAnsi" w:hAnsiTheme="minorHAnsi"/>
          <w:szCs w:val="22"/>
          <w:lang w:eastAsia="en-US"/>
        </w:rPr>
        <w:t xml:space="preserve">οφείλεται στις </w:t>
      </w:r>
      <w:proofErr w:type="spellStart"/>
      <w:r w:rsidR="00334A19" w:rsidRPr="005525C5">
        <w:rPr>
          <w:rFonts w:asciiTheme="minorHAnsi" w:eastAsiaTheme="minorHAnsi" w:hAnsiTheme="minorHAnsi"/>
          <w:szCs w:val="22"/>
          <w:lang w:eastAsia="en-US"/>
        </w:rPr>
        <w:t>υποεθνικές</w:t>
      </w:r>
      <w:proofErr w:type="spellEnd"/>
      <w:r w:rsidR="00334A19" w:rsidRPr="005525C5">
        <w:rPr>
          <w:rFonts w:asciiTheme="minorHAnsi" w:eastAsiaTheme="minorHAnsi" w:hAnsiTheme="minorHAnsi"/>
          <w:szCs w:val="22"/>
          <w:lang w:eastAsia="en-US"/>
        </w:rPr>
        <w:t xml:space="preserve"> αρχές. </w:t>
      </w:r>
    </w:p>
    <w:p w:rsidR="00334A19" w:rsidRPr="005525C5" w:rsidRDefault="00334A19" w:rsidP="00B57015">
      <w:pPr>
        <w:spacing w:line="400" w:lineRule="atLeast"/>
        <w:jc w:val="both"/>
        <w:rPr>
          <w:rFonts w:asciiTheme="minorHAnsi" w:eastAsiaTheme="minorHAnsi" w:hAnsiTheme="minorHAnsi"/>
          <w:szCs w:val="22"/>
          <w:lang w:eastAsia="en-US"/>
        </w:rPr>
      </w:pPr>
    </w:p>
    <w:p w:rsidR="00D45FD3" w:rsidRDefault="001E61C1" w:rsidP="00D45FD3">
      <w:pPr>
        <w:spacing w:line="400" w:lineRule="atLeast"/>
        <w:jc w:val="center"/>
        <w:rPr>
          <w:rFonts w:asciiTheme="minorHAnsi" w:eastAsiaTheme="minorHAnsi" w:hAnsiTheme="minorHAnsi"/>
          <w:i/>
          <w:sz w:val="20"/>
          <w:szCs w:val="22"/>
          <w:lang w:val="en-US" w:eastAsia="en-US"/>
        </w:rPr>
      </w:pPr>
      <w:r w:rsidRPr="00D45FD3">
        <w:rPr>
          <w:rFonts w:asciiTheme="minorHAnsi" w:eastAsiaTheme="minorHAnsi" w:hAnsiTheme="minorHAnsi"/>
          <w:i/>
          <w:sz w:val="20"/>
          <w:szCs w:val="22"/>
          <w:lang w:eastAsia="en-US"/>
        </w:rPr>
        <w:t>Πίνακας</w:t>
      </w:r>
      <w:r w:rsidR="00D45FD3" w:rsidRPr="00D45FD3">
        <w:rPr>
          <w:rFonts w:asciiTheme="minorHAnsi" w:eastAsiaTheme="minorHAnsi" w:hAnsiTheme="minorHAnsi"/>
          <w:i/>
          <w:sz w:val="20"/>
          <w:szCs w:val="22"/>
          <w:lang w:val="en-US" w:eastAsia="en-US"/>
        </w:rPr>
        <w:t xml:space="preserve"> 3</w:t>
      </w:r>
      <w:r w:rsidRPr="00D45FD3">
        <w:rPr>
          <w:rFonts w:asciiTheme="minorHAnsi" w:eastAsiaTheme="minorHAnsi" w:hAnsiTheme="minorHAnsi"/>
          <w:i/>
          <w:sz w:val="20"/>
          <w:szCs w:val="22"/>
          <w:lang w:eastAsia="en-US"/>
        </w:rPr>
        <w:t xml:space="preserve">. Μικτό χρέος της γενικής κυβέρνησης </w:t>
      </w:r>
    </w:p>
    <w:p w:rsidR="001E61C1" w:rsidRPr="00D45FD3" w:rsidRDefault="001E61C1" w:rsidP="00D45FD3">
      <w:pPr>
        <w:spacing w:line="400" w:lineRule="atLeast"/>
        <w:jc w:val="center"/>
        <w:rPr>
          <w:rFonts w:asciiTheme="minorHAnsi" w:eastAsiaTheme="minorHAnsi" w:hAnsiTheme="minorHAnsi"/>
          <w:i/>
          <w:sz w:val="20"/>
          <w:szCs w:val="22"/>
          <w:lang w:eastAsia="en-US"/>
        </w:rPr>
      </w:pPr>
      <w:r w:rsidRPr="00D45FD3">
        <w:rPr>
          <w:rFonts w:asciiTheme="minorHAnsi" w:eastAsiaTheme="minorHAnsi" w:hAnsiTheme="minorHAnsi"/>
          <w:i/>
          <w:sz w:val="20"/>
          <w:szCs w:val="22"/>
          <w:lang w:eastAsia="en-US"/>
        </w:rPr>
        <w:t xml:space="preserve">(Επεξεργάστηκε από την </w:t>
      </w:r>
      <w:r w:rsidR="0058325D" w:rsidRPr="00D45FD3">
        <w:rPr>
          <w:rFonts w:asciiTheme="minorHAnsi" w:eastAsiaTheme="minorHAnsi" w:hAnsiTheme="minorHAnsi"/>
          <w:i/>
          <w:sz w:val="20"/>
          <w:szCs w:val="22"/>
          <w:lang w:eastAsia="en-US"/>
        </w:rPr>
        <w:t>Ευρωπαϊκή</w:t>
      </w:r>
      <w:r w:rsidRPr="00D45FD3">
        <w:rPr>
          <w:rFonts w:asciiTheme="minorHAnsi" w:eastAsiaTheme="minorHAnsi" w:hAnsiTheme="minorHAnsi"/>
          <w:i/>
          <w:sz w:val="20"/>
          <w:szCs w:val="22"/>
          <w:lang w:eastAsia="en-US"/>
        </w:rPr>
        <w:t xml:space="preserve"> Επιτροπή, 2014, Πηγή </w:t>
      </w:r>
      <w:proofErr w:type="spellStart"/>
      <w:r w:rsidRPr="00D45FD3">
        <w:rPr>
          <w:rFonts w:asciiTheme="minorHAnsi" w:eastAsiaTheme="minorHAnsi" w:hAnsiTheme="minorHAnsi"/>
          <w:i/>
          <w:sz w:val="20"/>
          <w:szCs w:val="22"/>
          <w:lang w:eastAsia="en-US"/>
        </w:rPr>
        <w:t>Eurostat</w:t>
      </w:r>
      <w:proofErr w:type="spellEnd"/>
      <w:r w:rsidRPr="00D45FD3">
        <w:rPr>
          <w:rFonts w:asciiTheme="minorHAnsi" w:eastAsiaTheme="minorHAnsi" w:hAnsiTheme="minorHAnsi"/>
          <w:i/>
          <w:sz w:val="20"/>
          <w:szCs w:val="22"/>
          <w:lang w:eastAsia="en-US"/>
        </w:rPr>
        <w:t>)</w:t>
      </w:r>
    </w:p>
    <w:p w:rsidR="001E61C1" w:rsidRPr="005525C5" w:rsidRDefault="001E61C1" w:rsidP="00B57015">
      <w:pPr>
        <w:spacing w:line="400" w:lineRule="atLeast"/>
        <w:jc w:val="both"/>
        <w:rPr>
          <w:rFonts w:asciiTheme="minorHAnsi" w:eastAsiaTheme="minorHAnsi" w:hAnsiTheme="minorHAnsi"/>
          <w:szCs w:val="22"/>
          <w:lang w:eastAsia="en-US"/>
        </w:rPr>
      </w:pPr>
    </w:p>
    <w:p w:rsidR="00D45FD3" w:rsidRDefault="00D45FD3">
      <w:pPr>
        <w:rPr>
          <w:rFonts w:asciiTheme="minorHAnsi" w:eastAsiaTheme="minorHAnsi" w:hAnsiTheme="minorHAnsi"/>
          <w:b/>
          <w:szCs w:val="22"/>
          <w:lang w:eastAsia="en-US"/>
        </w:rPr>
      </w:pPr>
      <w:r>
        <w:rPr>
          <w:rFonts w:asciiTheme="minorHAnsi" w:eastAsiaTheme="minorHAnsi" w:hAnsiTheme="minorHAnsi"/>
          <w:b/>
          <w:szCs w:val="22"/>
          <w:lang w:eastAsia="en-US"/>
        </w:rPr>
        <w:br w:type="page"/>
      </w:r>
    </w:p>
    <w:p w:rsidR="001E61C1" w:rsidRPr="005F4728" w:rsidRDefault="001E61C1" w:rsidP="00B57015">
      <w:pPr>
        <w:spacing w:line="400" w:lineRule="atLeast"/>
        <w:jc w:val="both"/>
        <w:rPr>
          <w:rFonts w:asciiTheme="minorHAnsi" w:eastAsiaTheme="minorHAnsi" w:hAnsiTheme="minorHAnsi"/>
          <w:b/>
          <w:szCs w:val="22"/>
          <w:lang w:eastAsia="en-US"/>
        </w:rPr>
      </w:pPr>
      <w:r w:rsidRPr="005F4728">
        <w:rPr>
          <w:rFonts w:asciiTheme="minorHAnsi" w:eastAsiaTheme="minorHAnsi" w:hAnsiTheme="minorHAnsi"/>
          <w:b/>
          <w:szCs w:val="22"/>
          <w:lang w:eastAsia="en-US"/>
        </w:rPr>
        <w:lastRenderedPageBreak/>
        <w:t>ΣΥΜΠΕΡΑΣΜΑΤΑ</w:t>
      </w:r>
    </w:p>
    <w:p w:rsidR="001E61C1" w:rsidRPr="005525C5" w:rsidRDefault="001E61C1" w:rsidP="00B57015">
      <w:pPr>
        <w:spacing w:line="400" w:lineRule="atLeast"/>
        <w:jc w:val="both"/>
        <w:rPr>
          <w:rFonts w:asciiTheme="minorHAnsi" w:eastAsiaTheme="minorHAnsi" w:hAnsiTheme="minorHAnsi"/>
          <w:szCs w:val="22"/>
          <w:lang w:eastAsia="en-US"/>
        </w:rPr>
      </w:pPr>
      <w:r w:rsidRPr="005525C5">
        <w:rPr>
          <w:rFonts w:asciiTheme="minorHAnsi" w:eastAsiaTheme="minorHAnsi" w:hAnsiTheme="minorHAnsi"/>
          <w:szCs w:val="22"/>
          <w:lang w:eastAsia="en-US"/>
        </w:rPr>
        <w:t xml:space="preserve">Η Ελλάδα είναι μία από τις χώρες της </w:t>
      </w:r>
      <w:r w:rsidR="0058325D" w:rsidRPr="005525C5">
        <w:rPr>
          <w:rFonts w:asciiTheme="minorHAnsi" w:eastAsiaTheme="minorHAnsi" w:hAnsiTheme="minorHAnsi"/>
          <w:szCs w:val="22"/>
          <w:lang w:eastAsia="en-US"/>
        </w:rPr>
        <w:t>Ευρωπαϊκής</w:t>
      </w:r>
      <w:r w:rsidRPr="005525C5">
        <w:rPr>
          <w:rFonts w:asciiTheme="minorHAnsi" w:eastAsiaTheme="minorHAnsi" w:hAnsiTheme="minorHAnsi"/>
          <w:szCs w:val="22"/>
          <w:lang w:eastAsia="en-US"/>
        </w:rPr>
        <w:t xml:space="preserve"> </w:t>
      </w:r>
      <w:r w:rsidR="0058325D" w:rsidRPr="005525C5">
        <w:rPr>
          <w:rFonts w:asciiTheme="minorHAnsi" w:eastAsiaTheme="minorHAnsi" w:hAnsiTheme="minorHAnsi"/>
          <w:szCs w:val="22"/>
          <w:lang w:eastAsia="en-US"/>
        </w:rPr>
        <w:t>Ένωσης</w:t>
      </w:r>
      <w:r w:rsidRPr="005525C5">
        <w:rPr>
          <w:rFonts w:asciiTheme="minorHAnsi" w:eastAsiaTheme="minorHAnsi" w:hAnsiTheme="minorHAnsi"/>
          <w:szCs w:val="22"/>
          <w:lang w:eastAsia="en-US"/>
        </w:rPr>
        <w:t xml:space="preserve"> που έχει πληγεί περισσότερο από την οικονομική κρίση. Κατά συνέπεια, οι τοπικές και περιφερειακές αρχές έχουν επίσης πληγεί </w:t>
      </w:r>
      <w:r w:rsidR="0058325D" w:rsidRPr="005525C5">
        <w:rPr>
          <w:rFonts w:asciiTheme="minorHAnsi" w:eastAsiaTheme="minorHAnsi" w:hAnsiTheme="minorHAnsi"/>
          <w:szCs w:val="22"/>
          <w:lang w:eastAsia="en-US"/>
        </w:rPr>
        <w:t>σημαντικά</w:t>
      </w:r>
      <w:r w:rsidRPr="005525C5">
        <w:rPr>
          <w:rFonts w:asciiTheme="minorHAnsi" w:eastAsiaTheme="minorHAnsi" w:hAnsiTheme="minorHAnsi"/>
          <w:szCs w:val="22"/>
          <w:lang w:eastAsia="en-US"/>
        </w:rPr>
        <w:t xml:space="preserve"> από την εν λόγω κρίση. </w:t>
      </w:r>
    </w:p>
    <w:p w:rsidR="001E61C1" w:rsidRPr="005525C5" w:rsidRDefault="001E61C1" w:rsidP="00B57015">
      <w:pPr>
        <w:spacing w:line="400" w:lineRule="atLeast"/>
        <w:jc w:val="both"/>
        <w:rPr>
          <w:rFonts w:asciiTheme="minorHAnsi" w:eastAsiaTheme="minorHAnsi" w:hAnsiTheme="minorHAnsi"/>
          <w:szCs w:val="22"/>
          <w:lang w:eastAsia="en-US"/>
        </w:rPr>
      </w:pPr>
      <w:r w:rsidRPr="005525C5">
        <w:rPr>
          <w:rFonts w:asciiTheme="minorHAnsi" w:eastAsiaTheme="minorHAnsi" w:hAnsiTheme="minorHAnsi"/>
          <w:szCs w:val="22"/>
          <w:lang w:eastAsia="en-US"/>
        </w:rPr>
        <w:t>Ενώ η Μεταρρύθμιση του Καλλικράτη</w:t>
      </w:r>
      <w:r w:rsidR="00C2669C" w:rsidRPr="005525C5">
        <w:rPr>
          <w:rFonts w:asciiTheme="minorHAnsi" w:eastAsiaTheme="minorHAnsi" w:hAnsiTheme="minorHAnsi"/>
          <w:szCs w:val="22"/>
          <w:lang w:eastAsia="en-US"/>
        </w:rPr>
        <w:t>,</w:t>
      </w:r>
      <w:r w:rsidRPr="005525C5">
        <w:rPr>
          <w:rFonts w:asciiTheme="minorHAnsi" w:eastAsiaTheme="minorHAnsi" w:hAnsiTheme="minorHAnsi"/>
          <w:szCs w:val="22"/>
          <w:lang w:eastAsia="en-US"/>
        </w:rPr>
        <w:t xml:space="preserve"> το 2011</w:t>
      </w:r>
      <w:r w:rsidR="00C2669C" w:rsidRPr="005525C5">
        <w:rPr>
          <w:rFonts w:asciiTheme="minorHAnsi" w:eastAsiaTheme="minorHAnsi" w:hAnsiTheme="minorHAnsi"/>
          <w:szCs w:val="22"/>
          <w:lang w:eastAsia="en-US"/>
        </w:rPr>
        <w:t>,</w:t>
      </w:r>
      <w:r w:rsidRPr="005525C5">
        <w:rPr>
          <w:rFonts w:asciiTheme="minorHAnsi" w:eastAsiaTheme="minorHAnsi" w:hAnsiTheme="minorHAnsi"/>
          <w:szCs w:val="22"/>
          <w:lang w:eastAsia="en-US"/>
        </w:rPr>
        <w:t xml:space="preserve"> επέφερε νέες αρμοδιότητες στους δήμους και ενίσχυσε τις εξουσίες τους μεταφέροντας νέα καθήκοντα σε τοπικό επίπεδο, </w:t>
      </w:r>
      <w:r w:rsidR="00C2669C" w:rsidRPr="005525C5">
        <w:rPr>
          <w:rFonts w:asciiTheme="minorHAnsi" w:eastAsiaTheme="minorHAnsi" w:hAnsiTheme="minorHAnsi"/>
          <w:szCs w:val="22"/>
          <w:lang w:eastAsia="en-US"/>
        </w:rPr>
        <w:t xml:space="preserve">τα μέτρα μείωσης των </w:t>
      </w:r>
      <w:r w:rsidR="00536A72" w:rsidRPr="005525C5">
        <w:rPr>
          <w:rFonts w:asciiTheme="minorHAnsi" w:eastAsiaTheme="minorHAnsi" w:hAnsiTheme="minorHAnsi"/>
          <w:szCs w:val="22"/>
          <w:lang w:eastAsia="en-US"/>
        </w:rPr>
        <w:t>προϋπολογισμών</w:t>
      </w:r>
      <w:r w:rsidR="00C2669C" w:rsidRPr="005525C5">
        <w:rPr>
          <w:rFonts w:asciiTheme="minorHAnsi" w:eastAsiaTheme="minorHAnsi" w:hAnsiTheme="minorHAnsi"/>
          <w:szCs w:val="22"/>
          <w:lang w:eastAsia="en-US"/>
        </w:rPr>
        <w:t xml:space="preserve"> </w:t>
      </w:r>
      <w:r w:rsidR="00BF0EFA" w:rsidRPr="005525C5">
        <w:rPr>
          <w:rFonts w:asciiTheme="minorHAnsi" w:eastAsiaTheme="minorHAnsi" w:hAnsiTheme="minorHAnsi"/>
          <w:szCs w:val="22"/>
          <w:lang w:eastAsia="en-US"/>
        </w:rPr>
        <w:t xml:space="preserve">που </w:t>
      </w:r>
      <w:r w:rsidR="00C2669C" w:rsidRPr="005525C5">
        <w:rPr>
          <w:rFonts w:asciiTheme="minorHAnsi" w:eastAsiaTheme="minorHAnsi" w:hAnsiTheme="minorHAnsi"/>
          <w:szCs w:val="22"/>
          <w:lang w:eastAsia="en-US"/>
        </w:rPr>
        <w:t>εφαρμόστηκαν</w:t>
      </w:r>
      <w:r w:rsidR="00BF0EFA" w:rsidRPr="005525C5">
        <w:rPr>
          <w:rFonts w:asciiTheme="minorHAnsi" w:eastAsiaTheme="minorHAnsi" w:hAnsiTheme="minorHAnsi"/>
          <w:szCs w:val="22"/>
          <w:lang w:eastAsia="en-US"/>
        </w:rPr>
        <w:t xml:space="preserve"> από την </w:t>
      </w:r>
      <w:r w:rsidR="0058325D" w:rsidRPr="005525C5">
        <w:rPr>
          <w:rFonts w:asciiTheme="minorHAnsi" w:eastAsiaTheme="minorHAnsi" w:hAnsiTheme="minorHAnsi"/>
          <w:szCs w:val="22"/>
          <w:lang w:eastAsia="en-US"/>
        </w:rPr>
        <w:t>κεντρική</w:t>
      </w:r>
      <w:r w:rsidR="00BF0EFA" w:rsidRPr="005525C5">
        <w:rPr>
          <w:rFonts w:asciiTheme="minorHAnsi" w:eastAsiaTheme="minorHAnsi" w:hAnsiTheme="minorHAnsi"/>
          <w:szCs w:val="22"/>
          <w:lang w:eastAsia="en-US"/>
        </w:rPr>
        <w:t xml:space="preserve"> κυβέρνηση</w:t>
      </w:r>
      <w:r w:rsidR="00C2669C" w:rsidRPr="005525C5">
        <w:rPr>
          <w:rFonts w:asciiTheme="minorHAnsi" w:eastAsiaTheme="minorHAnsi" w:hAnsiTheme="minorHAnsi"/>
          <w:szCs w:val="22"/>
          <w:lang w:eastAsia="en-US"/>
        </w:rPr>
        <w:t>,</w:t>
      </w:r>
      <w:r w:rsidR="00BF0EFA" w:rsidRPr="005525C5">
        <w:rPr>
          <w:rFonts w:asciiTheme="minorHAnsi" w:eastAsiaTheme="minorHAnsi" w:hAnsiTheme="minorHAnsi"/>
          <w:szCs w:val="22"/>
          <w:lang w:eastAsia="en-US"/>
        </w:rPr>
        <w:t xml:space="preserve"> μετά την κρίση των δημόσιων οικονομικών</w:t>
      </w:r>
      <w:r w:rsidR="00C2669C" w:rsidRPr="005525C5">
        <w:rPr>
          <w:rFonts w:asciiTheme="minorHAnsi" w:eastAsiaTheme="minorHAnsi" w:hAnsiTheme="minorHAnsi"/>
          <w:szCs w:val="22"/>
          <w:lang w:eastAsia="en-US"/>
        </w:rPr>
        <w:t>, περιόρισαν τ</w:t>
      </w:r>
      <w:r w:rsidR="00BF0EFA" w:rsidRPr="005525C5">
        <w:rPr>
          <w:rFonts w:asciiTheme="minorHAnsi" w:eastAsiaTheme="minorHAnsi" w:hAnsiTheme="minorHAnsi"/>
          <w:szCs w:val="22"/>
          <w:lang w:eastAsia="en-US"/>
        </w:rPr>
        <w:t>ις χρηματικές μεταβιβάσεις</w:t>
      </w:r>
      <w:r w:rsidR="003B015F" w:rsidRPr="005525C5">
        <w:rPr>
          <w:rFonts w:asciiTheme="minorHAnsi" w:eastAsiaTheme="minorHAnsi" w:hAnsiTheme="minorHAnsi"/>
          <w:szCs w:val="22"/>
          <w:lang w:eastAsia="en-US"/>
        </w:rPr>
        <w:t xml:space="preserve"> της κεντρικής κυβέρνησης προς τον </w:t>
      </w:r>
      <w:proofErr w:type="spellStart"/>
      <w:r w:rsidR="003B015F" w:rsidRPr="005525C5">
        <w:rPr>
          <w:rFonts w:asciiTheme="minorHAnsi" w:eastAsiaTheme="minorHAnsi" w:hAnsiTheme="minorHAnsi"/>
          <w:szCs w:val="22"/>
          <w:lang w:eastAsia="en-US"/>
        </w:rPr>
        <w:t>υποεθνικό</w:t>
      </w:r>
      <w:proofErr w:type="spellEnd"/>
      <w:r w:rsidR="003B015F" w:rsidRPr="005525C5">
        <w:rPr>
          <w:rFonts w:asciiTheme="minorHAnsi" w:eastAsiaTheme="minorHAnsi" w:hAnsiTheme="minorHAnsi"/>
          <w:szCs w:val="22"/>
          <w:lang w:eastAsia="en-US"/>
        </w:rPr>
        <w:t xml:space="preserve"> τομέα. </w:t>
      </w:r>
    </w:p>
    <w:p w:rsidR="00A41209" w:rsidRPr="005525C5" w:rsidRDefault="003B015F" w:rsidP="00B57015">
      <w:pPr>
        <w:spacing w:line="400" w:lineRule="atLeast"/>
        <w:jc w:val="both"/>
        <w:rPr>
          <w:rFonts w:asciiTheme="minorHAnsi" w:eastAsiaTheme="minorHAnsi" w:hAnsiTheme="minorHAnsi"/>
          <w:szCs w:val="22"/>
          <w:lang w:eastAsia="en-US"/>
        </w:rPr>
      </w:pPr>
      <w:r w:rsidRPr="005525C5">
        <w:rPr>
          <w:rFonts w:asciiTheme="minorHAnsi" w:eastAsiaTheme="minorHAnsi" w:hAnsiTheme="minorHAnsi"/>
          <w:szCs w:val="22"/>
          <w:lang w:eastAsia="en-US"/>
        </w:rPr>
        <w:t xml:space="preserve">Καθώς οι μεταρρυθμίσεις είναι προσανατολισμένες προς την αποκέντρωση, οι τοπικές αρχές βρίσκονται επιφορτισμένες με διευρυμένες αρμοδιότητες, χωρίς να διαθέτουν </w:t>
      </w:r>
      <w:r w:rsidR="00820914" w:rsidRPr="005525C5">
        <w:rPr>
          <w:rFonts w:asciiTheme="minorHAnsi" w:eastAsiaTheme="minorHAnsi" w:hAnsiTheme="minorHAnsi"/>
          <w:szCs w:val="22"/>
          <w:lang w:eastAsia="en-US"/>
        </w:rPr>
        <w:t xml:space="preserve">αντίστοιχους οικονομικούς πόρους που να τους επιτρέπουν να </w:t>
      </w:r>
      <w:r w:rsidR="0058325D" w:rsidRPr="005525C5">
        <w:rPr>
          <w:rFonts w:asciiTheme="minorHAnsi" w:eastAsiaTheme="minorHAnsi" w:hAnsiTheme="minorHAnsi"/>
          <w:szCs w:val="22"/>
          <w:lang w:eastAsia="en-US"/>
        </w:rPr>
        <w:t xml:space="preserve">εγγυηθούν τις κατάλληλες υπηρεσίες. Ακριβώς αυτή είναι και η περίπτωση της Ελλάδας, η οποία αντιμετωπίζει </w:t>
      </w:r>
      <w:r w:rsidR="00165919" w:rsidRPr="005525C5">
        <w:rPr>
          <w:rFonts w:asciiTheme="minorHAnsi" w:eastAsiaTheme="minorHAnsi" w:hAnsiTheme="minorHAnsi"/>
          <w:szCs w:val="22"/>
          <w:lang w:eastAsia="en-US"/>
        </w:rPr>
        <w:t>αυξημένες δαπάνες</w:t>
      </w:r>
      <w:r w:rsidR="00C2669C" w:rsidRPr="005525C5">
        <w:rPr>
          <w:rFonts w:asciiTheme="minorHAnsi" w:eastAsiaTheme="minorHAnsi" w:hAnsiTheme="minorHAnsi"/>
          <w:szCs w:val="22"/>
          <w:lang w:eastAsia="en-US"/>
        </w:rPr>
        <w:t>,</w:t>
      </w:r>
      <w:r w:rsidR="00165919" w:rsidRPr="005525C5">
        <w:rPr>
          <w:rFonts w:asciiTheme="minorHAnsi" w:eastAsiaTheme="minorHAnsi" w:hAnsiTheme="minorHAnsi"/>
          <w:szCs w:val="22"/>
          <w:lang w:eastAsia="en-US"/>
        </w:rPr>
        <w:t xml:space="preserve"> λόγω του γεγονότος ότι ανατέθηκαν στην τοπική αυτοδιοίκηση αποκεντρωμένες αρμοδιότητες. Παράλληλα, οι ελληνικοί δήμοι αντιμετωπίζουν μέτρα λιτότητας και μείωση των εσόδων και των δαπανών σε </w:t>
      </w:r>
      <w:proofErr w:type="spellStart"/>
      <w:r w:rsidR="00165919" w:rsidRPr="005525C5">
        <w:rPr>
          <w:rFonts w:asciiTheme="minorHAnsi" w:eastAsiaTheme="minorHAnsi" w:hAnsiTheme="minorHAnsi"/>
          <w:szCs w:val="22"/>
          <w:lang w:eastAsia="en-US"/>
        </w:rPr>
        <w:t>υποεθνικό</w:t>
      </w:r>
      <w:proofErr w:type="spellEnd"/>
      <w:r w:rsidR="00165919" w:rsidRPr="005525C5">
        <w:rPr>
          <w:rFonts w:asciiTheme="minorHAnsi" w:eastAsiaTheme="minorHAnsi" w:hAnsiTheme="minorHAnsi"/>
          <w:szCs w:val="22"/>
          <w:lang w:eastAsia="en-US"/>
        </w:rPr>
        <w:t xml:space="preserve"> δημόσιο τομέα. Αυτή η κατάσταση παρουσιάζει μία σημαντική πρόκληση για τους ελληνικούς δήμους που προσπαθούν να εκπληρώσουν ορθά τα καθήκοντά τους και να καλύψουν πλήρως τις αρμοδιότητες τους. </w:t>
      </w:r>
    </w:p>
    <w:p w:rsidR="00E863B3" w:rsidRPr="005525C5" w:rsidRDefault="00E863B3" w:rsidP="001E61C1">
      <w:pPr>
        <w:pBdr>
          <w:bottom w:val="single" w:sz="6" w:space="1" w:color="auto"/>
        </w:pBdr>
        <w:spacing w:line="420" w:lineRule="atLeast"/>
        <w:jc w:val="both"/>
        <w:rPr>
          <w:rFonts w:asciiTheme="minorHAnsi" w:eastAsiaTheme="minorHAnsi" w:hAnsiTheme="minorHAnsi"/>
          <w:szCs w:val="22"/>
          <w:lang w:eastAsia="en-US"/>
        </w:rPr>
      </w:pPr>
    </w:p>
    <w:p w:rsidR="00AE0974" w:rsidRPr="005525C5" w:rsidRDefault="00AE0974" w:rsidP="001E61C1">
      <w:pPr>
        <w:pBdr>
          <w:bottom w:val="single" w:sz="6" w:space="1" w:color="auto"/>
        </w:pBdr>
        <w:spacing w:line="420" w:lineRule="atLeast"/>
        <w:jc w:val="both"/>
        <w:rPr>
          <w:rFonts w:asciiTheme="minorHAnsi" w:eastAsiaTheme="minorHAnsi" w:hAnsiTheme="minorHAnsi"/>
          <w:szCs w:val="22"/>
          <w:lang w:eastAsia="en-US"/>
        </w:rPr>
      </w:pPr>
    </w:p>
    <w:p w:rsidR="00AE0974" w:rsidRPr="00E8557E" w:rsidRDefault="00AE0974" w:rsidP="001E61C1">
      <w:pPr>
        <w:pBdr>
          <w:bottom w:val="single" w:sz="6" w:space="1" w:color="auto"/>
        </w:pBdr>
        <w:spacing w:line="420" w:lineRule="atLeast"/>
        <w:jc w:val="both"/>
        <w:rPr>
          <w:rFonts w:asciiTheme="minorHAnsi" w:eastAsiaTheme="minorHAnsi" w:hAnsiTheme="minorHAnsi"/>
          <w:szCs w:val="22"/>
          <w:lang w:eastAsia="en-US"/>
        </w:rPr>
      </w:pPr>
    </w:p>
    <w:p w:rsidR="005F4728" w:rsidRPr="00E8557E" w:rsidRDefault="005F4728" w:rsidP="001E61C1">
      <w:pPr>
        <w:pBdr>
          <w:bottom w:val="single" w:sz="6" w:space="1" w:color="auto"/>
        </w:pBdr>
        <w:spacing w:line="420" w:lineRule="atLeast"/>
        <w:jc w:val="both"/>
        <w:rPr>
          <w:rFonts w:asciiTheme="minorHAnsi" w:eastAsiaTheme="minorHAnsi" w:hAnsiTheme="minorHAnsi"/>
          <w:szCs w:val="22"/>
          <w:lang w:eastAsia="en-US"/>
        </w:rPr>
      </w:pPr>
    </w:p>
    <w:p w:rsidR="005F4728" w:rsidRDefault="005F4728" w:rsidP="001E61C1">
      <w:pPr>
        <w:pBdr>
          <w:bottom w:val="single" w:sz="6" w:space="1" w:color="auto"/>
        </w:pBdr>
        <w:spacing w:line="420" w:lineRule="atLeast"/>
        <w:jc w:val="both"/>
        <w:rPr>
          <w:rFonts w:asciiTheme="minorHAnsi" w:eastAsiaTheme="minorHAnsi" w:hAnsiTheme="minorHAnsi"/>
          <w:szCs w:val="22"/>
          <w:lang w:val="en-US" w:eastAsia="en-US"/>
        </w:rPr>
      </w:pPr>
    </w:p>
    <w:p w:rsidR="00BE1495" w:rsidRDefault="00BE1495" w:rsidP="001E61C1">
      <w:pPr>
        <w:pBdr>
          <w:bottom w:val="single" w:sz="6" w:space="1" w:color="auto"/>
        </w:pBdr>
        <w:spacing w:line="420" w:lineRule="atLeast"/>
        <w:jc w:val="both"/>
        <w:rPr>
          <w:rFonts w:asciiTheme="minorHAnsi" w:eastAsiaTheme="minorHAnsi" w:hAnsiTheme="minorHAnsi"/>
          <w:szCs w:val="22"/>
          <w:lang w:val="en-US" w:eastAsia="en-US"/>
        </w:rPr>
      </w:pPr>
    </w:p>
    <w:p w:rsidR="00BE1495" w:rsidRDefault="00BE1495" w:rsidP="001E61C1">
      <w:pPr>
        <w:pBdr>
          <w:bottom w:val="single" w:sz="6" w:space="1" w:color="auto"/>
        </w:pBdr>
        <w:spacing w:line="420" w:lineRule="atLeast"/>
        <w:jc w:val="both"/>
        <w:rPr>
          <w:rFonts w:asciiTheme="minorHAnsi" w:eastAsiaTheme="minorHAnsi" w:hAnsiTheme="minorHAnsi"/>
          <w:szCs w:val="22"/>
          <w:lang w:val="en-US" w:eastAsia="en-US"/>
        </w:rPr>
      </w:pPr>
    </w:p>
    <w:p w:rsidR="00BE1495" w:rsidRDefault="00BE1495" w:rsidP="001E61C1">
      <w:pPr>
        <w:pBdr>
          <w:bottom w:val="single" w:sz="6" w:space="1" w:color="auto"/>
        </w:pBdr>
        <w:spacing w:line="420" w:lineRule="atLeast"/>
        <w:jc w:val="both"/>
        <w:rPr>
          <w:rFonts w:asciiTheme="minorHAnsi" w:eastAsiaTheme="minorHAnsi" w:hAnsiTheme="minorHAnsi"/>
          <w:szCs w:val="22"/>
          <w:lang w:val="en-US" w:eastAsia="en-US"/>
        </w:rPr>
      </w:pPr>
    </w:p>
    <w:p w:rsidR="00BE1495" w:rsidRDefault="00BE1495" w:rsidP="001E61C1">
      <w:pPr>
        <w:pBdr>
          <w:bottom w:val="single" w:sz="6" w:space="1" w:color="auto"/>
        </w:pBdr>
        <w:spacing w:line="420" w:lineRule="atLeast"/>
        <w:jc w:val="both"/>
        <w:rPr>
          <w:rFonts w:asciiTheme="minorHAnsi" w:eastAsiaTheme="minorHAnsi" w:hAnsiTheme="minorHAnsi"/>
          <w:szCs w:val="22"/>
          <w:lang w:val="en-US" w:eastAsia="en-US"/>
        </w:rPr>
      </w:pPr>
    </w:p>
    <w:p w:rsidR="00BE1495" w:rsidRDefault="00BE1495" w:rsidP="001E61C1">
      <w:pPr>
        <w:pBdr>
          <w:bottom w:val="single" w:sz="6" w:space="1" w:color="auto"/>
        </w:pBdr>
        <w:spacing w:line="420" w:lineRule="atLeast"/>
        <w:jc w:val="both"/>
        <w:rPr>
          <w:rFonts w:asciiTheme="minorHAnsi" w:eastAsiaTheme="minorHAnsi" w:hAnsiTheme="minorHAnsi"/>
          <w:szCs w:val="22"/>
          <w:lang w:val="en-US" w:eastAsia="en-US"/>
        </w:rPr>
      </w:pPr>
    </w:p>
    <w:p w:rsidR="00BE1495" w:rsidRPr="00BE1495" w:rsidRDefault="00BE1495" w:rsidP="001E61C1">
      <w:pPr>
        <w:pBdr>
          <w:bottom w:val="single" w:sz="6" w:space="1" w:color="auto"/>
        </w:pBdr>
        <w:spacing w:line="420" w:lineRule="atLeast"/>
        <w:jc w:val="both"/>
        <w:rPr>
          <w:rFonts w:asciiTheme="minorHAnsi" w:eastAsiaTheme="minorHAnsi" w:hAnsiTheme="minorHAnsi"/>
          <w:szCs w:val="22"/>
          <w:lang w:val="en-US" w:eastAsia="en-US"/>
        </w:rPr>
      </w:pPr>
    </w:p>
    <w:p w:rsidR="00AE0974" w:rsidRPr="005525C5" w:rsidRDefault="00AE0974" w:rsidP="001E61C1">
      <w:pPr>
        <w:pBdr>
          <w:bottom w:val="single" w:sz="6" w:space="1" w:color="auto"/>
        </w:pBdr>
        <w:spacing w:line="420" w:lineRule="atLeast"/>
        <w:jc w:val="both"/>
        <w:rPr>
          <w:rFonts w:asciiTheme="minorHAnsi" w:eastAsiaTheme="minorHAnsi" w:hAnsiTheme="minorHAnsi"/>
          <w:szCs w:val="22"/>
          <w:lang w:eastAsia="en-US"/>
        </w:rPr>
      </w:pPr>
    </w:p>
    <w:p w:rsidR="00E863B3" w:rsidRPr="005525C5" w:rsidRDefault="00E863B3" w:rsidP="00E863B3">
      <w:pPr>
        <w:spacing w:line="420" w:lineRule="atLeast"/>
        <w:jc w:val="both"/>
        <w:rPr>
          <w:rFonts w:asciiTheme="minorHAnsi" w:eastAsiaTheme="minorHAnsi" w:hAnsiTheme="minorHAnsi"/>
          <w:szCs w:val="22"/>
          <w:lang w:eastAsia="en-US"/>
        </w:rPr>
      </w:pPr>
      <w:r w:rsidRPr="005525C5">
        <w:rPr>
          <w:rFonts w:asciiTheme="minorHAnsi" w:eastAsiaTheme="minorHAnsi" w:hAnsiTheme="minorHAnsi"/>
          <w:szCs w:val="22"/>
          <w:lang w:eastAsia="en-US"/>
        </w:rPr>
        <w:t>Μετάφραση Β. Αθανασοπούλου, ΚΕΔΕ 08-06-2015</w:t>
      </w:r>
    </w:p>
    <w:sectPr w:rsidR="00E863B3" w:rsidRPr="005525C5" w:rsidSect="00BE1495">
      <w:headerReference w:type="even" r:id="rId12"/>
      <w:footerReference w:type="even" r:id="rId13"/>
      <w:footerReference w:type="default" r:id="rId14"/>
      <w:footerReference w:type="first" r:id="rId15"/>
      <w:pgSz w:w="11906" w:h="16838"/>
      <w:pgMar w:top="1418" w:right="1531" w:bottom="1418" w:left="153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7C2" w:rsidRDefault="00A077C2">
      <w:r>
        <w:separator/>
      </w:r>
    </w:p>
  </w:endnote>
  <w:endnote w:type="continuationSeparator" w:id="0">
    <w:p w:rsidR="00A077C2" w:rsidRDefault="00A0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974" w:rsidRDefault="00C525D4" w:rsidP="00761891">
    <w:pPr>
      <w:pStyle w:val="a5"/>
      <w:framePr w:wrap="around" w:vAnchor="text" w:hAnchor="margin" w:xAlign="center" w:y="1"/>
      <w:rPr>
        <w:rStyle w:val="a6"/>
      </w:rPr>
    </w:pPr>
    <w:r>
      <w:rPr>
        <w:rStyle w:val="a6"/>
      </w:rPr>
      <w:fldChar w:fldCharType="begin"/>
    </w:r>
    <w:r w:rsidR="00AE0974">
      <w:rPr>
        <w:rStyle w:val="a6"/>
      </w:rPr>
      <w:instrText xml:space="preserve">PAGE  </w:instrText>
    </w:r>
    <w:r>
      <w:rPr>
        <w:rStyle w:val="a6"/>
      </w:rPr>
      <w:fldChar w:fldCharType="end"/>
    </w:r>
  </w:p>
  <w:p w:rsidR="00AE0974" w:rsidRDefault="00AE097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0047"/>
      <w:docPartObj>
        <w:docPartGallery w:val="Page Numbers (Bottom of Page)"/>
        <w:docPartUnique/>
      </w:docPartObj>
    </w:sdtPr>
    <w:sdtEndPr/>
    <w:sdtContent>
      <w:p w:rsidR="00BE1495" w:rsidRDefault="00BE1495">
        <w:pPr>
          <w:pStyle w:val="a5"/>
          <w:jc w:val="center"/>
        </w:pPr>
        <w:r>
          <w:t>[</w:t>
        </w:r>
        <w:r w:rsidR="00A077C2">
          <w:fldChar w:fldCharType="begin"/>
        </w:r>
        <w:r w:rsidR="00A077C2">
          <w:instrText xml:space="preserve"> PAGE   \* MERGEFORMAT </w:instrText>
        </w:r>
        <w:r w:rsidR="00A077C2">
          <w:fldChar w:fldCharType="separate"/>
        </w:r>
        <w:r w:rsidR="0006655A">
          <w:rPr>
            <w:noProof/>
          </w:rPr>
          <w:t>1</w:t>
        </w:r>
        <w:r w:rsidR="00A077C2">
          <w:rPr>
            <w:noProof/>
          </w:rPr>
          <w:fldChar w:fldCharType="end"/>
        </w:r>
        <w:r>
          <w:t>]</w:t>
        </w:r>
      </w:p>
    </w:sdtContent>
  </w:sdt>
  <w:p w:rsidR="00BE1495" w:rsidRDefault="00BE149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225" w:rsidRDefault="004B4225">
    <w:pPr>
      <w:pStyle w:val="a5"/>
      <w:jc w:val="center"/>
    </w:pPr>
  </w:p>
  <w:p w:rsidR="004B4225" w:rsidRDefault="004B42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7C2" w:rsidRDefault="00A077C2">
      <w:r>
        <w:separator/>
      </w:r>
    </w:p>
  </w:footnote>
  <w:footnote w:type="continuationSeparator" w:id="0">
    <w:p w:rsidR="00A077C2" w:rsidRDefault="00A077C2">
      <w:r>
        <w:continuationSeparator/>
      </w:r>
    </w:p>
  </w:footnote>
  <w:footnote w:id="1">
    <w:p w:rsidR="00AE0974" w:rsidRDefault="00AE0974" w:rsidP="00A063AF">
      <w:pPr>
        <w:pStyle w:val="ab"/>
        <w:jc w:val="both"/>
        <w:rPr>
          <w:rFonts w:ascii="Arial" w:hAnsi="Arial" w:cs="Arial"/>
          <w:spacing w:val="40"/>
        </w:rPr>
      </w:pPr>
      <w:r w:rsidRPr="005525C5">
        <w:rPr>
          <w:rFonts w:asciiTheme="minorHAnsi" w:eastAsiaTheme="minorHAnsi" w:hAnsiTheme="minorHAnsi"/>
          <w:sz w:val="24"/>
          <w:szCs w:val="22"/>
          <w:lang w:eastAsia="en-US"/>
        </w:rPr>
        <w:footnoteRef/>
      </w:r>
      <w:r w:rsidRPr="005525C5">
        <w:rPr>
          <w:rFonts w:asciiTheme="minorHAnsi" w:eastAsiaTheme="minorHAnsi" w:hAnsiTheme="minorHAnsi"/>
          <w:sz w:val="24"/>
          <w:szCs w:val="22"/>
          <w:lang w:eastAsia="en-US"/>
        </w:rPr>
        <w:t xml:space="preserve"> Το Ακαθάριστο Εθνικό Προϊόν (ΑΕΠ) προσδιορίζεται από τον ΟΟΣΑ ως «το σύνολο των ακαθάριστων προστιθέμενων αξιών όλων των εγχώριων παραγωγικών μονάδων πλέον των φόρων μείον τις επιχορηγήσεις στα προϊόντα οι οποίες δεν έχουν ενσωματωθεί στο ΦΠΑ</w:t>
      </w:r>
      <w:r>
        <w:rPr>
          <w:rFonts w:ascii="Arial" w:hAnsi="Arial" w:cs="Arial"/>
          <w:spacing w:val="40"/>
        </w:rPr>
        <w:t>.</w:t>
      </w:r>
    </w:p>
    <w:p w:rsidR="00AE0974" w:rsidRDefault="00AE0974" w:rsidP="00A063AF">
      <w:pPr>
        <w:pStyle w:val="ab"/>
        <w:jc w:val="both"/>
      </w:pPr>
    </w:p>
  </w:footnote>
  <w:footnote w:id="2">
    <w:p w:rsidR="00AE0974" w:rsidRDefault="00AE0974" w:rsidP="000A7480">
      <w:pPr>
        <w:pStyle w:val="a8"/>
        <w:jc w:val="both"/>
      </w:pPr>
      <w:r>
        <w:rPr>
          <w:rStyle w:val="ac"/>
        </w:rPr>
        <w:footnoteRef/>
      </w:r>
      <w:r>
        <w:t xml:space="preserve"> </w:t>
      </w:r>
      <w:r w:rsidRPr="00E03DD2">
        <w:rPr>
          <w:b/>
        </w:rPr>
        <w:t>Τα συνολικά έσοδα του δημόσιου τομέα</w:t>
      </w:r>
      <w:r>
        <w:t xml:space="preserve"> περιλαμβάνουν τα φορολογικά έσοδα, τις επιχορηγήσεις – μεταβιβάσεις, τα τέλη και δικαιώματα από κινητή και ακίνητη περιουσία και τις εισφορές στην κοινωνική ασφάλιση. .</w:t>
      </w:r>
    </w:p>
    <w:p w:rsidR="00AE0974" w:rsidRDefault="00AE0974">
      <w:pPr>
        <w:pStyle w:val="ab"/>
      </w:pPr>
    </w:p>
  </w:footnote>
  <w:footnote w:id="3">
    <w:p w:rsidR="00AE0974" w:rsidRDefault="00AE0974" w:rsidP="00564A68">
      <w:pPr>
        <w:pStyle w:val="a8"/>
        <w:jc w:val="both"/>
      </w:pPr>
      <w:r>
        <w:rPr>
          <w:rStyle w:val="ac"/>
        </w:rPr>
        <w:footnoteRef/>
      </w:r>
      <w:r>
        <w:t xml:space="preserve"> </w:t>
      </w:r>
      <w:r w:rsidRPr="00E03DD2">
        <w:rPr>
          <w:b/>
        </w:rPr>
        <w:t>Σύνολο δαπανών του δημοσίου τομέα</w:t>
      </w:r>
      <w:r>
        <w:t xml:space="preserve"> : τρέχουσες και επενδυτικές δαπάνες.</w:t>
      </w:r>
    </w:p>
    <w:p w:rsidR="00AE0974" w:rsidRDefault="00AE0974" w:rsidP="00564A68">
      <w:pPr>
        <w:pStyle w:val="ab"/>
        <w:jc w:val="both"/>
      </w:pPr>
    </w:p>
  </w:footnote>
  <w:footnote w:id="4">
    <w:p w:rsidR="00AE0974" w:rsidRDefault="00AE0974">
      <w:pPr>
        <w:pStyle w:val="ab"/>
      </w:pPr>
      <w:r>
        <w:rPr>
          <w:rStyle w:val="ac"/>
        </w:rPr>
        <w:footnoteRef/>
      </w:r>
      <w:r>
        <w:t xml:space="preserve"> </w:t>
      </w:r>
      <w:r w:rsidRPr="00E03DD2">
        <w:rPr>
          <w:b/>
        </w:rPr>
        <w:t>Άμεσες επενδύσεις</w:t>
      </w:r>
      <w:r>
        <w:t xml:space="preserve"> : Δημιουργία ακαθάριστου κεφαλαίου μείον μη χρηματοδοτικές και μη εμπράγματες εκχωρήσεις.</w:t>
      </w:r>
    </w:p>
  </w:footnote>
  <w:footnote w:id="5">
    <w:p w:rsidR="00AE0974" w:rsidRDefault="00AE0974">
      <w:pPr>
        <w:pStyle w:val="ab"/>
      </w:pPr>
      <w:r>
        <w:rPr>
          <w:rStyle w:val="ac"/>
        </w:rPr>
        <w:footnoteRef/>
      </w:r>
      <w:r>
        <w:t xml:space="preserve"> </w:t>
      </w:r>
      <w:r w:rsidRPr="00D6074E">
        <w:rPr>
          <w:b/>
        </w:rPr>
        <w:t>Δημόσιο χρέος</w:t>
      </w:r>
      <w:r>
        <w:t xml:space="preserve"> : ακαθάριστο χρέος, όπως ορίζεται στη Συνθήκης του Μάαστριχτ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974" w:rsidRDefault="00C525D4" w:rsidP="00761891">
    <w:pPr>
      <w:pStyle w:val="a4"/>
      <w:framePr w:wrap="around" w:vAnchor="text" w:hAnchor="margin" w:xAlign="center" w:y="1"/>
      <w:rPr>
        <w:rStyle w:val="a6"/>
      </w:rPr>
    </w:pPr>
    <w:r>
      <w:rPr>
        <w:rStyle w:val="a6"/>
      </w:rPr>
      <w:fldChar w:fldCharType="begin"/>
    </w:r>
    <w:r w:rsidR="00AE0974">
      <w:rPr>
        <w:rStyle w:val="a6"/>
      </w:rPr>
      <w:instrText xml:space="preserve">PAGE  </w:instrText>
    </w:r>
    <w:r>
      <w:rPr>
        <w:rStyle w:val="a6"/>
      </w:rPr>
      <w:fldChar w:fldCharType="end"/>
    </w:r>
  </w:p>
  <w:p w:rsidR="00AE0974" w:rsidRDefault="00AE097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63A"/>
    <w:multiLevelType w:val="hybridMultilevel"/>
    <w:tmpl w:val="28AC9F28"/>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
    <w:nsid w:val="043F1B85"/>
    <w:multiLevelType w:val="hybridMultilevel"/>
    <w:tmpl w:val="D77AF86A"/>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
    <w:nsid w:val="0AC2751B"/>
    <w:multiLevelType w:val="hybridMultilevel"/>
    <w:tmpl w:val="9F3A0354"/>
    <w:lvl w:ilvl="0" w:tplc="7E7853C2">
      <w:start w:val="1"/>
      <w:numFmt w:val="decimal"/>
      <w:lvlText w:val="%1."/>
      <w:lvlJc w:val="left"/>
      <w:pPr>
        <w:tabs>
          <w:tab w:val="num" w:pos="750"/>
        </w:tabs>
        <w:ind w:left="750"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BBF43FD"/>
    <w:multiLevelType w:val="hybridMultilevel"/>
    <w:tmpl w:val="10FCF572"/>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4">
    <w:nsid w:val="2DE20612"/>
    <w:multiLevelType w:val="hybridMultilevel"/>
    <w:tmpl w:val="33C0BFF4"/>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5">
    <w:nsid w:val="30920A31"/>
    <w:multiLevelType w:val="hybridMultilevel"/>
    <w:tmpl w:val="5E648AE2"/>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6">
    <w:nsid w:val="30E9181E"/>
    <w:multiLevelType w:val="hybridMultilevel"/>
    <w:tmpl w:val="D9EE0FD4"/>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7">
    <w:nsid w:val="312F1D80"/>
    <w:multiLevelType w:val="hybridMultilevel"/>
    <w:tmpl w:val="FC469070"/>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8">
    <w:nsid w:val="36EA7972"/>
    <w:multiLevelType w:val="hybridMultilevel"/>
    <w:tmpl w:val="B1522D92"/>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9">
    <w:nsid w:val="381C4CFC"/>
    <w:multiLevelType w:val="hybridMultilevel"/>
    <w:tmpl w:val="5D285362"/>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0">
    <w:nsid w:val="3A23227F"/>
    <w:multiLevelType w:val="hybridMultilevel"/>
    <w:tmpl w:val="0FDE10F6"/>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1">
    <w:nsid w:val="458E19CC"/>
    <w:multiLevelType w:val="hybridMultilevel"/>
    <w:tmpl w:val="A45ABB52"/>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2">
    <w:nsid w:val="497149E5"/>
    <w:multiLevelType w:val="hybridMultilevel"/>
    <w:tmpl w:val="29C617DC"/>
    <w:lvl w:ilvl="0" w:tplc="0408000F">
      <w:start w:val="1"/>
      <w:numFmt w:val="decimal"/>
      <w:lvlText w:val="%1."/>
      <w:lvlJc w:val="left"/>
      <w:pPr>
        <w:ind w:left="436"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13">
    <w:nsid w:val="50D710BE"/>
    <w:multiLevelType w:val="hybridMultilevel"/>
    <w:tmpl w:val="0F3015F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73716C5"/>
    <w:multiLevelType w:val="hybridMultilevel"/>
    <w:tmpl w:val="81F06D52"/>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5">
    <w:nsid w:val="5AFC3030"/>
    <w:multiLevelType w:val="hybridMultilevel"/>
    <w:tmpl w:val="A2DE91D6"/>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6">
    <w:nsid w:val="6A0B78A3"/>
    <w:multiLevelType w:val="hybridMultilevel"/>
    <w:tmpl w:val="99144284"/>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7">
    <w:nsid w:val="7F1D4EA8"/>
    <w:multiLevelType w:val="hybridMultilevel"/>
    <w:tmpl w:val="A19A0BAA"/>
    <w:lvl w:ilvl="0" w:tplc="1ECE21DA">
      <w:start w:val="1"/>
      <w:numFmt w:val="decimal"/>
      <w:lvlText w:val="%1."/>
      <w:lvlJc w:val="left"/>
      <w:pPr>
        <w:ind w:left="436" w:hanging="360"/>
      </w:pPr>
      <w:rPr>
        <w:rFonts w:hint="default"/>
      </w:r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num w:numId="1">
    <w:abstractNumId w:val="12"/>
  </w:num>
  <w:num w:numId="2">
    <w:abstractNumId w:val="17"/>
  </w:num>
  <w:num w:numId="3">
    <w:abstractNumId w:val="6"/>
  </w:num>
  <w:num w:numId="4">
    <w:abstractNumId w:val="13"/>
  </w:num>
  <w:num w:numId="5">
    <w:abstractNumId w:val="15"/>
  </w:num>
  <w:num w:numId="6">
    <w:abstractNumId w:val="5"/>
  </w:num>
  <w:num w:numId="7">
    <w:abstractNumId w:val="0"/>
  </w:num>
  <w:num w:numId="8">
    <w:abstractNumId w:val="3"/>
  </w:num>
  <w:num w:numId="9">
    <w:abstractNumId w:val="7"/>
  </w:num>
  <w:num w:numId="10">
    <w:abstractNumId w:val="16"/>
  </w:num>
  <w:num w:numId="11">
    <w:abstractNumId w:val="9"/>
  </w:num>
  <w:num w:numId="12">
    <w:abstractNumId w:val="11"/>
  </w:num>
  <w:num w:numId="13">
    <w:abstractNumId w:val="4"/>
  </w:num>
  <w:num w:numId="14">
    <w:abstractNumId w:val="10"/>
  </w:num>
  <w:num w:numId="15">
    <w:abstractNumId w:val="1"/>
  </w:num>
  <w:num w:numId="16">
    <w:abstractNumId w:val="14"/>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697"/>
    <w:rsid w:val="000021AD"/>
    <w:rsid w:val="0001528D"/>
    <w:rsid w:val="000266F2"/>
    <w:rsid w:val="0003094C"/>
    <w:rsid w:val="000638EA"/>
    <w:rsid w:val="0006655A"/>
    <w:rsid w:val="000670EE"/>
    <w:rsid w:val="00075163"/>
    <w:rsid w:val="0008006C"/>
    <w:rsid w:val="00092656"/>
    <w:rsid w:val="000A7480"/>
    <w:rsid w:val="00123042"/>
    <w:rsid w:val="00147805"/>
    <w:rsid w:val="001649C7"/>
    <w:rsid w:val="00165919"/>
    <w:rsid w:val="001B7292"/>
    <w:rsid w:val="001C061A"/>
    <w:rsid w:val="001D5F2D"/>
    <w:rsid w:val="001E4856"/>
    <w:rsid w:val="001E61C1"/>
    <w:rsid w:val="001F00BE"/>
    <w:rsid w:val="002060C2"/>
    <w:rsid w:val="00243B30"/>
    <w:rsid w:val="00262E98"/>
    <w:rsid w:val="00293BE8"/>
    <w:rsid w:val="002A0C91"/>
    <w:rsid w:val="002A6128"/>
    <w:rsid w:val="002D1B2B"/>
    <w:rsid w:val="002D4EE0"/>
    <w:rsid w:val="002F6284"/>
    <w:rsid w:val="002F78D5"/>
    <w:rsid w:val="003050B5"/>
    <w:rsid w:val="003100AF"/>
    <w:rsid w:val="00315B82"/>
    <w:rsid w:val="00334A19"/>
    <w:rsid w:val="003421A9"/>
    <w:rsid w:val="00343DCF"/>
    <w:rsid w:val="0037137B"/>
    <w:rsid w:val="00381632"/>
    <w:rsid w:val="00391697"/>
    <w:rsid w:val="003A474E"/>
    <w:rsid w:val="003B015F"/>
    <w:rsid w:val="003B5D9D"/>
    <w:rsid w:val="003F0027"/>
    <w:rsid w:val="003F1E20"/>
    <w:rsid w:val="004063A7"/>
    <w:rsid w:val="0041285F"/>
    <w:rsid w:val="00423BE2"/>
    <w:rsid w:val="00452D3F"/>
    <w:rsid w:val="00457EB9"/>
    <w:rsid w:val="004B1969"/>
    <w:rsid w:val="004B4225"/>
    <w:rsid w:val="004E69B9"/>
    <w:rsid w:val="004F0F70"/>
    <w:rsid w:val="00512712"/>
    <w:rsid w:val="00520B98"/>
    <w:rsid w:val="005345E4"/>
    <w:rsid w:val="00536A72"/>
    <w:rsid w:val="005525C5"/>
    <w:rsid w:val="00564A68"/>
    <w:rsid w:val="0058325D"/>
    <w:rsid w:val="005952E8"/>
    <w:rsid w:val="005C3772"/>
    <w:rsid w:val="005C6F50"/>
    <w:rsid w:val="005D0BC2"/>
    <w:rsid w:val="005D443F"/>
    <w:rsid w:val="005E73C4"/>
    <w:rsid w:val="005F4728"/>
    <w:rsid w:val="005F490A"/>
    <w:rsid w:val="006010AC"/>
    <w:rsid w:val="006018BC"/>
    <w:rsid w:val="00616292"/>
    <w:rsid w:val="0061779D"/>
    <w:rsid w:val="0062157D"/>
    <w:rsid w:val="00625AFD"/>
    <w:rsid w:val="0066063C"/>
    <w:rsid w:val="006A4922"/>
    <w:rsid w:val="006B6B99"/>
    <w:rsid w:val="006F7A14"/>
    <w:rsid w:val="007207E7"/>
    <w:rsid w:val="00761891"/>
    <w:rsid w:val="0078370C"/>
    <w:rsid w:val="007A3AA7"/>
    <w:rsid w:val="007A41BA"/>
    <w:rsid w:val="007A5EB2"/>
    <w:rsid w:val="007C6474"/>
    <w:rsid w:val="007E114F"/>
    <w:rsid w:val="00820914"/>
    <w:rsid w:val="008317E2"/>
    <w:rsid w:val="00882E05"/>
    <w:rsid w:val="008955C1"/>
    <w:rsid w:val="0089690D"/>
    <w:rsid w:val="008D2EDD"/>
    <w:rsid w:val="008F0011"/>
    <w:rsid w:val="008F2375"/>
    <w:rsid w:val="0090760E"/>
    <w:rsid w:val="009205A3"/>
    <w:rsid w:val="00921BD8"/>
    <w:rsid w:val="0093402A"/>
    <w:rsid w:val="009671DD"/>
    <w:rsid w:val="00972EA4"/>
    <w:rsid w:val="00974E54"/>
    <w:rsid w:val="00975CCE"/>
    <w:rsid w:val="00981024"/>
    <w:rsid w:val="009822A5"/>
    <w:rsid w:val="00990C38"/>
    <w:rsid w:val="009949CE"/>
    <w:rsid w:val="009A1C6B"/>
    <w:rsid w:val="009A77C2"/>
    <w:rsid w:val="009C0BE7"/>
    <w:rsid w:val="009D21CE"/>
    <w:rsid w:val="009D5479"/>
    <w:rsid w:val="009E097E"/>
    <w:rsid w:val="009E7F22"/>
    <w:rsid w:val="00A063AF"/>
    <w:rsid w:val="00A077C2"/>
    <w:rsid w:val="00A35967"/>
    <w:rsid w:val="00A41209"/>
    <w:rsid w:val="00A43783"/>
    <w:rsid w:val="00A57081"/>
    <w:rsid w:val="00A662E9"/>
    <w:rsid w:val="00AB0530"/>
    <w:rsid w:val="00AE0974"/>
    <w:rsid w:val="00B0752F"/>
    <w:rsid w:val="00B12A3F"/>
    <w:rsid w:val="00B13AC4"/>
    <w:rsid w:val="00B16AA6"/>
    <w:rsid w:val="00B325AD"/>
    <w:rsid w:val="00B57015"/>
    <w:rsid w:val="00B60B5D"/>
    <w:rsid w:val="00B810F9"/>
    <w:rsid w:val="00B85D29"/>
    <w:rsid w:val="00BA6196"/>
    <w:rsid w:val="00BA7B45"/>
    <w:rsid w:val="00BD3F9C"/>
    <w:rsid w:val="00BE1495"/>
    <w:rsid w:val="00BE5EB4"/>
    <w:rsid w:val="00BF0EFA"/>
    <w:rsid w:val="00C22971"/>
    <w:rsid w:val="00C2669C"/>
    <w:rsid w:val="00C42F2A"/>
    <w:rsid w:val="00C457A2"/>
    <w:rsid w:val="00C525D4"/>
    <w:rsid w:val="00C65A1B"/>
    <w:rsid w:val="00C87EE3"/>
    <w:rsid w:val="00CA271C"/>
    <w:rsid w:val="00CA6E7C"/>
    <w:rsid w:val="00CC2A14"/>
    <w:rsid w:val="00CD213E"/>
    <w:rsid w:val="00D25088"/>
    <w:rsid w:val="00D25780"/>
    <w:rsid w:val="00D41091"/>
    <w:rsid w:val="00D4121B"/>
    <w:rsid w:val="00D45FD3"/>
    <w:rsid w:val="00D5366E"/>
    <w:rsid w:val="00D6074E"/>
    <w:rsid w:val="00DB2E2D"/>
    <w:rsid w:val="00DF4D8E"/>
    <w:rsid w:val="00E03DD2"/>
    <w:rsid w:val="00E13460"/>
    <w:rsid w:val="00E257EC"/>
    <w:rsid w:val="00E25C7A"/>
    <w:rsid w:val="00E276EA"/>
    <w:rsid w:val="00E60F4B"/>
    <w:rsid w:val="00E8557E"/>
    <w:rsid w:val="00E863B3"/>
    <w:rsid w:val="00E91469"/>
    <w:rsid w:val="00EE6E8F"/>
    <w:rsid w:val="00F10E98"/>
    <w:rsid w:val="00F2785A"/>
    <w:rsid w:val="00F32A13"/>
    <w:rsid w:val="00F631C5"/>
    <w:rsid w:val="00F92A10"/>
    <w:rsid w:val="00F96838"/>
    <w:rsid w:val="00FA028C"/>
    <w:rsid w:val="00FB222B"/>
    <w:rsid w:val="00FB7450"/>
    <w:rsid w:val="00FC5B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697"/>
    <w:rPr>
      <w:rFonts w:ascii="Times New Roman" w:eastAsia="Times New Roman" w:hAnsi="Times New Roman"/>
      <w:sz w:val="24"/>
      <w:szCs w:val="24"/>
    </w:rPr>
  </w:style>
  <w:style w:type="paragraph" w:styleId="2">
    <w:name w:val="heading 2"/>
    <w:basedOn w:val="a"/>
    <w:next w:val="a"/>
    <w:link w:val="2Char"/>
    <w:qFormat/>
    <w:rsid w:val="00391697"/>
    <w:pPr>
      <w:keepNext/>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391697"/>
    <w:rPr>
      <w:rFonts w:ascii="Times New Roman" w:eastAsia="Times New Roman" w:hAnsi="Times New Roman" w:cs="Times New Roman"/>
      <w:b/>
      <w:sz w:val="24"/>
      <w:szCs w:val="20"/>
      <w:lang w:eastAsia="el-GR"/>
    </w:rPr>
  </w:style>
  <w:style w:type="paragraph" w:styleId="Web">
    <w:name w:val="Normal (Web)"/>
    <w:basedOn w:val="a"/>
    <w:rsid w:val="00391697"/>
    <w:pPr>
      <w:spacing w:before="100" w:beforeAutospacing="1" w:after="100" w:afterAutospacing="1"/>
    </w:pPr>
  </w:style>
  <w:style w:type="paragraph" w:styleId="a3">
    <w:name w:val="Balloon Text"/>
    <w:basedOn w:val="a"/>
    <w:link w:val="Char"/>
    <w:uiPriority w:val="99"/>
    <w:semiHidden/>
    <w:unhideWhenUsed/>
    <w:rsid w:val="00391697"/>
    <w:rPr>
      <w:rFonts w:ascii="Tahoma" w:hAnsi="Tahoma" w:cs="Tahoma"/>
      <w:sz w:val="16"/>
      <w:szCs w:val="16"/>
    </w:rPr>
  </w:style>
  <w:style w:type="character" w:customStyle="1" w:styleId="Char">
    <w:name w:val="Κείμενο πλαισίου Char"/>
    <w:basedOn w:val="a0"/>
    <w:link w:val="a3"/>
    <w:uiPriority w:val="99"/>
    <w:semiHidden/>
    <w:rsid w:val="00391697"/>
    <w:rPr>
      <w:rFonts w:ascii="Tahoma" w:eastAsia="Times New Roman" w:hAnsi="Tahoma" w:cs="Tahoma"/>
      <w:sz w:val="16"/>
      <w:szCs w:val="16"/>
      <w:lang w:eastAsia="el-GR"/>
    </w:rPr>
  </w:style>
  <w:style w:type="character" w:styleId="-">
    <w:name w:val="Hyperlink"/>
    <w:basedOn w:val="a0"/>
    <w:rsid w:val="0090760E"/>
    <w:rPr>
      <w:color w:val="0000FF"/>
      <w:u w:val="single"/>
    </w:rPr>
  </w:style>
  <w:style w:type="paragraph" w:styleId="a4">
    <w:name w:val="header"/>
    <w:basedOn w:val="a"/>
    <w:rsid w:val="003050B5"/>
    <w:pPr>
      <w:tabs>
        <w:tab w:val="center" w:pos="4153"/>
        <w:tab w:val="right" w:pos="8306"/>
      </w:tabs>
    </w:pPr>
  </w:style>
  <w:style w:type="paragraph" w:styleId="a5">
    <w:name w:val="footer"/>
    <w:basedOn w:val="a"/>
    <w:link w:val="Char0"/>
    <w:uiPriority w:val="99"/>
    <w:rsid w:val="003050B5"/>
    <w:pPr>
      <w:tabs>
        <w:tab w:val="center" w:pos="4153"/>
        <w:tab w:val="right" w:pos="8306"/>
      </w:tabs>
    </w:pPr>
  </w:style>
  <w:style w:type="character" w:styleId="a6">
    <w:name w:val="page number"/>
    <w:basedOn w:val="a0"/>
    <w:rsid w:val="003050B5"/>
  </w:style>
  <w:style w:type="character" w:styleId="a7">
    <w:name w:val="annotation reference"/>
    <w:basedOn w:val="a0"/>
    <w:semiHidden/>
    <w:rsid w:val="00C65A1B"/>
    <w:rPr>
      <w:sz w:val="16"/>
      <w:szCs w:val="16"/>
    </w:rPr>
  </w:style>
  <w:style w:type="paragraph" w:styleId="a8">
    <w:name w:val="annotation text"/>
    <w:basedOn w:val="a"/>
    <w:semiHidden/>
    <w:rsid w:val="00C65A1B"/>
    <w:rPr>
      <w:sz w:val="20"/>
      <w:szCs w:val="20"/>
    </w:rPr>
  </w:style>
  <w:style w:type="paragraph" w:styleId="a9">
    <w:name w:val="annotation subject"/>
    <w:basedOn w:val="a8"/>
    <w:next w:val="a8"/>
    <w:semiHidden/>
    <w:rsid w:val="00C65A1B"/>
    <w:rPr>
      <w:b/>
      <w:bCs/>
    </w:rPr>
  </w:style>
  <w:style w:type="table" w:styleId="aa">
    <w:name w:val="Table Grid"/>
    <w:basedOn w:val="a1"/>
    <w:rsid w:val="00A41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semiHidden/>
    <w:rsid w:val="009C0BE7"/>
    <w:rPr>
      <w:sz w:val="20"/>
      <w:szCs w:val="20"/>
    </w:rPr>
  </w:style>
  <w:style w:type="character" w:styleId="ac">
    <w:name w:val="footnote reference"/>
    <w:basedOn w:val="a0"/>
    <w:semiHidden/>
    <w:rsid w:val="009C0BE7"/>
    <w:rPr>
      <w:vertAlign w:val="superscript"/>
    </w:rPr>
  </w:style>
  <w:style w:type="character" w:customStyle="1" w:styleId="Char0">
    <w:name w:val="Υποσέλιδο Char"/>
    <w:basedOn w:val="a0"/>
    <w:link w:val="a5"/>
    <w:uiPriority w:val="99"/>
    <w:rsid w:val="004B422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697"/>
    <w:rPr>
      <w:rFonts w:ascii="Times New Roman" w:eastAsia="Times New Roman" w:hAnsi="Times New Roman"/>
      <w:sz w:val="24"/>
      <w:szCs w:val="24"/>
    </w:rPr>
  </w:style>
  <w:style w:type="paragraph" w:styleId="2">
    <w:name w:val="heading 2"/>
    <w:basedOn w:val="a"/>
    <w:next w:val="a"/>
    <w:link w:val="2Char"/>
    <w:qFormat/>
    <w:rsid w:val="00391697"/>
    <w:pPr>
      <w:keepNext/>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391697"/>
    <w:rPr>
      <w:rFonts w:ascii="Times New Roman" w:eastAsia="Times New Roman" w:hAnsi="Times New Roman" w:cs="Times New Roman"/>
      <w:b/>
      <w:sz w:val="24"/>
      <w:szCs w:val="20"/>
      <w:lang w:eastAsia="el-GR"/>
    </w:rPr>
  </w:style>
  <w:style w:type="paragraph" w:styleId="Web">
    <w:name w:val="Normal (Web)"/>
    <w:basedOn w:val="a"/>
    <w:rsid w:val="00391697"/>
    <w:pPr>
      <w:spacing w:before="100" w:beforeAutospacing="1" w:after="100" w:afterAutospacing="1"/>
    </w:pPr>
  </w:style>
  <w:style w:type="paragraph" w:styleId="a3">
    <w:name w:val="Balloon Text"/>
    <w:basedOn w:val="a"/>
    <w:link w:val="Char"/>
    <w:uiPriority w:val="99"/>
    <w:semiHidden/>
    <w:unhideWhenUsed/>
    <w:rsid w:val="00391697"/>
    <w:rPr>
      <w:rFonts w:ascii="Tahoma" w:hAnsi="Tahoma" w:cs="Tahoma"/>
      <w:sz w:val="16"/>
      <w:szCs w:val="16"/>
    </w:rPr>
  </w:style>
  <w:style w:type="character" w:customStyle="1" w:styleId="Char">
    <w:name w:val="Κείμενο πλαισίου Char"/>
    <w:basedOn w:val="a0"/>
    <w:link w:val="a3"/>
    <w:uiPriority w:val="99"/>
    <w:semiHidden/>
    <w:rsid w:val="00391697"/>
    <w:rPr>
      <w:rFonts w:ascii="Tahoma" w:eastAsia="Times New Roman" w:hAnsi="Tahoma" w:cs="Tahoma"/>
      <w:sz w:val="16"/>
      <w:szCs w:val="16"/>
      <w:lang w:eastAsia="el-GR"/>
    </w:rPr>
  </w:style>
  <w:style w:type="character" w:styleId="-">
    <w:name w:val="Hyperlink"/>
    <w:basedOn w:val="a0"/>
    <w:rsid w:val="0090760E"/>
    <w:rPr>
      <w:color w:val="0000FF"/>
      <w:u w:val="single"/>
    </w:rPr>
  </w:style>
  <w:style w:type="paragraph" w:styleId="a4">
    <w:name w:val="header"/>
    <w:basedOn w:val="a"/>
    <w:rsid w:val="003050B5"/>
    <w:pPr>
      <w:tabs>
        <w:tab w:val="center" w:pos="4153"/>
        <w:tab w:val="right" w:pos="8306"/>
      </w:tabs>
    </w:pPr>
  </w:style>
  <w:style w:type="paragraph" w:styleId="a5">
    <w:name w:val="footer"/>
    <w:basedOn w:val="a"/>
    <w:link w:val="Char0"/>
    <w:uiPriority w:val="99"/>
    <w:rsid w:val="003050B5"/>
    <w:pPr>
      <w:tabs>
        <w:tab w:val="center" w:pos="4153"/>
        <w:tab w:val="right" w:pos="8306"/>
      </w:tabs>
    </w:pPr>
  </w:style>
  <w:style w:type="character" w:styleId="a6">
    <w:name w:val="page number"/>
    <w:basedOn w:val="a0"/>
    <w:rsid w:val="003050B5"/>
  </w:style>
  <w:style w:type="character" w:styleId="a7">
    <w:name w:val="annotation reference"/>
    <w:basedOn w:val="a0"/>
    <w:semiHidden/>
    <w:rsid w:val="00C65A1B"/>
    <w:rPr>
      <w:sz w:val="16"/>
      <w:szCs w:val="16"/>
    </w:rPr>
  </w:style>
  <w:style w:type="paragraph" w:styleId="a8">
    <w:name w:val="annotation text"/>
    <w:basedOn w:val="a"/>
    <w:semiHidden/>
    <w:rsid w:val="00C65A1B"/>
    <w:rPr>
      <w:sz w:val="20"/>
      <w:szCs w:val="20"/>
    </w:rPr>
  </w:style>
  <w:style w:type="paragraph" w:styleId="a9">
    <w:name w:val="annotation subject"/>
    <w:basedOn w:val="a8"/>
    <w:next w:val="a8"/>
    <w:semiHidden/>
    <w:rsid w:val="00C65A1B"/>
    <w:rPr>
      <w:b/>
      <w:bCs/>
    </w:rPr>
  </w:style>
  <w:style w:type="table" w:styleId="aa">
    <w:name w:val="Table Grid"/>
    <w:basedOn w:val="a1"/>
    <w:rsid w:val="00A41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semiHidden/>
    <w:rsid w:val="009C0BE7"/>
    <w:rPr>
      <w:sz w:val="20"/>
      <w:szCs w:val="20"/>
    </w:rPr>
  </w:style>
  <w:style w:type="character" w:styleId="ac">
    <w:name w:val="footnote reference"/>
    <w:basedOn w:val="a0"/>
    <w:semiHidden/>
    <w:rsid w:val="009C0BE7"/>
    <w:rPr>
      <w:vertAlign w:val="superscript"/>
    </w:rPr>
  </w:style>
  <w:style w:type="character" w:customStyle="1" w:styleId="Char0">
    <w:name w:val="Υποσέλιδο Char"/>
    <w:basedOn w:val="a0"/>
    <w:link w:val="a5"/>
    <w:uiPriority w:val="99"/>
    <w:rsid w:val="004B422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2317</Words>
  <Characters>12512</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srizou</dc:creator>
  <cp:lastModifiedBy>dmaris</cp:lastModifiedBy>
  <cp:revision>2</cp:revision>
  <cp:lastPrinted>2014-12-30T08:15:00Z</cp:lastPrinted>
  <dcterms:created xsi:type="dcterms:W3CDTF">2015-06-23T08:36:00Z</dcterms:created>
  <dcterms:modified xsi:type="dcterms:W3CDTF">2015-06-23T08:36:00Z</dcterms:modified>
</cp:coreProperties>
</file>