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49D" w:rsidRDefault="004D049D" w:rsidP="004D049D">
      <w:pPr>
        <w:spacing w:after="120" w:line="288" w:lineRule="auto"/>
        <w:jc w:val="center"/>
        <w:rPr>
          <w:b/>
          <w:sz w:val="40"/>
          <w:szCs w:val="40"/>
          <w:lang w:val="en-US"/>
        </w:rPr>
      </w:pPr>
      <w:r>
        <w:rPr>
          <w:noProof/>
          <w:lang w:eastAsia="el-GR"/>
        </w:rPr>
        <w:drawing>
          <wp:anchor distT="0" distB="0" distL="114300" distR="114300" simplePos="0" relativeHeight="251665408" behindDoc="0" locked="0" layoutInCell="1" allowOverlap="1">
            <wp:simplePos x="0" y="0"/>
            <wp:positionH relativeFrom="margin">
              <wp:posOffset>-370840</wp:posOffset>
            </wp:positionH>
            <wp:positionV relativeFrom="margin">
              <wp:posOffset>-189230</wp:posOffset>
            </wp:positionV>
            <wp:extent cx="1489075" cy="1471930"/>
            <wp:effectExtent l="19050" t="0" r="0" b="0"/>
            <wp:wrapSquare wrapText="bothSides"/>
            <wp:docPr id="12" name="Εικόνα 5"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KEDE_2011"/>
                    <pic:cNvPicPr>
                      <a:picLocks noChangeAspect="1" noChangeArrowheads="1"/>
                    </pic:cNvPicPr>
                  </pic:nvPicPr>
                  <pic:blipFill>
                    <a:blip r:embed="rId7" cstate="print"/>
                    <a:srcRect/>
                    <a:stretch>
                      <a:fillRect/>
                    </a:stretch>
                  </pic:blipFill>
                  <pic:spPr bwMode="auto">
                    <a:xfrm>
                      <a:off x="0" y="0"/>
                      <a:ext cx="1489075" cy="1471930"/>
                    </a:xfrm>
                    <a:prstGeom prst="rect">
                      <a:avLst/>
                    </a:prstGeom>
                    <a:noFill/>
                    <a:ln w="9525">
                      <a:noFill/>
                      <a:miter lim="800000"/>
                      <a:headEnd/>
                      <a:tailEnd/>
                    </a:ln>
                  </pic:spPr>
                </pic:pic>
              </a:graphicData>
            </a:graphic>
          </wp:anchor>
        </w:drawing>
      </w:r>
    </w:p>
    <w:p w:rsidR="004D049D" w:rsidRDefault="004D049D" w:rsidP="004D049D">
      <w:pPr>
        <w:spacing w:after="120" w:line="288" w:lineRule="auto"/>
        <w:jc w:val="center"/>
        <w:rPr>
          <w:b/>
          <w:sz w:val="40"/>
          <w:szCs w:val="40"/>
          <w:lang w:val="en-US"/>
        </w:rPr>
      </w:pPr>
    </w:p>
    <w:p w:rsidR="004D049D" w:rsidRPr="004D049D" w:rsidRDefault="004D049D" w:rsidP="004D049D">
      <w:pPr>
        <w:spacing w:after="120" w:line="288" w:lineRule="auto"/>
        <w:rPr>
          <w:b/>
          <w:sz w:val="40"/>
          <w:szCs w:val="40"/>
        </w:rPr>
      </w:pPr>
      <w:r w:rsidRPr="004D049D">
        <w:rPr>
          <w:b/>
          <w:sz w:val="40"/>
          <w:szCs w:val="40"/>
        </w:rPr>
        <w:t xml:space="preserve">     </w:t>
      </w:r>
    </w:p>
    <w:p w:rsidR="004D049D" w:rsidRDefault="004D049D" w:rsidP="004D049D">
      <w:pPr>
        <w:spacing w:after="120" w:line="288" w:lineRule="auto"/>
        <w:rPr>
          <w:b/>
          <w:sz w:val="40"/>
          <w:szCs w:val="40"/>
        </w:rPr>
      </w:pPr>
      <w:r w:rsidRPr="004D049D">
        <w:rPr>
          <w:b/>
          <w:sz w:val="40"/>
          <w:szCs w:val="40"/>
        </w:rPr>
        <w:t xml:space="preserve">         </w:t>
      </w:r>
      <w:r w:rsidRPr="004D049D">
        <w:rPr>
          <w:b/>
          <w:sz w:val="40"/>
          <w:szCs w:val="40"/>
        </w:rPr>
        <w:tab/>
      </w:r>
      <w:r w:rsidRPr="004D049D">
        <w:rPr>
          <w:b/>
          <w:sz w:val="40"/>
          <w:szCs w:val="40"/>
        </w:rPr>
        <w:tab/>
      </w:r>
      <w:r w:rsidRPr="004D049D">
        <w:rPr>
          <w:b/>
          <w:sz w:val="40"/>
          <w:szCs w:val="40"/>
        </w:rPr>
        <w:tab/>
      </w:r>
    </w:p>
    <w:p w:rsidR="004D049D" w:rsidRPr="00F64DE4" w:rsidRDefault="004D049D" w:rsidP="004D049D">
      <w:pPr>
        <w:spacing w:after="120" w:line="288" w:lineRule="auto"/>
        <w:jc w:val="center"/>
        <w:rPr>
          <w:b/>
          <w:sz w:val="40"/>
          <w:szCs w:val="40"/>
        </w:rPr>
      </w:pPr>
      <w:r w:rsidRPr="00F64DE4">
        <w:rPr>
          <w:b/>
          <w:sz w:val="40"/>
          <w:szCs w:val="40"/>
        </w:rPr>
        <w:t>Εισήγηση του</w:t>
      </w:r>
    </w:p>
    <w:p w:rsidR="004D049D" w:rsidRPr="00F64DE4" w:rsidRDefault="004D049D" w:rsidP="004D049D">
      <w:pPr>
        <w:spacing w:after="120"/>
        <w:jc w:val="center"/>
        <w:rPr>
          <w:b/>
          <w:sz w:val="40"/>
          <w:szCs w:val="40"/>
        </w:rPr>
      </w:pPr>
      <w:r w:rsidRPr="00F64DE4">
        <w:rPr>
          <w:b/>
          <w:sz w:val="40"/>
          <w:szCs w:val="40"/>
        </w:rPr>
        <w:t xml:space="preserve">Προέδρου της Επιτροπής </w:t>
      </w:r>
      <w:r>
        <w:rPr>
          <w:b/>
          <w:sz w:val="40"/>
          <w:szCs w:val="40"/>
        </w:rPr>
        <w:t>Οικονομικών των ΟΤΑ</w:t>
      </w:r>
    </w:p>
    <w:p w:rsidR="004D049D" w:rsidRPr="00F64DE4" w:rsidRDefault="004D049D" w:rsidP="004D049D">
      <w:pPr>
        <w:spacing w:after="120" w:line="288" w:lineRule="auto"/>
        <w:jc w:val="center"/>
        <w:rPr>
          <w:b/>
          <w:sz w:val="40"/>
          <w:szCs w:val="40"/>
        </w:rPr>
      </w:pPr>
      <w:r w:rsidRPr="00F64DE4">
        <w:rPr>
          <w:b/>
          <w:sz w:val="40"/>
          <w:szCs w:val="40"/>
        </w:rPr>
        <w:t xml:space="preserve">κ. </w:t>
      </w:r>
      <w:r>
        <w:rPr>
          <w:b/>
          <w:sz w:val="40"/>
          <w:szCs w:val="40"/>
        </w:rPr>
        <w:t>Α. Καστρινού</w:t>
      </w:r>
    </w:p>
    <w:p w:rsidR="004D049D" w:rsidRPr="00F64DE4" w:rsidRDefault="004D049D" w:rsidP="004D049D">
      <w:pPr>
        <w:spacing w:after="120" w:line="288" w:lineRule="auto"/>
        <w:jc w:val="center"/>
        <w:rPr>
          <w:b/>
          <w:sz w:val="40"/>
          <w:szCs w:val="40"/>
        </w:rPr>
      </w:pPr>
      <w:r w:rsidRPr="00F64DE4">
        <w:rPr>
          <w:b/>
          <w:sz w:val="40"/>
          <w:szCs w:val="40"/>
        </w:rPr>
        <w:t>Μέλους Δ.Σ. ΚΕΔΕ</w:t>
      </w:r>
    </w:p>
    <w:p w:rsidR="004D049D" w:rsidRPr="00F64DE4" w:rsidRDefault="004D049D" w:rsidP="004D049D">
      <w:pPr>
        <w:spacing w:after="120" w:line="288" w:lineRule="auto"/>
        <w:jc w:val="center"/>
        <w:rPr>
          <w:b/>
          <w:sz w:val="40"/>
          <w:szCs w:val="40"/>
        </w:rPr>
      </w:pPr>
      <w:r w:rsidRPr="00F64DE4">
        <w:rPr>
          <w:b/>
          <w:sz w:val="40"/>
          <w:szCs w:val="40"/>
        </w:rPr>
        <w:t xml:space="preserve">Δημάρχου </w:t>
      </w:r>
      <w:r>
        <w:rPr>
          <w:b/>
          <w:sz w:val="40"/>
          <w:szCs w:val="40"/>
        </w:rPr>
        <w:t>Πηνειού</w:t>
      </w:r>
    </w:p>
    <w:p w:rsidR="004D049D" w:rsidRPr="00F64DE4" w:rsidRDefault="004D049D" w:rsidP="004D049D">
      <w:pPr>
        <w:spacing w:after="120" w:line="288" w:lineRule="auto"/>
        <w:jc w:val="center"/>
        <w:rPr>
          <w:b/>
        </w:rPr>
      </w:pPr>
      <w:r>
        <w:rPr>
          <w:b/>
          <w:noProof/>
          <w:lang w:eastAsia="el-GR"/>
        </w:rPr>
        <w:drawing>
          <wp:anchor distT="0" distB="0" distL="114300" distR="114300" simplePos="0" relativeHeight="251666432" behindDoc="0" locked="0" layoutInCell="1" allowOverlap="1">
            <wp:simplePos x="0" y="0"/>
            <wp:positionH relativeFrom="column">
              <wp:posOffset>80010</wp:posOffset>
            </wp:positionH>
            <wp:positionV relativeFrom="paragraph">
              <wp:posOffset>464820</wp:posOffset>
            </wp:positionV>
            <wp:extent cx="5395595" cy="2944495"/>
            <wp:effectExtent l="19050" t="0" r="0" b="0"/>
            <wp:wrapSquare wrapText="bothSides"/>
            <wp:docPr id="11" name="Εικόνα 6" descr="kede prosx_Polites Mprosta_5_final gia othon_19_02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ede prosx_Polites Mprosta_5_final gia othon_19_02_2015"/>
                    <pic:cNvPicPr>
                      <a:picLocks noChangeAspect="1" noChangeArrowheads="1"/>
                    </pic:cNvPicPr>
                  </pic:nvPicPr>
                  <pic:blipFill>
                    <a:blip r:embed="rId8" cstate="print"/>
                    <a:srcRect/>
                    <a:stretch>
                      <a:fillRect/>
                    </a:stretch>
                  </pic:blipFill>
                  <pic:spPr bwMode="auto">
                    <a:xfrm>
                      <a:off x="0" y="0"/>
                      <a:ext cx="5395595" cy="2944495"/>
                    </a:xfrm>
                    <a:prstGeom prst="rect">
                      <a:avLst/>
                    </a:prstGeom>
                    <a:noFill/>
                    <a:ln w="9525">
                      <a:noFill/>
                      <a:miter lim="800000"/>
                      <a:headEnd/>
                      <a:tailEnd/>
                    </a:ln>
                  </pic:spPr>
                </pic:pic>
              </a:graphicData>
            </a:graphic>
          </wp:anchor>
        </w:drawing>
      </w:r>
    </w:p>
    <w:p w:rsidR="004D049D" w:rsidRDefault="004D049D" w:rsidP="004D049D">
      <w:pPr>
        <w:spacing w:after="120" w:line="288" w:lineRule="auto"/>
        <w:jc w:val="center"/>
        <w:rPr>
          <w:b/>
          <w:sz w:val="40"/>
          <w:szCs w:val="40"/>
        </w:rPr>
      </w:pPr>
    </w:p>
    <w:p w:rsidR="004D049D" w:rsidRDefault="004D049D" w:rsidP="004D049D">
      <w:pPr>
        <w:spacing w:after="120" w:line="288" w:lineRule="auto"/>
        <w:jc w:val="center"/>
        <w:rPr>
          <w:b/>
          <w:sz w:val="36"/>
          <w:szCs w:val="36"/>
        </w:rPr>
      </w:pPr>
    </w:p>
    <w:p w:rsidR="004D049D" w:rsidRDefault="004D049D" w:rsidP="004D049D">
      <w:pPr>
        <w:spacing w:after="120" w:line="288" w:lineRule="auto"/>
        <w:jc w:val="center"/>
        <w:rPr>
          <w:b/>
          <w:sz w:val="36"/>
          <w:szCs w:val="36"/>
        </w:rPr>
      </w:pPr>
      <w:r>
        <w:rPr>
          <w:noProof/>
        </w:rPr>
        <w:pict>
          <v:shapetype id="_x0000_t32" coordsize="21600,21600" o:spt="32" o:oned="t" path="m,l21600,21600e" filled="f">
            <v:path arrowok="t" fillok="f" o:connecttype="none"/>
            <o:lock v:ext="edit" shapetype="t"/>
          </v:shapetype>
          <v:shape id="_x0000_s1028" type="#_x0000_t32" style="position:absolute;left:0;text-align:left;margin-left:-43.95pt;margin-top:20.1pt;width:532.8pt;height:.6pt;z-index:251664384" o:connectortype="straight" strokecolor="#404040" strokeweight="3pt">
            <v:shadow on="t" type="perspective" color="#7f7f7f" opacity=".5" offset="1pt" offset2="-1pt"/>
          </v:shape>
        </w:pict>
      </w:r>
    </w:p>
    <w:p w:rsidR="004D049D" w:rsidRDefault="004D049D" w:rsidP="004D049D">
      <w:pPr>
        <w:spacing w:after="120" w:line="288" w:lineRule="auto"/>
        <w:jc w:val="center"/>
        <w:rPr>
          <w:b/>
          <w:sz w:val="36"/>
          <w:szCs w:val="36"/>
        </w:rPr>
      </w:pPr>
      <w:r>
        <w:rPr>
          <w:b/>
          <w:sz w:val="36"/>
          <w:szCs w:val="36"/>
        </w:rPr>
        <w:t>Ξάνθη, 4</w:t>
      </w:r>
      <w:r w:rsidRPr="00F64DE4">
        <w:rPr>
          <w:b/>
          <w:sz w:val="36"/>
          <w:szCs w:val="36"/>
        </w:rPr>
        <w:t>.0</w:t>
      </w:r>
      <w:r>
        <w:rPr>
          <w:b/>
          <w:sz w:val="36"/>
          <w:szCs w:val="36"/>
        </w:rPr>
        <w:t>3</w:t>
      </w:r>
      <w:r w:rsidRPr="00F64DE4">
        <w:rPr>
          <w:b/>
          <w:sz w:val="36"/>
          <w:szCs w:val="36"/>
        </w:rPr>
        <w:t>.2015</w:t>
      </w:r>
    </w:p>
    <w:p w:rsidR="002B537F" w:rsidRPr="002B537F" w:rsidRDefault="004D049D" w:rsidP="00F034F3">
      <w:pPr>
        <w:spacing w:before="0" w:after="200" w:line="276" w:lineRule="auto"/>
        <w:jc w:val="both"/>
        <w:rPr>
          <w:rFonts w:ascii="Arial" w:hAnsi="Arial" w:cs="Arial"/>
          <w:sz w:val="24"/>
          <w:szCs w:val="24"/>
        </w:rPr>
      </w:pPr>
      <w:r>
        <w:rPr>
          <w:rFonts w:ascii="Arial" w:hAnsi="Arial" w:cs="Arial"/>
          <w:sz w:val="24"/>
          <w:szCs w:val="24"/>
        </w:rPr>
        <w:br w:type="page"/>
      </w:r>
      <w:r w:rsidR="002B537F" w:rsidRPr="002B537F">
        <w:rPr>
          <w:rFonts w:ascii="Arial" w:hAnsi="Arial" w:cs="Arial"/>
          <w:sz w:val="24"/>
          <w:szCs w:val="24"/>
        </w:rPr>
        <w:lastRenderedPageBreak/>
        <w:t xml:space="preserve">Η σημερινή οικονομική κατάσταση των δήμων είναι πολύ διαφορετική από αυτήν του προηγουμένου τακτικού μας συνέδριου. Σε πολιτικό επίπεδο, οι εκλογές του τελευταίου εξαμήνου επέφεραν αλλαγές στην πολιτική σκηνή, τόσο σε κεντρικό όσο και σε τοπικό επίπεδο. Στον οικονομικό τομέα, στοιχεία ανάκαμψης δεν έχουν εμφανιστεί στο επίπεδο των τοπικών δημόσιων οικονομικών αλλά και ούτε στην πραγματική οικονομία. Οι δήμοι συνεχίζουν να υφίστανται μειώσεις στα έσοδα τους και παράλληλα να αποτελούν το τελευταίο αποκούμπι των ευαίσθητων κοινωνικών ομάδων που έχουν πληγεί ιδιαίτερα από την κρίση.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Σε αυτό το περιβάλλον καλούμαστε να συμβάλουμε όχι απλώς στην επίλυση των  προβλημάτων της πρωτοβάθμιας Τοπικής Αυτοδιοίκησης αλλά στη διαμόρφωση των προϋποθέσεων αντιμετώπισης της κοινωνικής και ανθρωπιστικής κρίσης, εξόδου της χώρας από την ύφεση και την αναβάθμιση του ρόλου των δήμων στην μετά κρίση Ελλάδα.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Η κρίση οδήγησε πολλές Ευρωπαϊκές χώρες να εφαρμόσουν δέσμες μέτρων δημοσιονομικής σταθεροποίησης, που επηρεάζουν τα οικονομικά της Αυτοδιοίκησης. Σε πολλές χώρες του ΟΟΣΑ, οι κεντρικές κυβερνήσεις επέβαλαν, στην Αυτοδιοίκηση, μειώσεις εσόδων και θεσμοθέτησαν σύνδεση των τοπικών δημοσίων  δαπανών με τους στόχους του ελλείμματος, που πρέπει να πληρούνται από τις τοπικές ή περιφερειακές αρχές. Σε μελέτη του ΟΟΣΑ</w:t>
      </w:r>
      <w:r w:rsidRPr="002B537F">
        <w:rPr>
          <w:rStyle w:val="a5"/>
          <w:rFonts w:ascii="Arial" w:hAnsi="Arial" w:cs="Arial"/>
          <w:sz w:val="24"/>
          <w:szCs w:val="24"/>
        </w:rPr>
        <w:footnoteReference w:id="1"/>
      </w:r>
      <w:r w:rsidRPr="002B537F">
        <w:rPr>
          <w:rFonts w:ascii="Arial" w:hAnsi="Arial" w:cs="Arial"/>
          <w:sz w:val="24"/>
          <w:szCs w:val="24"/>
        </w:rPr>
        <w:t xml:space="preserve"> εντοπίζεται ότι πολλές τοπικές αρχές για να καλύψουν τις ανάγκες τους και να μην επηρεάσουν τα ελλείμματα, </w:t>
      </w:r>
      <w:proofErr w:type="spellStart"/>
      <w:r w:rsidRPr="002B537F">
        <w:rPr>
          <w:rFonts w:ascii="Arial" w:hAnsi="Arial" w:cs="Arial"/>
          <w:sz w:val="24"/>
          <w:szCs w:val="24"/>
        </w:rPr>
        <w:t>απομειώνουν</w:t>
      </w:r>
      <w:proofErr w:type="spellEnd"/>
      <w:r w:rsidRPr="002B537F">
        <w:rPr>
          <w:rFonts w:ascii="Arial" w:hAnsi="Arial" w:cs="Arial"/>
          <w:sz w:val="24"/>
          <w:szCs w:val="24"/>
        </w:rPr>
        <w:t xml:space="preserve"> τις επενδύσεις τους με σοβαρό κίνδυνο για τη μελλοντική αναπτυξιακή τους πορεία.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Τα παραπάνω έχουν οδηγήσει τις περισσότερες χώρες του ΟΟΣΑ να έχουν εφαρμόσει ή να σκέπτονται να εφαρμόσουν, πρόγραμμα διαρθρωτικών μεταρρυθμίσεων, όσον αφορά στις δημοσιονομικές σχέσεις μεταξύ των διαφόρων επιπέδων διοίκησης (κεντρικού, περιφερειακού, τοπικού). Οι διαρθρωτικές αυτές μεταρρυθμίσεις αυτές έχουν δύο βασικούς άξονες:</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α) Δημοσιονομική αποκέντρωση, με έμφαση στην μεταρρύθμιση του τοπικού φορολογικού συστήματος και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β) Μηχανισμούς αναδιανομής με έμφαση στην εξισορρόπηση των οικονομικών ανισοτήτων που προέκυψαν από τις αλλαγές που επέφερε η κρίση στην χωρική κατανομή του εισοδήματος. </w:t>
      </w: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Όλοι συμφωνούν ότι αυτό που υπέστη η Ευρωπαϊκή ΤΑ σε σχέση με αυτό που υπέστησαν οι ελληνικοί δήμοι, δεν συγκρίνεται.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Η ελληνική ΤΑ παραμένει ο «φτωχός συγγενής» της Ευρώπης. Το ότι ο Ευρωπαϊκός μέσος όρος συμμετοχής των εσόδων της Ευρωπαϊκής ΤΑ στο ΑΕΠ είναι πάνω από τρεις φορές μεγαλύτερος από τον αντίστοιχο της Ελληνικής ΤΑ, σηματοδοτεί τρία βασικά συμπεράσματα:</w:t>
      </w:r>
    </w:p>
    <w:p w:rsidR="002B537F" w:rsidRPr="002B537F" w:rsidRDefault="002B537F" w:rsidP="002B537F">
      <w:pPr>
        <w:pStyle w:val="a3"/>
        <w:numPr>
          <w:ilvl w:val="0"/>
          <w:numId w:val="1"/>
        </w:numPr>
        <w:spacing w:after="120"/>
        <w:jc w:val="both"/>
        <w:rPr>
          <w:rFonts w:ascii="Arial" w:hAnsi="Arial" w:cs="Arial"/>
          <w:sz w:val="24"/>
          <w:szCs w:val="24"/>
        </w:rPr>
      </w:pPr>
      <w:r w:rsidRPr="002B537F">
        <w:rPr>
          <w:rFonts w:ascii="Arial" w:hAnsi="Arial" w:cs="Arial"/>
          <w:sz w:val="24"/>
          <w:szCs w:val="24"/>
        </w:rPr>
        <w:t>Η Ελλάδα παραμένει ένα από τα πλέον συγκεντρωτικά κράτη της Ευρώπης</w:t>
      </w:r>
    </w:p>
    <w:p w:rsidR="002B537F" w:rsidRPr="002B537F" w:rsidRDefault="002B537F" w:rsidP="002B537F">
      <w:pPr>
        <w:pStyle w:val="a3"/>
        <w:numPr>
          <w:ilvl w:val="0"/>
          <w:numId w:val="1"/>
        </w:numPr>
        <w:spacing w:after="120"/>
        <w:jc w:val="both"/>
        <w:rPr>
          <w:rFonts w:ascii="Arial" w:hAnsi="Arial" w:cs="Arial"/>
          <w:sz w:val="24"/>
          <w:szCs w:val="24"/>
        </w:rPr>
      </w:pPr>
      <w:r w:rsidRPr="002B537F">
        <w:rPr>
          <w:rFonts w:ascii="Arial" w:hAnsi="Arial" w:cs="Arial"/>
          <w:sz w:val="24"/>
          <w:szCs w:val="24"/>
        </w:rPr>
        <w:t xml:space="preserve">ΟΙ δυνατότητες επηρεασμού της Αυτοδιοίκησης στα μακροοικονομικά μεγέθη είναι πολύ περιορισμένες. Οι προσπάθειες να «εξηγηθούν» τα ελλείμματα με βάση τα οικονομικά των δήμων είναι τουλάχιστον άστοχες. </w:t>
      </w:r>
    </w:p>
    <w:p w:rsidR="002B537F" w:rsidRPr="002B537F" w:rsidRDefault="002B537F" w:rsidP="002B537F">
      <w:pPr>
        <w:pStyle w:val="a3"/>
        <w:numPr>
          <w:ilvl w:val="0"/>
          <w:numId w:val="1"/>
        </w:numPr>
        <w:spacing w:after="120"/>
        <w:jc w:val="both"/>
        <w:rPr>
          <w:rFonts w:ascii="Arial" w:hAnsi="Arial" w:cs="Arial"/>
          <w:sz w:val="24"/>
          <w:szCs w:val="24"/>
        </w:rPr>
      </w:pPr>
      <w:r w:rsidRPr="002B537F">
        <w:rPr>
          <w:rFonts w:ascii="Arial" w:hAnsi="Arial" w:cs="Arial"/>
          <w:sz w:val="24"/>
          <w:szCs w:val="24"/>
        </w:rPr>
        <w:lastRenderedPageBreak/>
        <w:t xml:space="preserve">Ο δρόμος της Ελληνικής ΤΑ προς το Ευρωπαϊκό κεκτημένο είναι μακρύς. </w:t>
      </w:r>
    </w:p>
    <w:p w:rsidR="002B537F" w:rsidRPr="002B537F" w:rsidRDefault="002B537F" w:rsidP="002B537F">
      <w:pPr>
        <w:spacing w:after="120"/>
        <w:jc w:val="both"/>
        <w:rPr>
          <w:rFonts w:ascii="Arial" w:hAnsi="Arial" w:cs="Arial"/>
          <w:sz w:val="24"/>
          <w:szCs w:val="24"/>
        </w:rPr>
      </w:pPr>
      <w:r w:rsidRPr="002B537F">
        <w:rPr>
          <w:rFonts w:ascii="Arial" w:hAnsi="Arial" w:cs="Arial"/>
          <w:noProof/>
          <w:sz w:val="24"/>
          <w:szCs w:val="24"/>
          <w:lang w:eastAsia="el-GR"/>
        </w:rPr>
        <w:drawing>
          <wp:inline distT="0" distB="0" distL="0" distR="0">
            <wp:extent cx="5279489" cy="3257535"/>
            <wp:effectExtent l="12212" t="6107" r="4834" b="2163"/>
            <wp:docPr id="1" name="Γράφημα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2B537F">
        <w:rPr>
          <w:rFonts w:ascii="Arial" w:hAnsi="Arial" w:cs="Arial"/>
          <w:sz w:val="24"/>
          <w:szCs w:val="24"/>
        </w:rPr>
        <w:t xml:space="preserve"> </w:t>
      </w:r>
    </w:p>
    <w:p w:rsidR="002B537F" w:rsidRPr="002B537F" w:rsidRDefault="002B537F" w:rsidP="002B537F">
      <w:pPr>
        <w:spacing w:after="120"/>
        <w:jc w:val="both"/>
        <w:rPr>
          <w:rFonts w:ascii="Arial" w:hAnsi="Arial" w:cs="Arial"/>
          <w:i/>
          <w:sz w:val="24"/>
          <w:szCs w:val="24"/>
        </w:rPr>
      </w:pPr>
      <w:r w:rsidRPr="002B537F">
        <w:rPr>
          <w:rFonts w:ascii="Arial" w:hAnsi="Arial" w:cs="Arial"/>
          <w:i/>
          <w:sz w:val="24"/>
          <w:szCs w:val="24"/>
        </w:rPr>
        <w:t>Πηγή: Οι Δήμοι σε αριθμούς 2015</w:t>
      </w:r>
    </w:p>
    <w:p w:rsidR="002B537F" w:rsidRPr="002B537F" w:rsidRDefault="002B537F" w:rsidP="002B537F">
      <w:pPr>
        <w:spacing w:after="120"/>
        <w:jc w:val="both"/>
        <w:rPr>
          <w:rFonts w:ascii="Arial" w:hAnsi="Arial" w:cs="Arial"/>
          <w:i/>
          <w:sz w:val="24"/>
          <w:szCs w:val="24"/>
        </w:rPr>
      </w:pPr>
    </w:p>
    <w:p w:rsidR="002B537F" w:rsidRPr="002B537F" w:rsidRDefault="002B537F" w:rsidP="002B537F">
      <w:pPr>
        <w:spacing w:after="120"/>
        <w:jc w:val="both"/>
        <w:rPr>
          <w:rFonts w:ascii="Arial" w:hAnsi="Arial" w:cs="Arial"/>
          <w:i/>
          <w:sz w:val="24"/>
          <w:szCs w:val="24"/>
        </w:rPr>
      </w:pPr>
    </w:p>
    <w:p w:rsidR="002B537F" w:rsidRPr="002B537F" w:rsidRDefault="002B537F" w:rsidP="002B537F">
      <w:pPr>
        <w:spacing w:after="120"/>
        <w:ind w:left="-284" w:right="-567"/>
        <w:jc w:val="both"/>
        <w:rPr>
          <w:rFonts w:ascii="Arial" w:hAnsi="Arial" w:cs="Arial"/>
          <w:sz w:val="24"/>
          <w:szCs w:val="24"/>
        </w:rPr>
      </w:pPr>
      <w:bookmarkStart w:id="0" w:name="OLE_LINK1"/>
      <w:bookmarkStart w:id="1" w:name="OLE_LINK2"/>
      <w:bookmarkStart w:id="2" w:name="OLE_LINK3"/>
      <w:r w:rsidRPr="002B537F">
        <w:rPr>
          <w:rFonts w:ascii="Arial" w:hAnsi="Arial" w:cs="Arial"/>
          <w:sz w:val="24"/>
          <w:szCs w:val="24"/>
        </w:rPr>
        <w:t>Οι μειώσεις που υπέστησαν οι Ελληνικοί δήμοι χαρακτηρίζονται πρωτοφανείς σε σχέση:</w:t>
      </w:r>
    </w:p>
    <w:p w:rsidR="002B537F" w:rsidRPr="002B537F" w:rsidRDefault="002B537F" w:rsidP="002B537F">
      <w:pPr>
        <w:pStyle w:val="a3"/>
        <w:numPr>
          <w:ilvl w:val="0"/>
          <w:numId w:val="2"/>
        </w:numPr>
        <w:spacing w:after="120"/>
        <w:ind w:right="-567"/>
        <w:jc w:val="both"/>
        <w:rPr>
          <w:rFonts w:ascii="Arial" w:hAnsi="Arial" w:cs="Arial"/>
          <w:sz w:val="24"/>
          <w:szCs w:val="24"/>
        </w:rPr>
      </w:pPr>
      <w:r w:rsidRPr="002B537F">
        <w:rPr>
          <w:rFonts w:ascii="Arial" w:hAnsi="Arial" w:cs="Arial"/>
          <w:sz w:val="24"/>
          <w:szCs w:val="24"/>
        </w:rPr>
        <w:t>Με τους υπόλοιπους Ευρωπαϊκούς δήμους</w:t>
      </w:r>
    </w:p>
    <w:p w:rsidR="002B537F" w:rsidRPr="002B537F" w:rsidRDefault="002B537F" w:rsidP="002B537F">
      <w:pPr>
        <w:pStyle w:val="a3"/>
        <w:numPr>
          <w:ilvl w:val="0"/>
          <w:numId w:val="2"/>
        </w:numPr>
        <w:spacing w:after="120"/>
        <w:ind w:right="-567"/>
        <w:jc w:val="both"/>
        <w:rPr>
          <w:rFonts w:ascii="Arial" w:hAnsi="Arial" w:cs="Arial"/>
          <w:sz w:val="24"/>
          <w:szCs w:val="24"/>
        </w:rPr>
      </w:pPr>
      <w:r w:rsidRPr="002B537F">
        <w:rPr>
          <w:rFonts w:ascii="Arial" w:hAnsi="Arial" w:cs="Arial"/>
          <w:sz w:val="24"/>
          <w:szCs w:val="24"/>
        </w:rPr>
        <w:t>Με την ιστορική εξέλιξη των τοπικών δημόσιων οικονομικών των 40 τελευταίων χρόνων</w:t>
      </w:r>
    </w:p>
    <w:p w:rsidR="002B537F" w:rsidRPr="002B537F" w:rsidRDefault="002B537F" w:rsidP="002B537F">
      <w:pPr>
        <w:pStyle w:val="a3"/>
        <w:numPr>
          <w:ilvl w:val="0"/>
          <w:numId w:val="2"/>
        </w:numPr>
        <w:spacing w:after="120"/>
        <w:ind w:right="-567"/>
        <w:jc w:val="both"/>
        <w:rPr>
          <w:rFonts w:ascii="Arial" w:hAnsi="Arial" w:cs="Arial"/>
          <w:sz w:val="24"/>
          <w:szCs w:val="24"/>
        </w:rPr>
      </w:pPr>
      <w:r w:rsidRPr="002B537F">
        <w:rPr>
          <w:rFonts w:ascii="Arial" w:hAnsi="Arial" w:cs="Arial"/>
          <w:sz w:val="24"/>
          <w:szCs w:val="24"/>
        </w:rPr>
        <w:t xml:space="preserve">Με τις μειώσεις που υπέστησαν οι άλλοι φορείς της Κεντρικής και Γενικής κυβέρνησης.   </w:t>
      </w:r>
    </w:p>
    <w:p w:rsidR="002B537F" w:rsidRPr="002B537F" w:rsidRDefault="002B537F" w:rsidP="002B537F">
      <w:pPr>
        <w:spacing w:before="0"/>
        <w:ind w:left="-284" w:right="-567"/>
        <w:jc w:val="center"/>
        <w:rPr>
          <w:rFonts w:ascii="Arial" w:hAnsi="Arial" w:cs="Arial"/>
          <w:b/>
          <w:i/>
          <w:sz w:val="24"/>
          <w:szCs w:val="24"/>
        </w:rPr>
      </w:pPr>
      <w:r w:rsidRPr="002B537F">
        <w:rPr>
          <w:rFonts w:ascii="Arial" w:hAnsi="Arial" w:cs="Arial"/>
          <w:b/>
          <w:i/>
          <w:sz w:val="24"/>
          <w:szCs w:val="24"/>
        </w:rPr>
        <w:t>Η πορεία των Κεντρικών Αυτοτελών Πόρων</w:t>
      </w:r>
    </w:p>
    <w:p w:rsidR="002B537F" w:rsidRPr="002B537F" w:rsidRDefault="002B537F" w:rsidP="002B537F">
      <w:pPr>
        <w:spacing w:before="0"/>
        <w:ind w:left="-284" w:right="-567"/>
        <w:jc w:val="center"/>
        <w:rPr>
          <w:rFonts w:ascii="Arial" w:hAnsi="Arial" w:cs="Arial"/>
          <w:b/>
          <w:i/>
          <w:sz w:val="24"/>
          <w:szCs w:val="24"/>
        </w:rPr>
      </w:pPr>
      <w:r>
        <w:rPr>
          <w:rFonts w:ascii="Arial" w:hAnsi="Arial" w:cs="Arial"/>
          <w:b/>
          <w:i/>
          <w:noProof/>
          <w:sz w:val="24"/>
          <w:szCs w:val="24"/>
          <w:lang w:eastAsia="el-GR"/>
        </w:rPr>
        <w:drawing>
          <wp:anchor distT="0" distB="0" distL="114300" distR="114300" simplePos="0" relativeHeight="251662336" behindDoc="0" locked="0" layoutInCell="1" allowOverlap="1">
            <wp:simplePos x="0" y="0"/>
            <wp:positionH relativeFrom="column">
              <wp:posOffset>108585</wp:posOffset>
            </wp:positionH>
            <wp:positionV relativeFrom="paragraph">
              <wp:posOffset>247015</wp:posOffset>
            </wp:positionV>
            <wp:extent cx="5450205" cy="2837815"/>
            <wp:effectExtent l="0" t="0" r="0" b="0"/>
            <wp:wrapSquare wrapText="bothSides"/>
            <wp:docPr id="2"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pic:cNvPicPr>
                      <a:picLocks noChangeAspect="1" noChangeArrowheads="1"/>
                    </pic:cNvPicPr>
                  </pic:nvPicPr>
                  <pic:blipFill>
                    <a:blip r:embed="rId10" cstate="print"/>
                    <a:srcRect/>
                    <a:stretch>
                      <a:fillRect/>
                    </a:stretch>
                  </pic:blipFill>
                  <pic:spPr bwMode="auto">
                    <a:xfrm>
                      <a:off x="0" y="0"/>
                      <a:ext cx="5450205" cy="2837815"/>
                    </a:xfrm>
                    <a:prstGeom prst="rect">
                      <a:avLst/>
                    </a:prstGeom>
                    <a:noFill/>
                    <a:ln w="9525">
                      <a:noFill/>
                      <a:miter lim="800000"/>
                      <a:headEnd/>
                      <a:tailEnd/>
                    </a:ln>
                  </pic:spPr>
                </pic:pic>
              </a:graphicData>
            </a:graphic>
          </wp:anchor>
        </w:drawing>
      </w:r>
      <w:r w:rsidRPr="002B537F">
        <w:rPr>
          <w:rFonts w:ascii="Arial" w:hAnsi="Arial" w:cs="Arial"/>
          <w:b/>
          <w:i/>
          <w:sz w:val="24"/>
          <w:szCs w:val="24"/>
        </w:rPr>
        <w:t>(χωρίς τις μεταφερόμενες αρμοδιότητες)</w:t>
      </w:r>
    </w:p>
    <w:bookmarkEnd w:id="0"/>
    <w:bookmarkEnd w:id="1"/>
    <w:bookmarkEnd w:id="2"/>
    <w:p w:rsidR="002B537F" w:rsidRPr="002B537F" w:rsidRDefault="002B537F" w:rsidP="002B537F">
      <w:pPr>
        <w:spacing w:after="120"/>
        <w:ind w:left="-284" w:right="-567"/>
        <w:jc w:val="both"/>
        <w:rPr>
          <w:rFonts w:ascii="Arial" w:hAnsi="Arial" w:cs="Arial"/>
          <w:sz w:val="24"/>
          <w:szCs w:val="24"/>
        </w:rPr>
      </w:pP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sz w:val="24"/>
          <w:szCs w:val="24"/>
        </w:rPr>
        <w:lastRenderedPageBreak/>
        <w:t xml:space="preserve">Υπενθυμίζεται ότι οι μειώσεις έχουν πλήξει ήδη τις ανελαστικές δαπάνες των δήμων και σε πολλές περιπτώσεις το κόστος μισθοδοσίας δεν καλύπτεται από την τακτική επιχορήγηση. </w:t>
      </w:r>
    </w:p>
    <w:p w:rsidR="002B537F" w:rsidRPr="002B537F" w:rsidRDefault="002B537F" w:rsidP="002B537F">
      <w:pPr>
        <w:spacing w:after="120"/>
        <w:ind w:left="-284" w:right="-567"/>
        <w:jc w:val="center"/>
        <w:rPr>
          <w:rFonts w:ascii="Arial" w:hAnsi="Arial" w:cs="Arial"/>
          <w:b/>
          <w:i/>
          <w:sz w:val="24"/>
          <w:szCs w:val="24"/>
        </w:rPr>
      </w:pPr>
      <w:r w:rsidRPr="002B537F">
        <w:rPr>
          <w:rFonts w:ascii="Arial" w:hAnsi="Arial" w:cs="Arial"/>
          <w:noProof/>
          <w:sz w:val="24"/>
          <w:szCs w:val="24"/>
          <w:lang w:eastAsia="el-GR"/>
        </w:rPr>
        <w:drawing>
          <wp:anchor distT="158496" distB="163449" distL="278892" distR="269367" simplePos="0" relativeHeight="251661312" behindDoc="1" locked="0" layoutInCell="1" allowOverlap="1">
            <wp:simplePos x="0" y="0"/>
            <wp:positionH relativeFrom="column">
              <wp:posOffset>-339217</wp:posOffset>
            </wp:positionH>
            <wp:positionV relativeFrom="paragraph">
              <wp:posOffset>435229</wp:posOffset>
            </wp:positionV>
            <wp:extent cx="5903849" cy="3705225"/>
            <wp:effectExtent l="0" t="0" r="0" b="0"/>
            <wp:wrapSquare wrapText="bothSides"/>
            <wp:docPr id="10" name="Γράφημα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2B537F">
        <w:rPr>
          <w:rFonts w:ascii="Arial" w:hAnsi="Arial" w:cs="Arial"/>
          <w:b/>
          <w:i/>
          <w:sz w:val="24"/>
          <w:szCs w:val="24"/>
        </w:rPr>
        <w:t>Σύγκριση ΚΑΠ, χωρίς μεταφερόμενες αρμοδιότητες, με μισθοδοσία</w:t>
      </w:r>
    </w:p>
    <w:p w:rsidR="002B537F" w:rsidRPr="002B537F" w:rsidRDefault="002B537F" w:rsidP="002B537F">
      <w:pPr>
        <w:spacing w:after="120"/>
        <w:ind w:left="-284" w:right="-567"/>
        <w:jc w:val="both"/>
        <w:rPr>
          <w:rFonts w:ascii="Arial" w:hAnsi="Arial" w:cs="Arial"/>
          <w:sz w:val="24"/>
          <w:szCs w:val="24"/>
        </w:rPr>
      </w:pPr>
    </w:p>
    <w:p w:rsidR="002B537F" w:rsidRPr="002B537F" w:rsidRDefault="002B537F" w:rsidP="002B537F">
      <w:pPr>
        <w:spacing w:after="120"/>
        <w:ind w:left="-284" w:right="-567"/>
        <w:jc w:val="both"/>
        <w:rPr>
          <w:rFonts w:ascii="Arial" w:hAnsi="Arial" w:cs="Arial"/>
          <w:sz w:val="24"/>
          <w:szCs w:val="24"/>
        </w:rPr>
      </w:pP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sz w:val="24"/>
          <w:szCs w:val="24"/>
        </w:rPr>
        <w:t xml:space="preserve">Η λειτουργία πολλών δήμων, ιδιαίτερα μικρών που στηρίζονται στις κρατικές επιχορηγήσεις, πλήττεται. Από αυτή την άποψη αποτελεί ερωτηματικό η ένταξη των δήμων στη λίστα </w:t>
      </w:r>
      <w:proofErr w:type="spellStart"/>
      <w:r w:rsidRPr="002B537F">
        <w:rPr>
          <w:rFonts w:ascii="Arial" w:hAnsi="Arial" w:cs="Arial"/>
          <w:sz w:val="24"/>
          <w:szCs w:val="24"/>
        </w:rPr>
        <w:t>Βαρουφάκη</w:t>
      </w:r>
      <w:proofErr w:type="spellEnd"/>
      <w:r w:rsidRPr="002B537F">
        <w:rPr>
          <w:rFonts w:ascii="Arial" w:hAnsi="Arial" w:cs="Arial"/>
          <w:sz w:val="24"/>
          <w:szCs w:val="24"/>
        </w:rPr>
        <w:t xml:space="preserve"> που εστάλη στο </w:t>
      </w:r>
      <w:proofErr w:type="spellStart"/>
      <w:r w:rsidRPr="002B537F">
        <w:rPr>
          <w:rFonts w:ascii="Arial" w:hAnsi="Arial" w:cs="Arial"/>
          <w:sz w:val="24"/>
          <w:szCs w:val="24"/>
          <w:lang w:val="en-US"/>
        </w:rPr>
        <w:t>Eurogroup</w:t>
      </w:r>
      <w:proofErr w:type="spellEnd"/>
      <w:r w:rsidRPr="002B537F">
        <w:rPr>
          <w:rStyle w:val="a5"/>
          <w:rFonts w:ascii="Arial" w:hAnsi="Arial" w:cs="Arial"/>
          <w:sz w:val="24"/>
          <w:szCs w:val="24"/>
          <w:lang w:val="en-US"/>
        </w:rPr>
        <w:footnoteReference w:id="2"/>
      </w:r>
      <w:r w:rsidRPr="002B537F">
        <w:rPr>
          <w:rFonts w:ascii="Arial" w:hAnsi="Arial" w:cs="Arial"/>
          <w:sz w:val="24"/>
          <w:szCs w:val="24"/>
        </w:rPr>
        <w:t xml:space="preserve">.  </w:t>
      </w:r>
      <w:r w:rsidRPr="002B537F">
        <w:rPr>
          <w:rFonts w:ascii="Arial" w:hAnsi="Arial" w:cs="Arial"/>
          <w:sz w:val="24"/>
          <w:szCs w:val="24"/>
        </w:rPr>
        <w:br w:type="page"/>
      </w: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sz w:val="24"/>
          <w:szCs w:val="24"/>
        </w:rPr>
        <w:lastRenderedPageBreak/>
        <w:t xml:space="preserve">Η ΣΑΤΑ αποτελεί το μοναδικό εθνικό πόρο για μικρά δημοτικά έργα, συντηρήσεις και επισκευές. </w:t>
      </w:r>
    </w:p>
    <w:p w:rsidR="002B537F" w:rsidRPr="002B537F" w:rsidRDefault="002B537F" w:rsidP="002B537F">
      <w:pPr>
        <w:spacing w:after="120"/>
        <w:ind w:left="-284" w:right="-567"/>
        <w:jc w:val="center"/>
        <w:rPr>
          <w:rFonts w:ascii="Arial" w:hAnsi="Arial" w:cs="Arial"/>
          <w:b/>
          <w:i/>
          <w:sz w:val="24"/>
          <w:szCs w:val="24"/>
        </w:rPr>
      </w:pPr>
      <w:r w:rsidRPr="002B537F">
        <w:rPr>
          <w:rFonts w:ascii="Arial" w:hAnsi="Arial" w:cs="Arial"/>
          <w:noProof/>
          <w:sz w:val="24"/>
          <w:szCs w:val="24"/>
          <w:lang w:eastAsia="el-GR"/>
        </w:rPr>
        <w:drawing>
          <wp:anchor distT="158496" distB="165354" distL="278892" distR="278511" simplePos="0" relativeHeight="251660288" behindDoc="0" locked="0" layoutInCell="1" allowOverlap="1">
            <wp:simplePos x="0" y="0"/>
            <wp:positionH relativeFrom="column">
              <wp:posOffset>-341122</wp:posOffset>
            </wp:positionH>
            <wp:positionV relativeFrom="paragraph">
              <wp:posOffset>393319</wp:posOffset>
            </wp:positionV>
            <wp:extent cx="5857748" cy="3371850"/>
            <wp:effectExtent l="0" t="0" r="0" b="0"/>
            <wp:wrapSquare wrapText="bothSides"/>
            <wp:docPr id="9" name="Γράφημα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Pr="002B537F">
        <w:rPr>
          <w:rFonts w:ascii="Arial" w:hAnsi="Arial" w:cs="Arial"/>
          <w:b/>
          <w:i/>
          <w:sz w:val="24"/>
          <w:szCs w:val="24"/>
        </w:rPr>
        <w:t>Η πορεία της ΣΑΤΑ</w:t>
      </w:r>
    </w:p>
    <w:p w:rsidR="002B537F" w:rsidRPr="002B537F" w:rsidRDefault="002B537F" w:rsidP="002B537F">
      <w:pPr>
        <w:spacing w:after="120"/>
        <w:ind w:left="-284" w:right="-567"/>
        <w:jc w:val="both"/>
        <w:rPr>
          <w:rFonts w:ascii="Arial" w:hAnsi="Arial" w:cs="Arial"/>
          <w:sz w:val="24"/>
          <w:szCs w:val="24"/>
        </w:rPr>
      </w:pP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sz w:val="24"/>
          <w:szCs w:val="24"/>
        </w:rPr>
        <w:t xml:space="preserve">Η πορεία της ΣΑΤΑ πιστοποιεί τον κίνδυνο για τις τοπικές υποδομές. Σε περίπτωση που δεν ανακοπεί αυτή η πορεία υπάρχει μεγάλη πιθανότητα απαξίωσης υποδομών που όχι μόνο έχουν κοστίσει στον Έλληνα φορολογούμενο αλλά που, πριν από όλα,  ιδιαίτερα τη σημερινή εποχή, τις χρειάζονται οι πολίτες. </w:t>
      </w:r>
    </w:p>
    <w:p w:rsidR="002B537F" w:rsidRPr="002B537F" w:rsidRDefault="002B537F" w:rsidP="002B537F">
      <w:pPr>
        <w:spacing w:after="120"/>
        <w:ind w:left="-284" w:right="-567"/>
        <w:jc w:val="both"/>
        <w:rPr>
          <w:rFonts w:ascii="Arial" w:hAnsi="Arial" w:cs="Arial"/>
          <w:sz w:val="24"/>
          <w:szCs w:val="24"/>
        </w:rPr>
      </w:pPr>
    </w:p>
    <w:p w:rsidR="002B537F" w:rsidRPr="002B537F" w:rsidRDefault="002B537F" w:rsidP="002B537F">
      <w:pPr>
        <w:spacing w:after="120"/>
        <w:ind w:left="-284" w:right="-567"/>
        <w:jc w:val="center"/>
        <w:rPr>
          <w:rFonts w:ascii="Arial" w:hAnsi="Arial" w:cs="Arial"/>
          <w:b/>
          <w:sz w:val="24"/>
          <w:szCs w:val="24"/>
        </w:rPr>
      </w:pPr>
      <w:r w:rsidRPr="002B537F">
        <w:rPr>
          <w:rFonts w:ascii="Arial" w:hAnsi="Arial" w:cs="Arial"/>
          <w:b/>
          <w:sz w:val="24"/>
          <w:szCs w:val="24"/>
        </w:rPr>
        <w:t>Σχέση τοπικών- κεντρικών δημοσίων επενδύσεων</w:t>
      </w: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noProof/>
          <w:sz w:val="24"/>
          <w:szCs w:val="24"/>
          <w:lang w:eastAsia="el-GR"/>
        </w:rPr>
        <w:drawing>
          <wp:inline distT="0" distB="0" distL="0" distR="0">
            <wp:extent cx="5977989" cy="2101932"/>
            <wp:effectExtent l="19050" t="0" r="3711" b="0"/>
            <wp:docPr id="3"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pic:cNvPicPr>
                      <a:picLocks noChangeAspect="1" noChangeArrowheads="1"/>
                    </pic:cNvPicPr>
                  </pic:nvPicPr>
                  <pic:blipFill>
                    <a:blip r:embed="rId13" cstate="print"/>
                    <a:srcRect/>
                    <a:stretch>
                      <a:fillRect/>
                    </a:stretch>
                  </pic:blipFill>
                  <pic:spPr bwMode="auto">
                    <a:xfrm>
                      <a:off x="0" y="0"/>
                      <a:ext cx="5977756" cy="2101850"/>
                    </a:xfrm>
                    <a:prstGeom prst="rect">
                      <a:avLst/>
                    </a:prstGeom>
                    <a:noFill/>
                    <a:ln w="9525">
                      <a:noFill/>
                      <a:miter lim="800000"/>
                      <a:headEnd/>
                      <a:tailEnd/>
                    </a:ln>
                  </pic:spPr>
                </pic:pic>
              </a:graphicData>
            </a:graphic>
          </wp:inline>
        </w:drawing>
      </w:r>
    </w:p>
    <w:p w:rsidR="002B537F" w:rsidRPr="002B537F" w:rsidRDefault="002B537F" w:rsidP="002B537F">
      <w:pPr>
        <w:spacing w:after="120"/>
        <w:ind w:left="-284" w:right="-567"/>
        <w:jc w:val="both"/>
        <w:rPr>
          <w:rFonts w:ascii="Arial" w:hAnsi="Arial" w:cs="Arial"/>
          <w:i/>
          <w:sz w:val="24"/>
          <w:szCs w:val="24"/>
        </w:rPr>
      </w:pPr>
      <w:r w:rsidRPr="002B537F">
        <w:rPr>
          <w:rFonts w:ascii="Arial" w:hAnsi="Arial" w:cs="Arial"/>
          <w:i/>
          <w:sz w:val="24"/>
          <w:szCs w:val="24"/>
        </w:rPr>
        <w:t>Πηγή: ΟΟΣΑ 2013</w:t>
      </w:r>
    </w:p>
    <w:p w:rsidR="002B537F" w:rsidRDefault="002B537F">
      <w:pPr>
        <w:spacing w:before="0" w:after="200" w:line="276" w:lineRule="auto"/>
        <w:rPr>
          <w:rFonts w:ascii="Arial" w:hAnsi="Arial" w:cs="Arial"/>
          <w:sz w:val="24"/>
          <w:szCs w:val="24"/>
        </w:rPr>
      </w:pPr>
      <w:r>
        <w:rPr>
          <w:rFonts w:ascii="Arial" w:hAnsi="Arial" w:cs="Arial"/>
          <w:sz w:val="24"/>
          <w:szCs w:val="24"/>
        </w:rPr>
        <w:br w:type="page"/>
      </w: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sz w:val="24"/>
          <w:szCs w:val="24"/>
        </w:rPr>
        <w:lastRenderedPageBreak/>
        <w:t xml:space="preserve">Ο κίνδυνος, από την επενδυτική ανομβρία, για τις αναπτυξιακές δυνατότητες των τοπικών κοινωνιών έχει ήδη επισημανθεί από τον ΟΟΣΑ. Όπως προκύπτει από το παραπάνω γράφημα ο κίνδυνος αυτός για τους ελληνικούς δήμους είναι ο μεγαλύτερος στη Ευρώπη και χρειάζεται άμεση αντιμετώπιση.  Θα πρέπει να τονιστεί ότι στο ήδη </w:t>
      </w:r>
      <w:proofErr w:type="spellStart"/>
      <w:r w:rsidRPr="002B537F">
        <w:rPr>
          <w:rFonts w:ascii="Arial" w:hAnsi="Arial" w:cs="Arial"/>
          <w:sz w:val="24"/>
          <w:szCs w:val="24"/>
        </w:rPr>
        <w:t>τσεκουρεμένο</w:t>
      </w:r>
      <w:proofErr w:type="spellEnd"/>
      <w:r w:rsidRPr="002B537F">
        <w:rPr>
          <w:rFonts w:ascii="Arial" w:hAnsi="Arial" w:cs="Arial"/>
          <w:sz w:val="24"/>
          <w:szCs w:val="24"/>
        </w:rPr>
        <w:t xml:space="preserve"> Πρόγραμμα Δημοσίων Επενδύσεων (ΠΔΕ) η συμμετοχή των τοπικών δημοσιών επενδύσεων των Ελληνικών δήμων τους κατατάσσει στην προτελευταία ευρωπαϊκή θέση  </w:t>
      </w: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sz w:val="24"/>
          <w:szCs w:val="24"/>
        </w:rPr>
        <w:t xml:space="preserve">Όταν μειώνονται τα έσοδα και αυξάνεται η ζήτηση για δαπάνες, κυρίως κοινωνικές και αναπτυξιακές, τότε φυσικό επακόλουθο είναι να αυξάνονται τα ελλείμματα. Το γεγονός αυτό παρατηρείται στους περισσότερους ευρωπαϊκούς δήμους, με εξαίρεση τους Ελληνικούς. </w:t>
      </w:r>
    </w:p>
    <w:p w:rsidR="002B537F" w:rsidRPr="002B537F" w:rsidRDefault="002B537F" w:rsidP="002B537F">
      <w:pPr>
        <w:spacing w:after="120"/>
        <w:ind w:left="-284" w:right="-567"/>
        <w:jc w:val="both"/>
        <w:rPr>
          <w:rFonts w:ascii="Arial" w:hAnsi="Arial" w:cs="Arial"/>
          <w:sz w:val="24"/>
          <w:szCs w:val="24"/>
        </w:rPr>
      </w:pPr>
    </w:p>
    <w:p w:rsidR="002B537F" w:rsidRPr="002B537F" w:rsidRDefault="002B537F" w:rsidP="002B537F">
      <w:pPr>
        <w:spacing w:after="120"/>
        <w:ind w:left="-284" w:right="-567"/>
        <w:jc w:val="center"/>
        <w:rPr>
          <w:rFonts w:ascii="Arial" w:hAnsi="Arial" w:cs="Arial"/>
          <w:b/>
          <w:sz w:val="24"/>
          <w:szCs w:val="24"/>
        </w:rPr>
      </w:pPr>
      <w:r w:rsidRPr="002B537F">
        <w:rPr>
          <w:rFonts w:ascii="Arial" w:hAnsi="Arial" w:cs="Arial"/>
          <w:b/>
          <w:sz w:val="24"/>
          <w:szCs w:val="24"/>
        </w:rPr>
        <w:t>Διάρθρωση δημόσιου χρέους κατά φορέα γενικής κυβέρνησης</w:t>
      </w: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noProof/>
          <w:sz w:val="24"/>
          <w:szCs w:val="24"/>
          <w:lang w:eastAsia="el-GR"/>
        </w:rPr>
        <w:drawing>
          <wp:inline distT="0" distB="0" distL="0" distR="0">
            <wp:extent cx="6156119" cy="2921330"/>
            <wp:effectExtent l="19050" t="0" r="0" b="0"/>
            <wp:docPr id="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pic:cNvPicPr>
                      <a:picLocks noChangeAspect="1" noChangeArrowheads="1"/>
                    </pic:cNvPicPr>
                  </pic:nvPicPr>
                  <pic:blipFill>
                    <a:blip r:embed="rId14" cstate="print"/>
                    <a:srcRect/>
                    <a:stretch>
                      <a:fillRect/>
                    </a:stretch>
                  </pic:blipFill>
                  <pic:spPr bwMode="auto">
                    <a:xfrm>
                      <a:off x="0" y="0"/>
                      <a:ext cx="6156762" cy="2921635"/>
                    </a:xfrm>
                    <a:prstGeom prst="rect">
                      <a:avLst/>
                    </a:prstGeom>
                    <a:noFill/>
                    <a:ln w="9525">
                      <a:noFill/>
                      <a:miter lim="800000"/>
                      <a:headEnd/>
                      <a:tailEnd/>
                    </a:ln>
                  </pic:spPr>
                </pic:pic>
              </a:graphicData>
            </a:graphic>
          </wp:inline>
        </w:drawing>
      </w:r>
    </w:p>
    <w:p w:rsidR="002B537F" w:rsidRPr="002B537F" w:rsidRDefault="002B537F" w:rsidP="002B537F">
      <w:pPr>
        <w:spacing w:after="120"/>
        <w:ind w:left="-284" w:right="-567"/>
        <w:jc w:val="both"/>
        <w:rPr>
          <w:rFonts w:ascii="Arial" w:hAnsi="Arial" w:cs="Arial"/>
          <w:i/>
          <w:sz w:val="24"/>
          <w:szCs w:val="24"/>
        </w:rPr>
      </w:pPr>
      <w:r w:rsidRPr="002B537F">
        <w:rPr>
          <w:rFonts w:ascii="Arial" w:hAnsi="Arial" w:cs="Arial"/>
          <w:i/>
          <w:sz w:val="24"/>
          <w:szCs w:val="24"/>
        </w:rPr>
        <w:t>Πηγή: ΟΟΣΑ 2013</w:t>
      </w:r>
    </w:p>
    <w:p w:rsidR="002B537F" w:rsidRDefault="002B537F" w:rsidP="002B537F">
      <w:pPr>
        <w:spacing w:after="120"/>
        <w:ind w:left="-284" w:right="-567"/>
        <w:jc w:val="both"/>
        <w:rPr>
          <w:rFonts w:ascii="Arial" w:hAnsi="Arial" w:cs="Arial"/>
          <w:sz w:val="24"/>
          <w:szCs w:val="24"/>
          <w:lang w:val="en-US"/>
        </w:rPr>
      </w:pP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sz w:val="24"/>
          <w:szCs w:val="24"/>
        </w:rPr>
        <w:t xml:space="preserve">Οι Ελληνικοί δήμοι έχουν τη μικρότερη συμβολή στο δημόσιο χρέος όχι μόνο στις Ευρωπαϊκές ΤΑ, αλλά στο σύνολο των χωρών του ΟΟΣΑ. Όχι μόνο δεν παράγουν ελλείμματα αλλά με τα πλεονάσματα τους συμβάλλουν στην </w:t>
      </w:r>
      <w:proofErr w:type="spellStart"/>
      <w:r w:rsidRPr="002B537F">
        <w:rPr>
          <w:rFonts w:ascii="Arial" w:hAnsi="Arial" w:cs="Arial"/>
          <w:sz w:val="24"/>
          <w:szCs w:val="24"/>
        </w:rPr>
        <w:t>απομείωση</w:t>
      </w:r>
      <w:proofErr w:type="spellEnd"/>
      <w:r w:rsidRPr="002B537F">
        <w:rPr>
          <w:rFonts w:ascii="Arial" w:hAnsi="Arial" w:cs="Arial"/>
          <w:sz w:val="24"/>
          <w:szCs w:val="24"/>
        </w:rPr>
        <w:t xml:space="preserve"> του ελλείμματος της κεντρικής κυβέρνησης. Όπως προκύπτει από τον Κρατικό Προϋπολογισμό 2015 και από τον πίνακα των αναμενομένων αποτελεσμάτων της γενικής κυβέρνησης, το 2015 οι ΟΤΑ θα προσφέρουν 863 εκατ. € </w:t>
      </w:r>
      <w:r w:rsidRPr="002B537F">
        <w:rPr>
          <w:rFonts w:ascii="Arial" w:hAnsi="Arial" w:cs="Arial"/>
          <w:b/>
          <w:sz w:val="24"/>
          <w:szCs w:val="24"/>
          <w:u w:val="single"/>
        </w:rPr>
        <w:t>πλεόνασμα</w:t>
      </w:r>
      <w:r w:rsidRPr="002B537F">
        <w:rPr>
          <w:rFonts w:ascii="Arial" w:hAnsi="Arial" w:cs="Arial"/>
          <w:sz w:val="24"/>
          <w:szCs w:val="24"/>
        </w:rPr>
        <w:t xml:space="preserve"> ενώ η υπόλοιπη γενική κυβέρνηση </w:t>
      </w:r>
      <w:r w:rsidRPr="002B537F">
        <w:rPr>
          <w:rFonts w:ascii="Arial" w:hAnsi="Arial" w:cs="Arial"/>
          <w:b/>
          <w:sz w:val="24"/>
          <w:szCs w:val="24"/>
          <w:u w:val="single"/>
        </w:rPr>
        <w:t>έλλειμμα</w:t>
      </w:r>
      <w:r w:rsidRPr="002B537F">
        <w:rPr>
          <w:rFonts w:ascii="Arial" w:hAnsi="Arial" w:cs="Arial"/>
          <w:sz w:val="24"/>
          <w:szCs w:val="24"/>
        </w:rPr>
        <w:t xml:space="preserve"> ύψους 1.323 εκατ. €</w:t>
      </w:r>
    </w:p>
    <w:p w:rsidR="002B537F" w:rsidRPr="002B537F" w:rsidRDefault="002B537F" w:rsidP="002B537F">
      <w:pPr>
        <w:spacing w:after="120"/>
        <w:jc w:val="both"/>
        <w:rPr>
          <w:rFonts w:ascii="Arial" w:hAnsi="Arial" w:cs="Arial"/>
          <w:sz w:val="24"/>
          <w:szCs w:val="24"/>
        </w:rPr>
      </w:pPr>
      <w:r w:rsidRPr="002B537F">
        <w:rPr>
          <w:rFonts w:ascii="Arial" w:hAnsi="Arial" w:cs="Arial"/>
          <w:noProof/>
          <w:sz w:val="24"/>
          <w:szCs w:val="24"/>
          <w:lang w:eastAsia="el-GR"/>
        </w:rPr>
        <w:lastRenderedPageBreak/>
        <w:drawing>
          <wp:inline distT="0" distB="0" distL="0" distR="0">
            <wp:extent cx="5894861" cy="3988465"/>
            <wp:effectExtent l="19050" t="0" r="0" b="0"/>
            <wp:docPr id="5"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0"/>
                    <pic:cNvPicPr>
                      <a:picLocks noChangeAspect="1" noChangeArrowheads="1"/>
                    </pic:cNvPicPr>
                  </pic:nvPicPr>
                  <pic:blipFill>
                    <a:blip r:embed="rId15" cstate="print"/>
                    <a:srcRect l="15894" t="8511" r="10968" b="3522"/>
                    <a:stretch>
                      <a:fillRect/>
                    </a:stretch>
                  </pic:blipFill>
                  <pic:spPr bwMode="auto">
                    <a:xfrm>
                      <a:off x="0" y="0"/>
                      <a:ext cx="5894986" cy="3988549"/>
                    </a:xfrm>
                    <a:prstGeom prst="rect">
                      <a:avLst/>
                    </a:prstGeom>
                    <a:noFill/>
                    <a:ln w="9525">
                      <a:noFill/>
                      <a:miter lim="800000"/>
                      <a:headEnd/>
                      <a:tailEnd/>
                    </a:ln>
                  </pic:spPr>
                </pic:pic>
              </a:graphicData>
            </a:graphic>
          </wp:inline>
        </w:drawing>
      </w:r>
      <w:r w:rsidRPr="002B537F">
        <w:rPr>
          <w:rFonts w:ascii="Arial" w:hAnsi="Arial" w:cs="Arial"/>
          <w:i/>
          <w:sz w:val="24"/>
          <w:szCs w:val="24"/>
        </w:rPr>
        <w:br/>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Επιπλέον όπως προκύπτει από τον παρακάτω πίνακα, της εισηγητικής έκθεσης του Κρατικού Προϋπολογισμού 2015, οι δήμοι επέδειξαν ενισχυμένη αποτελεσματικότητα και προσαρμοστικότητα στους υφιστάμενους διαχειριστικούς κανόνες. Το ποσοστό των δαπανών των δήμων που κρίθηκαν ως μη σύννομες είναι μικρότερο από το 0,5% του συνόλου των απορριφθέντων από τις ΥΔΕ δαπανών της Γενικής Κυβέρνησης. </w:t>
      </w: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r w:rsidRPr="002B537F">
        <w:rPr>
          <w:rFonts w:ascii="Arial" w:hAnsi="Arial" w:cs="Arial"/>
          <w:noProof/>
          <w:sz w:val="24"/>
          <w:szCs w:val="24"/>
          <w:lang w:eastAsia="el-GR"/>
        </w:rPr>
        <w:drawing>
          <wp:inline distT="0" distB="0" distL="0" distR="0">
            <wp:extent cx="6001739" cy="2061493"/>
            <wp:effectExtent l="19050" t="0" r="0" b="0"/>
            <wp:docPr id="6"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16" cstate="print"/>
                    <a:srcRect l="12735" t="20232" r="13857" b="34663"/>
                    <a:stretch>
                      <a:fillRect/>
                    </a:stretch>
                  </pic:blipFill>
                  <pic:spPr bwMode="auto">
                    <a:xfrm>
                      <a:off x="0" y="0"/>
                      <a:ext cx="6000881" cy="2061198"/>
                    </a:xfrm>
                    <a:prstGeom prst="rect">
                      <a:avLst/>
                    </a:prstGeom>
                    <a:noFill/>
                    <a:ln w="9525">
                      <a:noFill/>
                      <a:miter lim="800000"/>
                      <a:headEnd/>
                      <a:tailEnd/>
                    </a:ln>
                  </pic:spPr>
                </pic:pic>
              </a:graphicData>
            </a:graphic>
          </wp:inline>
        </w:drawing>
      </w:r>
    </w:p>
    <w:p w:rsidR="002B537F" w:rsidRPr="002B537F" w:rsidRDefault="002B537F" w:rsidP="002B537F">
      <w:pPr>
        <w:keepNext/>
        <w:keepLines/>
        <w:spacing w:after="120"/>
        <w:jc w:val="both"/>
        <w:outlineLvl w:val="1"/>
        <w:rPr>
          <w:rFonts w:ascii="Arial" w:hAnsi="Arial" w:cs="Arial"/>
          <w:color w:val="000000"/>
          <w:sz w:val="24"/>
          <w:szCs w:val="24"/>
        </w:rPr>
      </w:pPr>
      <w:r w:rsidRPr="002B537F">
        <w:rPr>
          <w:rFonts w:ascii="Arial" w:hAnsi="Arial" w:cs="Arial"/>
          <w:sz w:val="24"/>
          <w:szCs w:val="24"/>
        </w:rPr>
        <w:t xml:space="preserve">Ιδιαίτερα αποτελεσματικοί εμφανίστηκαν οι δήμοι και στη διαχείριση των ληξιπρόθεσμων υποχρεώσεων τους αφού </w:t>
      </w:r>
      <w:r w:rsidRPr="002B537F">
        <w:rPr>
          <w:rFonts w:ascii="Arial" w:hAnsi="Arial" w:cs="Arial"/>
          <w:color w:val="000000"/>
          <w:sz w:val="24"/>
          <w:szCs w:val="24"/>
        </w:rPr>
        <w:t>από τον Δεκέμβριο του 2011 μέχρι τον Σεπτέμβριο του 2014 οι ΟΤΑ τις περιόρισαν κατά 70% ενώ η γενική κυβέρνηση κατά 45%</w:t>
      </w:r>
    </w:p>
    <w:p w:rsidR="002B537F" w:rsidRPr="002B537F" w:rsidRDefault="002B537F" w:rsidP="002B537F">
      <w:pPr>
        <w:autoSpaceDE w:val="0"/>
        <w:autoSpaceDN w:val="0"/>
        <w:adjustRightInd w:val="0"/>
        <w:spacing w:after="120"/>
        <w:ind w:left="720"/>
        <w:jc w:val="both"/>
        <w:rPr>
          <w:rFonts w:ascii="Arial" w:hAnsi="Arial" w:cs="Arial"/>
          <w:color w:val="000000"/>
          <w:sz w:val="24"/>
          <w:szCs w:val="24"/>
        </w:rPr>
      </w:pPr>
      <w:r w:rsidRPr="002B537F">
        <w:rPr>
          <w:rFonts w:ascii="Arial" w:hAnsi="Arial" w:cs="Arial"/>
          <w:color w:val="000000"/>
          <w:sz w:val="24"/>
          <w:szCs w:val="24"/>
        </w:rPr>
        <w:t xml:space="preserve"> </w:t>
      </w:r>
    </w:p>
    <w:p w:rsidR="002B537F" w:rsidRPr="002B537F" w:rsidRDefault="002B537F" w:rsidP="002B537F">
      <w:pPr>
        <w:autoSpaceDE w:val="0"/>
        <w:autoSpaceDN w:val="0"/>
        <w:adjustRightInd w:val="0"/>
        <w:spacing w:after="120"/>
        <w:jc w:val="both"/>
        <w:rPr>
          <w:rFonts w:ascii="Arial" w:hAnsi="Arial" w:cs="Arial"/>
          <w:color w:val="000000"/>
          <w:sz w:val="24"/>
          <w:szCs w:val="24"/>
        </w:rPr>
      </w:pPr>
      <w:r w:rsidRPr="002B537F">
        <w:rPr>
          <w:rFonts w:ascii="Arial" w:hAnsi="Arial" w:cs="Arial"/>
          <w:noProof/>
          <w:color w:val="000000"/>
          <w:sz w:val="24"/>
          <w:szCs w:val="24"/>
          <w:lang w:eastAsia="el-GR"/>
        </w:rPr>
        <w:lastRenderedPageBreak/>
        <w:drawing>
          <wp:inline distT="0" distB="0" distL="0" distR="0">
            <wp:extent cx="5776108" cy="2601317"/>
            <wp:effectExtent l="19050" t="0" r="0" b="0"/>
            <wp:docPr id="7"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2"/>
                    <pic:cNvPicPr>
                      <a:picLocks noChangeAspect="1" noChangeArrowheads="1"/>
                    </pic:cNvPicPr>
                  </pic:nvPicPr>
                  <pic:blipFill>
                    <a:blip r:embed="rId17" cstate="print"/>
                    <a:srcRect l="15440" t="24722" r="11328" b="16679"/>
                    <a:stretch>
                      <a:fillRect/>
                    </a:stretch>
                  </pic:blipFill>
                  <pic:spPr bwMode="auto">
                    <a:xfrm>
                      <a:off x="0" y="0"/>
                      <a:ext cx="5776500" cy="2601493"/>
                    </a:xfrm>
                    <a:prstGeom prst="rect">
                      <a:avLst/>
                    </a:prstGeom>
                    <a:noFill/>
                    <a:ln w="9525">
                      <a:noFill/>
                      <a:miter lim="800000"/>
                      <a:headEnd/>
                      <a:tailEnd/>
                    </a:ln>
                  </pic:spPr>
                </pic:pic>
              </a:graphicData>
            </a:graphic>
          </wp:inline>
        </w:drawing>
      </w:r>
    </w:p>
    <w:p w:rsidR="002B537F" w:rsidRDefault="002B537F" w:rsidP="002B537F">
      <w:pPr>
        <w:autoSpaceDE w:val="0"/>
        <w:autoSpaceDN w:val="0"/>
        <w:adjustRightInd w:val="0"/>
        <w:spacing w:after="120"/>
        <w:jc w:val="both"/>
        <w:rPr>
          <w:rFonts w:ascii="Arial" w:hAnsi="Arial" w:cs="Arial"/>
          <w:color w:val="000000"/>
          <w:sz w:val="24"/>
          <w:szCs w:val="24"/>
          <w:lang w:val="en-US"/>
        </w:rPr>
      </w:pPr>
    </w:p>
    <w:p w:rsidR="002B537F" w:rsidRPr="002B537F" w:rsidRDefault="002B537F" w:rsidP="002B537F">
      <w:pPr>
        <w:autoSpaceDE w:val="0"/>
        <w:autoSpaceDN w:val="0"/>
        <w:adjustRightInd w:val="0"/>
        <w:spacing w:after="120"/>
        <w:jc w:val="both"/>
        <w:rPr>
          <w:rFonts w:ascii="Arial" w:hAnsi="Arial" w:cs="Arial"/>
          <w:color w:val="000000"/>
          <w:sz w:val="24"/>
          <w:szCs w:val="24"/>
        </w:rPr>
      </w:pPr>
      <w:r w:rsidRPr="002B537F">
        <w:rPr>
          <w:rFonts w:ascii="Arial" w:hAnsi="Arial" w:cs="Arial"/>
          <w:color w:val="000000"/>
          <w:sz w:val="24"/>
          <w:szCs w:val="24"/>
        </w:rPr>
        <w:t xml:space="preserve">Ένας ακόμα δείκτης της υγιούς μακροοικονομικής κατάστασης των δήμων είναι ότι οι δανειακές τους υποχρεώσεις καλύπτουν το 64% των απαιτήσεων και διαθέσιμων τους. </w:t>
      </w:r>
    </w:p>
    <w:p w:rsidR="002B537F" w:rsidRPr="002B537F" w:rsidRDefault="002B537F" w:rsidP="002B537F">
      <w:pPr>
        <w:autoSpaceDE w:val="0"/>
        <w:autoSpaceDN w:val="0"/>
        <w:adjustRightInd w:val="0"/>
        <w:spacing w:after="120"/>
        <w:jc w:val="both"/>
        <w:rPr>
          <w:rFonts w:ascii="Arial" w:hAnsi="Arial" w:cs="Arial"/>
          <w:color w:val="000000"/>
          <w:sz w:val="24"/>
          <w:szCs w:val="24"/>
        </w:rPr>
      </w:pPr>
    </w:p>
    <w:p w:rsidR="002B537F" w:rsidRPr="002B537F" w:rsidRDefault="002B537F" w:rsidP="002B537F">
      <w:pPr>
        <w:autoSpaceDE w:val="0"/>
        <w:autoSpaceDN w:val="0"/>
        <w:adjustRightInd w:val="0"/>
        <w:spacing w:after="120"/>
        <w:jc w:val="both"/>
        <w:rPr>
          <w:rFonts w:ascii="Arial" w:hAnsi="Arial" w:cs="Arial"/>
          <w:color w:val="000000"/>
          <w:sz w:val="24"/>
          <w:szCs w:val="24"/>
        </w:rPr>
      </w:pPr>
      <w:r w:rsidRPr="002B537F">
        <w:rPr>
          <w:rFonts w:ascii="Arial" w:hAnsi="Arial" w:cs="Arial"/>
          <w:noProof/>
          <w:color w:val="000000"/>
          <w:sz w:val="24"/>
          <w:szCs w:val="24"/>
          <w:lang w:eastAsia="el-GR"/>
        </w:rPr>
        <w:drawing>
          <wp:inline distT="0" distB="0" distL="0" distR="0">
            <wp:extent cx="5894861" cy="2262067"/>
            <wp:effectExtent l="19050" t="0" r="0" b="0"/>
            <wp:docPr id="8"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3"/>
                    <pic:cNvPicPr>
                      <a:picLocks noChangeAspect="1" noChangeArrowheads="1"/>
                    </pic:cNvPicPr>
                  </pic:nvPicPr>
                  <pic:blipFill>
                    <a:blip r:embed="rId18" cstate="print"/>
                    <a:srcRect l="17792" t="14774" r="19185" b="42366"/>
                    <a:stretch>
                      <a:fillRect/>
                    </a:stretch>
                  </pic:blipFill>
                  <pic:spPr bwMode="auto">
                    <a:xfrm>
                      <a:off x="0" y="0"/>
                      <a:ext cx="5895406" cy="2262276"/>
                    </a:xfrm>
                    <a:prstGeom prst="rect">
                      <a:avLst/>
                    </a:prstGeom>
                    <a:noFill/>
                    <a:ln w="9525">
                      <a:noFill/>
                      <a:miter lim="800000"/>
                      <a:headEnd/>
                      <a:tailEnd/>
                    </a:ln>
                  </pic:spPr>
                </pic:pic>
              </a:graphicData>
            </a:graphic>
          </wp:inline>
        </w:drawing>
      </w:r>
    </w:p>
    <w:p w:rsidR="002B537F" w:rsidRDefault="002B537F" w:rsidP="002B537F">
      <w:pPr>
        <w:spacing w:after="120"/>
        <w:ind w:left="-284" w:right="-567"/>
        <w:jc w:val="both"/>
        <w:rPr>
          <w:rFonts w:ascii="Arial" w:hAnsi="Arial" w:cs="Arial"/>
          <w:sz w:val="24"/>
          <w:szCs w:val="24"/>
          <w:lang w:val="en-US"/>
        </w:rPr>
      </w:pPr>
    </w:p>
    <w:p w:rsidR="002B537F" w:rsidRPr="002B537F" w:rsidRDefault="002B537F" w:rsidP="002B537F">
      <w:pPr>
        <w:spacing w:after="120"/>
        <w:ind w:left="-284" w:right="-567"/>
        <w:jc w:val="both"/>
        <w:rPr>
          <w:rFonts w:ascii="Arial" w:hAnsi="Arial" w:cs="Arial"/>
          <w:b/>
          <w:sz w:val="24"/>
          <w:szCs w:val="24"/>
        </w:rPr>
      </w:pPr>
      <w:r w:rsidRPr="002B537F">
        <w:rPr>
          <w:rFonts w:ascii="Arial" w:hAnsi="Arial" w:cs="Arial"/>
          <w:b/>
          <w:sz w:val="24"/>
          <w:szCs w:val="24"/>
        </w:rPr>
        <w:t xml:space="preserve">Παρ’ όλα αυτά στον Κρατικό προϋπολογισμό 2015 παρατηρείται μία συνέχιση τη ασφυκτικής χρηματοδοτικής πολιτικής για την πρωτοβάθμια ΤΑ. </w:t>
      </w:r>
    </w:p>
    <w:p w:rsidR="002B537F" w:rsidRPr="002B537F" w:rsidRDefault="002B537F" w:rsidP="002B537F">
      <w:pPr>
        <w:spacing w:after="120"/>
        <w:ind w:left="-284" w:right="-567"/>
        <w:jc w:val="both"/>
        <w:rPr>
          <w:rFonts w:ascii="Arial" w:hAnsi="Arial" w:cs="Arial"/>
          <w:b/>
          <w:sz w:val="24"/>
          <w:szCs w:val="24"/>
        </w:rPr>
      </w:pPr>
      <w:r w:rsidRPr="002B537F">
        <w:rPr>
          <w:rFonts w:ascii="Arial" w:hAnsi="Arial" w:cs="Arial"/>
          <w:b/>
          <w:sz w:val="24"/>
          <w:szCs w:val="24"/>
        </w:rPr>
        <w:t xml:space="preserve">Στους παρακάτω πίνακες παρουσιάζεται η πορεία των εσόδων των δήμων όπως αποτυπώνονται στους τελευταίους Κρατικούς Προϋπολογισμούς. </w:t>
      </w:r>
    </w:p>
    <w:p w:rsidR="002B537F" w:rsidRPr="002B537F" w:rsidRDefault="002B537F" w:rsidP="002B537F">
      <w:pPr>
        <w:spacing w:after="120"/>
        <w:jc w:val="both"/>
        <w:rPr>
          <w:rFonts w:ascii="Arial" w:hAnsi="Arial" w:cs="Arial"/>
          <w:b/>
          <w:sz w:val="24"/>
          <w:szCs w:val="24"/>
        </w:rPr>
      </w:pPr>
    </w:p>
    <w:p w:rsidR="002B537F" w:rsidRPr="002B537F" w:rsidRDefault="002B537F" w:rsidP="002B537F">
      <w:pPr>
        <w:spacing w:after="120"/>
        <w:ind w:left="-284" w:right="-567"/>
        <w:jc w:val="both"/>
        <w:rPr>
          <w:rFonts w:ascii="Arial" w:hAnsi="Arial" w:cs="Arial"/>
          <w:b/>
          <w:sz w:val="24"/>
          <w:szCs w:val="24"/>
        </w:rPr>
        <w:sectPr w:rsidR="002B537F" w:rsidRPr="002B537F" w:rsidSect="00692FCD">
          <w:footerReference w:type="default" r:id="rId19"/>
          <w:footerReference w:type="first" r:id="rId20"/>
          <w:pgSz w:w="11906" w:h="16838"/>
          <w:pgMar w:top="709" w:right="1800" w:bottom="1440" w:left="1418" w:header="708" w:footer="708" w:gutter="0"/>
          <w:pgNumType w:start="0"/>
          <w:cols w:space="708"/>
          <w:titlePg/>
          <w:docGrid w:linePitch="360"/>
        </w:sectPr>
      </w:pPr>
    </w:p>
    <w:p w:rsidR="002B537F" w:rsidRPr="002B537F" w:rsidRDefault="002B537F" w:rsidP="002B537F">
      <w:pPr>
        <w:spacing w:after="120"/>
        <w:ind w:left="-284" w:right="-567"/>
        <w:jc w:val="both"/>
        <w:rPr>
          <w:rFonts w:ascii="Arial" w:hAnsi="Arial" w:cs="Arial"/>
          <w:b/>
          <w:sz w:val="24"/>
          <w:szCs w:val="24"/>
        </w:rPr>
      </w:pPr>
    </w:p>
    <w:p w:rsidR="002B537F" w:rsidRPr="002B537F" w:rsidRDefault="002B537F" w:rsidP="002B537F">
      <w:pPr>
        <w:spacing w:after="120"/>
        <w:jc w:val="center"/>
        <w:rPr>
          <w:rFonts w:ascii="Arial" w:hAnsi="Arial" w:cs="Arial"/>
          <w:b/>
          <w:sz w:val="24"/>
          <w:szCs w:val="24"/>
        </w:rPr>
      </w:pPr>
      <w:r w:rsidRPr="002B537F">
        <w:rPr>
          <w:rFonts w:ascii="Arial" w:hAnsi="Arial" w:cs="Arial"/>
          <w:b/>
          <w:sz w:val="24"/>
          <w:szCs w:val="24"/>
        </w:rPr>
        <w:t>ΕΣΟΔΑ ΤΩΝ ΔΗΜΩΝ ΑΠΟ ΚΑΠ ΟΠΩΣ ΕΓΓΡΑΦΟΝΤΑΙ ΣΤΟΥΣ ΚΡΑΤΙΚΟΥΣ ΠΡΟΥΠΟΛΟΓΙΣΜΟΥΣ</w:t>
      </w: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p>
    <w:tbl>
      <w:tblPr>
        <w:tblStyle w:val="a9"/>
        <w:tblW w:w="15239" w:type="dxa"/>
        <w:jc w:val="center"/>
        <w:tblLayout w:type="fixed"/>
        <w:tblLook w:val="04A0"/>
      </w:tblPr>
      <w:tblGrid>
        <w:gridCol w:w="5840"/>
        <w:gridCol w:w="1880"/>
        <w:gridCol w:w="1880"/>
        <w:gridCol w:w="2050"/>
        <w:gridCol w:w="1709"/>
        <w:gridCol w:w="1880"/>
      </w:tblGrid>
      <w:tr w:rsidR="002B537F" w:rsidRPr="002B537F" w:rsidTr="002B537F">
        <w:trPr>
          <w:cnfStyle w:val="100000000000"/>
          <w:trHeight w:val="923"/>
          <w:jc w:val="center"/>
        </w:trPr>
        <w:tc>
          <w:tcPr>
            <w:cnfStyle w:val="001000000000"/>
            <w:tcW w:w="5840" w:type="dxa"/>
          </w:tcPr>
          <w:p w:rsidR="002B537F" w:rsidRPr="002B537F" w:rsidRDefault="002B537F" w:rsidP="002B537F">
            <w:pPr>
              <w:spacing w:after="120"/>
              <w:jc w:val="center"/>
              <w:rPr>
                <w:rFonts w:ascii="Arial" w:hAnsi="Arial" w:cs="Arial"/>
                <w:b w:val="0"/>
                <w:sz w:val="24"/>
                <w:szCs w:val="24"/>
              </w:rPr>
            </w:pPr>
          </w:p>
        </w:tc>
        <w:tc>
          <w:tcPr>
            <w:tcW w:w="1880" w:type="dxa"/>
          </w:tcPr>
          <w:p w:rsidR="002B537F" w:rsidRPr="002B537F" w:rsidRDefault="002B537F" w:rsidP="002B537F">
            <w:pPr>
              <w:spacing w:after="120"/>
              <w:jc w:val="center"/>
              <w:cnfStyle w:val="100000000000"/>
              <w:rPr>
                <w:rFonts w:ascii="Arial" w:hAnsi="Arial" w:cs="Arial"/>
                <w:b w:val="0"/>
                <w:sz w:val="24"/>
                <w:szCs w:val="24"/>
              </w:rPr>
            </w:pPr>
            <w:r w:rsidRPr="002B537F">
              <w:rPr>
                <w:rFonts w:ascii="Arial" w:hAnsi="Arial" w:cs="Arial"/>
                <w:b w:val="0"/>
                <w:sz w:val="24"/>
                <w:szCs w:val="24"/>
              </w:rPr>
              <w:t>ΠΡΟΥΠ/ΣΜΟΣ</w:t>
            </w:r>
          </w:p>
          <w:p w:rsidR="002B537F" w:rsidRPr="002B537F" w:rsidRDefault="002B537F" w:rsidP="002B537F">
            <w:pPr>
              <w:spacing w:after="120"/>
              <w:jc w:val="center"/>
              <w:cnfStyle w:val="100000000000"/>
              <w:rPr>
                <w:rFonts w:ascii="Arial" w:hAnsi="Arial" w:cs="Arial"/>
                <w:b w:val="0"/>
                <w:sz w:val="24"/>
                <w:szCs w:val="24"/>
              </w:rPr>
            </w:pPr>
          </w:p>
        </w:tc>
        <w:tc>
          <w:tcPr>
            <w:tcW w:w="1880" w:type="dxa"/>
          </w:tcPr>
          <w:p w:rsidR="002B537F" w:rsidRPr="002B537F" w:rsidRDefault="002B537F" w:rsidP="002B537F">
            <w:pPr>
              <w:spacing w:after="120"/>
              <w:jc w:val="center"/>
              <w:cnfStyle w:val="100000000000"/>
              <w:rPr>
                <w:rFonts w:ascii="Arial" w:hAnsi="Arial" w:cs="Arial"/>
                <w:b w:val="0"/>
                <w:sz w:val="24"/>
                <w:szCs w:val="24"/>
              </w:rPr>
            </w:pPr>
            <w:r w:rsidRPr="002B537F">
              <w:rPr>
                <w:rFonts w:ascii="Arial" w:hAnsi="Arial" w:cs="Arial"/>
                <w:b w:val="0"/>
                <w:sz w:val="24"/>
                <w:szCs w:val="24"/>
              </w:rPr>
              <w:t>ΠΡΟΥΠ/ΣΜΟΣ</w:t>
            </w:r>
          </w:p>
          <w:p w:rsidR="002B537F" w:rsidRPr="002B537F" w:rsidRDefault="002B537F" w:rsidP="002B537F">
            <w:pPr>
              <w:spacing w:after="120"/>
              <w:jc w:val="center"/>
              <w:cnfStyle w:val="100000000000"/>
              <w:rPr>
                <w:rFonts w:ascii="Arial" w:hAnsi="Arial" w:cs="Arial"/>
                <w:b w:val="0"/>
                <w:sz w:val="24"/>
                <w:szCs w:val="24"/>
              </w:rPr>
            </w:pPr>
          </w:p>
        </w:tc>
        <w:tc>
          <w:tcPr>
            <w:tcW w:w="2050" w:type="dxa"/>
          </w:tcPr>
          <w:p w:rsidR="002B537F" w:rsidRPr="002B537F" w:rsidRDefault="002B537F" w:rsidP="002B537F">
            <w:pPr>
              <w:spacing w:after="120"/>
              <w:jc w:val="center"/>
              <w:cnfStyle w:val="100000000000"/>
              <w:rPr>
                <w:rFonts w:ascii="Arial" w:hAnsi="Arial" w:cs="Arial"/>
                <w:b w:val="0"/>
                <w:sz w:val="24"/>
                <w:szCs w:val="24"/>
              </w:rPr>
            </w:pPr>
            <w:r w:rsidRPr="002B537F">
              <w:rPr>
                <w:rFonts w:ascii="Arial" w:hAnsi="Arial" w:cs="Arial"/>
                <w:b w:val="0"/>
                <w:sz w:val="24"/>
                <w:szCs w:val="24"/>
              </w:rPr>
              <w:t>ΠΡΟΥΠ/ΣΜΟΣ</w:t>
            </w:r>
          </w:p>
          <w:p w:rsidR="002B537F" w:rsidRPr="002B537F" w:rsidRDefault="002B537F" w:rsidP="002B537F">
            <w:pPr>
              <w:spacing w:after="120"/>
              <w:jc w:val="center"/>
              <w:cnfStyle w:val="100000000000"/>
              <w:rPr>
                <w:rFonts w:ascii="Arial" w:hAnsi="Arial" w:cs="Arial"/>
                <w:b w:val="0"/>
                <w:sz w:val="24"/>
                <w:szCs w:val="24"/>
              </w:rPr>
            </w:pPr>
          </w:p>
        </w:tc>
        <w:tc>
          <w:tcPr>
            <w:tcW w:w="3589" w:type="dxa"/>
            <w:gridSpan w:val="2"/>
          </w:tcPr>
          <w:p w:rsidR="002B537F" w:rsidRPr="002B537F" w:rsidRDefault="002B537F" w:rsidP="002B537F">
            <w:pPr>
              <w:spacing w:after="120"/>
              <w:jc w:val="center"/>
              <w:cnfStyle w:val="100000000000"/>
              <w:rPr>
                <w:rFonts w:ascii="Arial" w:hAnsi="Arial" w:cs="Arial"/>
                <w:b w:val="0"/>
                <w:sz w:val="24"/>
                <w:szCs w:val="24"/>
              </w:rPr>
            </w:pPr>
            <w:r w:rsidRPr="002B537F">
              <w:rPr>
                <w:rFonts w:ascii="Arial" w:hAnsi="Arial" w:cs="Arial"/>
                <w:b w:val="0"/>
                <w:sz w:val="24"/>
                <w:szCs w:val="24"/>
              </w:rPr>
              <w:t>ΠΡΟΥΠΟΛΟΓΙΣΜΟΣ</w:t>
            </w:r>
          </w:p>
          <w:p w:rsidR="002B537F" w:rsidRPr="002B537F" w:rsidRDefault="002B537F" w:rsidP="002B537F">
            <w:pPr>
              <w:spacing w:after="120"/>
              <w:jc w:val="center"/>
              <w:cnfStyle w:val="100000000000"/>
              <w:rPr>
                <w:rFonts w:ascii="Arial" w:hAnsi="Arial" w:cs="Arial"/>
                <w:b w:val="0"/>
                <w:sz w:val="24"/>
                <w:szCs w:val="24"/>
              </w:rPr>
            </w:pPr>
          </w:p>
        </w:tc>
      </w:tr>
      <w:tr w:rsidR="002B537F" w:rsidRPr="002B537F" w:rsidTr="002B537F">
        <w:trPr>
          <w:cnfStyle w:val="000000100000"/>
          <w:trHeight w:val="474"/>
          <w:jc w:val="center"/>
        </w:trPr>
        <w:tc>
          <w:tcPr>
            <w:cnfStyle w:val="001000000000"/>
            <w:tcW w:w="5840" w:type="dxa"/>
          </w:tcPr>
          <w:p w:rsidR="002B537F" w:rsidRPr="002B537F" w:rsidRDefault="002B537F" w:rsidP="002B537F">
            <w:pPr>
              <w:spacing w:after="120"/>
              <w:jc w:val="center"/>
              <w:rPr>
                <w:rFonts w:ascii="Arial" w:hAnsi="Arial" w:cs="Arial"/>
                <w:b w:val="0"/>
                <w:sz w:val="24"/>
                <w:szCs w:val="24"/>
              </w:rPr>
            </w:pPr>
          </w:p>
        </w:tc>
        <w:tc>
          <w:tcPr>
            <w:tcW w:w="1880" w:type="dxa"/>
          </w:tcPr>
          <w:p w:rsidR="002B537F" w:rsidRPr="002B537F" w:rsidRDefault="002B537F" w:rsidP="002B537F">
            <w:pPr>
              <w:spacing w:after="120"/>
              <w:jc w:val="center"/>
              <w:cnfStyle w:val="000000100000"/>
              <w:rPr>
                <w:rFonts w:ascii="Arial" w:hAnsi="Arial" w:cs="Arial"/>
                <w:b/>
                <w:sz w:val="24"/>
                <w:szCs w:val="24"/>
              </w:rPr>
            </w:pPr>
            <w:r w:rsidRPr="002B537F">
              <w:rPr>
                <w:rFonts w:ascii="Arial" w:hAnsi="Arial" w:cs="Arial"/>
                <w:b/>
                <w:sz w:val="24"/>
                <w:szCs w:val="24"/>
              </w:rPr>
              <w:t>2012</w:t>
            </w:r>
          </w:p>
        </w:tc>
        <w:tc>
          <w:tcPr>
            <w:tcW w:w="1880" w:type="dxa"/>
          </w:tcPr>
          <w:p w:rsidR="002B537F" w:rsidRPr="002B537F" w:rsidRDefault="002B537F" w:rsidP="002B537F">
            <w:pPr>
              <w:spacing w:after="120"/>
              <w:jc w:val="center"/>
              <w:cnfStyle w:val="000000100000"/>
              <w:rPr>
                <w:rFonts w:ascii="Arial" w:hAnsi="Arial" w:cs="Arial"/>
                <w:b/>
                <w:sz w:val="24"/>
                <w:szCs w:val="24"/>
                <w:lang w:val="en-US"/>
              </w:rPr>
            </w:pPr>
            <w:r w:rsidRPr="002B537F">
              <w:rPr>
                <w:rFonts w:ascii="Arial" w:hAnsi="Arial" w:cs="Arial"/>
                <w:b/>
                <w:sz w:val="24"/>
                <w:szCs w:val="24"/>
                <w:lang w:val="en-US"/>
              </w:rPr>
              <w:t>2013</w:t>
            </w:r>
          </w:p>
        </w:tc>
        <w:tc>
          <w:tcPr>
            <w:tcW w:w="2050" w:type="dxa"/>
          </w:tcPr>
          <w:p w:rsidR="002B537F" w:rsidRPr="002B537F" w:rsidRDefault="002B537F" w:rsidP="002B537F">
            <w:pPr>
              <w:spacing w:after="120"/>
              <w:jc w:val="center"/>
              <w:cnfStyle w:val="000000100000"/>
              <w:rPr>
                <w:rFonts w:ascii="Arial" w:hAnsi="Arial" w:cs="Arial"/>
                <w:b/>
                <w:sz w:val="24"/>
                <w:szCs w:val="24"/>
              </w:rPr>
            </w:pPr>
            <w:r w:rsidRPr="002B537F">
              <w:rPr>
                <w:rFonts w:ascii="Arial" w:hAnsi="Arial" w:cs="Arial"/>
                <w:b/>
                <w:sz w:val="24"/>
                <w:szCs w:val="24"/>
              </w:rPr>
              <w:t>2014</w:t>
            </w:r>
          </w:p>
        </w:tc>
        <w:tc>
          <w:tcPr>
            <w:tcW w:w="1709" w:type="dxa"/>
          </w:tcPr>
          <w:p w:rsidR="002B537F" w:rsidRPr="002B537F" w:rsidRDefault="002B537F" w:rsidP="002B537F">
            <w:pPr>
              <w:spacing w:after="120"/>
              <w:jc w:val="center"/>
              <w:cnfStyle w:val="000000100000"/>
              <w:rPr>
                <w:rFonts w:ascii="Arial" w:hAnsi="Arial" w:cs="Arial"/>
                <w:b/>
                <w:sz w:val="24"/>
                <w:szCs w:val="24"/>
                <w:lang w:val="en-US"/>
              </w:rPr>
            </w:pPr>
            <w:r w:rsidRPr="002B537F">
              <w:rPr>
                <w:rFonts w:ascii="Arial" w:hAnsi="Arial" w:cs="Arial"/>
                <w:b/>
                <w:sz w:val="24"/>
                <w:szCs w:val="24"/>
                <w:lang w:val="en-US"/>
              </w:rPr>
              <w:t>2014</w:t>
            </w:r>
          </w:p>
        </w:tc>
        <w:tc>
          <w:tcPr>
            <w:tcW w:w="1880" w:type="dxa"/>
          </w:tcPr>
          <w:p w:rsidR="002B537F" w:rsidRPr="002B537F" w:rsidRDefault="002B537F" w:rsidP="002B537F">
            <w:pPr>
              <w:spacing w:after="120"/>
              <w:jc w:val="center"/>
              <w:cnfStyle w:val="000000100000"/>
              <w:rPr>
                <w:rFonts w:ascii="Arial" w:hAnsi="Arial" w:cs="Arial"/>
                <w:b/>
                <w:sz w:val="24"/>
                <w:szCs w:val="24"/>
                <w:lang w:val="en-US"/>
              </w:rPr>
            </w:pPr>
            <w:r w:rsidRPr="002B537F">
              <w:rPr>
                <w:rFonts w:ascii="Arial" w:hAnsi="Arial" w:cs="Arial"/>
                <w:b/>
                <w:sz w:val="24"/>
                <w:szCs w:val="24"/>
                <w:lang w:val="en-US"/>
              </w:rPr>
              <w:t>2015</w:t>
            </w:r>
          </w:p>
        </w:tc>
      </w:tr>
      <w:tr w:rsidR="002B537F" w:rsidRPr="002B537F" w:rsidTr="002B537F">
        <w:trPr>
          <w:cnfStyle w:val="000000010000"/>
          <w:trHeight w:val="474"/>
          <w:jc w:val="center"/>
        </w:trPr>
        <w:tc>
          <w:tcPr>
            <w:cnfStyle w:val="001000000000"/>
            <w:tcW w:w="5840" w:type="dxa"/>
          </w:tcPr>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Απόδοση στους δήμους % επί του ΦΠΑ</w:t>
            </w:r>
          </w:p>
        </w:tc>
        <w:tc>
          <w:tcPr>
            <w:tcW w:w="188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1.272</w:t>
            </w:r>
          </w:p>
        </w:tc>
        <w:tc>
          <w:tcPr>
            <w:tcW w:w="188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972</w:t>
            </w:r>
          </w:p>
        </w:tc>
        <w:tc>
          <w:tcPr>
            <w:tcW w:w="205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909</w:t>
            </w:r>
          </w:p>
        </w:tc>
        <w:tc>
          <w:tcPr>
            <w:tcW w:w="1709"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909</w:t>
            </w:r>
          </w:p>
        </w:tc>
        <w:tc>
          <w:tcPr>
            <w:tcW w:w="1880" w:type="dxa"/>
          </w:tcPr>
          <w:p w:rsidR="002B537F" w:rsidRPr="002B537F" w:rsidRDefault="002B537F" w:rsidP="002B537F">
            <w:pPr>
              <w:spacing w:after="120"/>
              <w:jc w:val="center"/>
              <w:cnfStyle w:val="000000010000"/>
              <w:rPr>
                <w:rFonts w:ascii="Arial" w:hAnsi="Arial" w:cs="Arial"/>
                <w:sz w:val="24"/>
                <w:szCs w:val="24"/>
                <w:lang w:val="en-US"/>
              </w:rPr>
            </w:pPr>
            <w:r w:rsidRPr="002B537F">
              <w:rPr>
                <w:rFonts w:ascii="Arial" w:hAnsi="Arial" w:cs="Arial"/>
                <w:sz w:val="24"/>
                <w:szCs w:val="24"/>
                <w:lang w:val="en-US"/>
              </w:rPr>
              <w:t>909.9</w:t>
            </w:r>
          </w:p>
        </w:tc>
      </w:tr>
      <w:tr w:rsidR="002B537F" w:rsidRPr="002B537F" w:rsidTr="002B537F">
        <w:trPr>
          <w:cnfStyle w:val="000000100000"/>
          <w:trHeight w:val="448"/>
          <w:jc w:val="center"/>
        </w:trPr>
        <w:tc>
          <w:tcPr>
            <w:cnfStyle w:val="001000000000"/>
            <w:tcW w:w="5840" w:type="dxa"/>
          </w:tcPr>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Απόδοση στους δήμους % επί του ΦΕΦ&amp;ΝΠ</w:t>
            </w:r>
          </w:p>
        </w:tc>
        <w:tc>
          <w:tcPr>
            <w:tcW w:w="1880" w:type="dxa"/>
          </w:tcPr>
          <w:p w:rsidR="002B537F" w:rsidRPr="002B537F" w:rsidRDefault="002B537F" w:rsidP="002B537F">
            <w:pPr>
              <w:spacing w:after="120"/>
              <w:jc w:val="center"/>
              <w:cnfStyle w:val="000000100000"/>
              <w:rPr>
                <w:rFonts w:ascii="Arial" w:hAnsi="Arial" w:cs="Arial"/>
                <w:sz w:val="24"/>
                <w:szCs w:val="24"/>
              </w:rPr>
            </w:pPr>
            <w:r w:rsidRPr="002B537F">
              <w:rPr>
                <w:rFonts w:ascii="Arial" w:hAnsi="Arial" w:cs="Arial"/>
                <w:sz w:val="24"/>
                <w:szCs w:val="24"/>
              </w:rPr>
              <w:t>960</w:t>
            </w:r>
          </w:p>
        </w:tc>
        <w:tc>
          <w:tcPr>
            <w:tcW w:w="1880" w:type="dxa"/>
          </w:tcPr>
          <w:p w:rsidR="002B537F" w:rsidRPr="002B537F" w:rsidRDefault="002B537F" w:rsidP="002B537F">
            <w:pPr>
              <w:spacing w:after="120"/>
              <w:jc w:val="center"/>
              <w:cnfStyle w:val="000000100000"/>
              <w:rPr>
                <w:rFonts w:ascii="Arial" w:hAnsi="Arial" w:cs="Arial"/>
                <w:sz w:val="24"/>
                <w:szCs w:val="24"/>
              </w:rPr>
            </w:pPr>
            <w:r w:rsidRPr="002B537F">
              <w:rPr>
                <w:rFonts w:ascii="Arial" w:hAnsi="Arial" w:cs="Arial"/>
                <w:sz w:val="24"/>
                <w:szCs w:val="24"/>
              </w:rPr>
              <w:t>1.140</w:t>
            </w:r>
          </w:p>
        </w:tc>
        <w:tc>
          <w:tcPr>
            <w:tcW w:w="2050" w:type="dxa"/>
          </w:tcPr>
          <w:p w:rsidR="002B537F" w:rsidRPr="002B537F" w:rsidRDefault="002B537F" w:rsidP="002B537F">
            <w:pPr>
              <w:spacing w:after="120"/>
              <w:jc w:val="center"/>
              <w:cnfStyle w:val="000000100000"/>
              <w:rPr>
                <w:rFonts w:ascii="Arial" w:hAnsi="Arial" w:cs="Arial"/>
                <w:sz w:val="24"/>
                <w:szCs w:val="24"/>
              </w:rPr>
            </w:pPr>
            <w:r w:rsidRPr="002B537F">
              <w:rPr>
                <w:rFonts w:ascii="Arial" w:hAnsi="Arial" w:cs="Arial"/>
                <w:sz w:val="24"/>
                <w:szCs w:val="24"/>
              </w:rPr>
              <w:t>1.247,8</w:t>
            </w:r>
          </w:p>
        </w:tc>
        <w:tc>
          <w:tcPr>
            <w:tcW w:w="1709" w:type="dxa"/>
          </w:tcPr>
          <w:p w:rsidR="002B537F" w:rsidRPr="002B537F" w:rsidRDefault="002B537F" w:rsidP="002B537F">
            <w:pPr>
              <w:spacing w:after="120"/>
              <w:jc w:val="center"/>
              <w:cnfStyle w:val="000000100000"/>
              <w:rPr>
                <w:rFonts w:ascii="Arial" w:hAnsi="Arial" w:cs="Arial"/>
                <w:sz w:val="24"/>
                <w:szCs w:val="24"/>
              </w:rPr>
            </w:pPr>
            <w:r w:rsidRPr="002B537F">
              <w:rPr>
                <w:rFonts w:ascii="Arial" w:hAnsi="Arial" w:cs="Arial"/>
                <w:sz w:val="24"/>
                <w:szCs w:val="24"/>
              </w:rPr>
              <w:t>1.247,8</w:t>
            </w:r>
          </w:p>
        </w:tc>
        <w:tc>
          <w:tcPr>
            <w:tcW w:w="1880" w:type="dxa"/>
          </w:tcPr>
          <w:p w:rsidR="002B537F" w:rsidRPr="002B537F" w:rsidRDefault="002B537F" w:rsidP="002B537F">
            <w:pPr>
              <w:spacing w:after="120"/>
              <w:jc w:val="center"/>
              <w:cnfStyle w:val="000000100000"/>
              <w:rPr>
                <w:rFonts w:ascii="Arial" w:hAnsi="Arial" w:cs="Arial"/>
                <w:sz w:val="24"/>
                <w:szCs w:val="24"/>
                <w:lang w:val="en-US"/>
              </w:rPr>
            </w:pPr>
            <w:r w:rsidRPr="002B537F">
              <w:rPr>
                <w:rFonts w:ascii="Arial" w:hAnsi="Arial" w:cs="Arial"/>
                <w:sz w:val="24"/>
                <w:szCs w:val="24"/>
                <w:lang w:val="en-US"/>
              </w:rPr>
              <w:t>1</w:t>
            </w:r>
            <w:r w:rsidRPr="002B537F">
              <w:rPr>
                <w:rFonts w:ascii="Arial" w:hAnsi="Arial" w:cs="Arial"/>
                <w:sz w:val="24"/>
                <w:szCs w:val="24"/>
              </w:rPr>
              <w:t>.</w:t>
            </w:r>
            <w:r w:rsidRPr="002B537F">
              <w:rPr>
                <w:rFonts w:ascii="Arial" w:hAnsi="Arial" w:cs="Arial"/>
                <w:sz w:val="24"/>
                <w:szCs w:val="24"/>
                <w:lang w:val="en-US"/>
              </w:rPr>
              <w:t>133.4</w:t>
            </w:r>
          </w:p>
        </w:tc>
      </w:tr>
      <w:tr w:rsidR="002B537F" w:rsidRPr="002B537F" w:rsidTr="002B537F">
        <w:trPr>
          <w:cnfStyle w:val="000000010000"/>
          <w:trHeight w:val="474"/>
          <w:jc w:val="center"/>
        </w:trPr>
        <w:tc>
          <w:tcPr>
            <w:cnfStyle w:val="001000000000"/>
            <w:tcW w:w="5840" w:type="dxa"/>
          </w:tcPr>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Απόδοση στους δήμους % ΕΝΦΙΑ/ΦΑΠ</w:t>
            </w:r>
          </w:p>
        </w:tc>
        <w:tc>
          <w:tcPr>
            <w:tcW w:w="188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168</w:t>
            </w:r>
          </w:p>
        </w:tc>
        <w:tc>
          <w:tcPr>
            <w:tcW w:w="188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243</w:t>
            </w:r>
          </w:p>
        </w:tc>
        <w:tc>
          <w:tcPr>
            <w:tcW w:w="205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176,5</w:t>
            </w:r>
          </w:p>
        </w:tc>
        <w:tc>
          <w:tcPr>
            <w:tcW w:w="1709"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176,5</w:t>
            </w:r>
          </w:p>
        </w:tc>
        <w:tc>
          <w:tcPr>
            <w:tcW w:w="1880" w:type="dxa"/>
          </w:tcPr>
          <w:p w:rsidR="002B537F" w:rsidRPr="002B537F" w:rsidRDefault="002B537F" w:rsidP="002B537F">
            <w:pPr>
              <w:spacing w:after="120"/>
              <w:jc w:val="center"/>
              <w:cnfStyle w:val="000000010000"/>
              <w:rPr>
                <w:rFonts w:ascii="Arial" w:hAnsi="Arial" w:cs="Arial"/>
                <w:sz w:val="24"/>
                <w:szCs w:val="24"/>
                <w:lang w:val="en-US"/>
              </w:rPr>
            </w:pPr>
            <w:r w:rsidRPr="002B537F">
              <w:rPr>
                <w:rFonts w:ascii="Arial" w:hAnsi="Arial" w:cs="Arial"/>
                <w:sz w:val="24"/>
                <w:szCs w:val="24"/>
                <w:lang w:val="en-US"/>
              </w:rPr>
              <w:t>164</w:t>
            </w:r>
          </w:p>
        </w:tc>
      </w:tr>
      <w:tr w:rsidR="002B537F" w:rsidRPr="002B537F" w:rsidTr="002B537F">
        <w:trPr>
          <w:cnfStyle w:val="000000100000"/>
          <w:trHeight w:val="448"/>
          <w:jc w:val="center"/>
        </w:trPr>
        <w:tc>
          <w:tcPr>
            <w:cnfStyle w:val="001000000000"/>
            <w:tcW w:w="5840" w:type="dxa"/>
          </w:tcPr>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Ειδική επιχορήγηση σε ΟΤΑ Α΄ βαθμού </w:t>
            </w:r>
          </w:p>
        </w:tc>
        <w:tc>
          <w:tcPr>
            <w:tcW w:w="1880" w:type="dxa"/>
          </w:tcPr>
          <w:p w:rsidR="002B537F" w:rsidRPr="002B537F" w:rsidRDefault="002B537F" w:rsidP="002B537F">
            <w:pPr>
              <w:spacing w:after="120"/>
              <w:jc w:val="center"/>
              <w:cnfStyle w:val="000000100000"/>
              <w:rPr>
                <w:rFonts w:ascii="Arial" w:hAnsi="Arial" w:cs="Arial"/>
                <w:sz w:val="24"/>
                <w:szCs w:val="24"/>
              </w:rPr>
            </w:pPr>
          </w:p>
        </w:tc>
        <w:tc>
          <w:tcPr>
            <w:tcW w:w="1880" w:type="dxa"/>
          </w:tcPr>
          <w:p w:rsidR="002B537F" w:rsidRPr="002B537F" w:rsidRDefault="002B537F" w:rsidP="002B537F">
            <w:pPr>
              <w:spacing w:after="120"/>
              <w:jc w:val="center"/>
              <w:cnfStyle w:val="000000100000"/>
              <w:rPr>
                <w:rFonts w:ascii="Arial" w:hAnsi="Arial" w:cs="Arial"/>
                <w:sz w:val="24"/>
                <w:szCs w:val="24"/>
              </w:rPr>
            </w:pPr>
            <w:r w:rsidRPr="002B537F">
              <w:rPr>
                <w:rFonts w:ascii="Arial" w:hAnsi="Arial" w:cs="Arial"/>
                <w:sz w:val="24"/>
                <w:szCs w:val="24"/>
              </w:rPr>
              <w:t>312,9</w:t>
            </w:r>
          </w:p>
        </w:tc>
        <w:tc>
          <w:tcPr>
            <w:tcW w:w="2050" w:type="dxa"/>
          </w:tcPr>
          <w:p w:rsidR="002B537F" w:rsidRPr="002B537F" w:rsidRDefault="002B537F" w:rsidP="002B537F">
            <w:pPr>
              <w:spacing w:after="120"/>
              <w:jc w:val="center"/>
              <w:cnfStyle w:val="000000100000"/>
              <w:rPr>
                <w:rFonts w:ascii="Arial" w:hAnsi="Arial" w:cs="Arial"/>
                <w:sz w:val="24"/>
                <w:szCs w:val="24"/>
              </w:rPr>
            </w:pPr>
            <w:r w:rsidRPr="002B537F">
              <w:rPr>
                <w:rFonts w:ascii="Arial" w:hAnsi="Arial" w:cs="Arial"/>
                <w:sz w:val="24"/>
                <w:szCs w:val="24"/>
              </w:rPr>
              <w:t>235,8</w:t>
            </w:r>
          </w:p>
        </w:tc>
        <w:tc>
          <w:tcPr>
            <w:tcW w:w="1709" w:type="dxa"/>
          </w:tcPr>
          <w:p w:rsidR="002B537F" w:rsidRPr="002B537F" w:rsidRDefault="002B537F" w:rsidP="002B537F">
            <w:pPr>
              <w:spacing w:after="120"/>
              <w:jc w:val="center"/>
              <w:cnfStyle w:val="000000100000"/>
              <w:rPr>
                <w:rFonts w:ascii="Arial" w:hAnsi="Arial" w:cs="Arial"/>
                <w:sz w:val="24"/>
                <w:szCs w:val="24"/>
              </w:rPr>
            </w:pPr>
            <w:r w:rsidRPr="002B537F">
              <w:rPr>
                <w:rFonts w:ascii="Arial" w:hAnsi="Arial" w:cs="Arial"/>
                <w:sz w:val="24"/>
                <w:szCs w:val="24"/>
              </w:rPr>
              <w:t>187,9</w:t>
            </w:r>
          </w:p>
        </w:tc>
        <w:tc>
          <w:tcPr>
            <w:tcW w:w="1880" w:type="dxa"/>
          </w:tcPr>
          <w:p w:rsidR="002B537F" w:rsidRPr="002B537F" w:rsidRDefault="002B537F" w:rsidP="002B537F">
            <w:pPr>
              <w:spacing w:after="120"/>
              <w:jc w:val="center"/>
              <w:cnfStyle w:val="000000100000"/>
              <w:rPr>
                <w:rFonts w:ascii="Arial" w:hAnsi="Arial" w:cs="Arial"/>
                <w:sz w:val="24"/>
                <w:szCs w:val="24"/>
                <w:lang w:val="en-US"/>
              </w:rPr>
            </w:pPr>
            <w:r w:rsidRPr="002B537F">
              <w:rPr>
                <w:rFonts w:ascii="Arial" w:hAnsi="Arial" w:cs="Arial"/>
                <w:sz w:val="24"/>
                <w:szCs w:val="24"/>
                <w:lang w:val="en-US"/>
              </w:rPr>
              <w:t>150</w:t>
            </w:r>
          </w:p>
        </w:tc>
      </w:tr>
      <w:tr w:rsidR="002B537F" w:rsidRPr="002B537F" w:rsidTr="002B537F">
        <w:trPr>
          <w:cnfStyle w:val="000000010000"/>
          <w:trHeight w:val="949"/>
          <w:jc w:val="center"/>
        </w:trPr>
        <w:tc>
          <w:tcPr>
            <w:cnfStyle w:val="001000000000"/>
            <w:tcW w:w="5840" w:type="dxa"/>
          </w:tcPr>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Απόδοση στους δήμους για τη ρύθμιση των οφειλόμενων παρελθόντων ετών</w:t>
            </w:r>
          </w:p>
        </w:tc>
        <w:tc>
          <w:tcPr>
            <w:tcW w:w="188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213,9</w:t>
            </w:r>
          </w:p>
        </w:tc>
        <w:tc>
          <w:tcPr>
            <w:tcW w:w="188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213,9</w:t>
            </w:r>
          </w:p>
        </w:tc>
        <w:tc>
          <w:tcPr>
            <w:tcW w:w="2050"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213,9</w:t>
            </w:r>
          </w:p>
        </w:tc>
        <w:tc>
          <w:tcPr>
            <w:tcW w:w="1709" w:type="dxa"/>
          </w:tcPr>
          <w:p w:rsidR="002B537F" w:rsidRPr="002B537F" w:rsidRDefault="002B537F" w:rsidP="002B537F">
            <w:pPr>
              <w:spacing w:after="120"/>
              <w:jc w:val="center"/>
              <w:cnfStyle w:val="000000010000"/>
              <w:rPr>
                <w:rFonts w:ascii="Arial" w:hAnsi="Arial" w:cs="Arial"/>
                <w:sz w:val="24"/>
                <w:szCs w:val="24"/>
              </w:rPr>
            </w:pPr>
            <w:r w:rsidRPr="002B537F">
              <w:rPr>
                <w:rFonts w:ascii="Arial" w:hAnsi="Arial" w:cs="Arial"/>
                <w:sz w:val="24"/>
                <w:szCs w:val="24"/>
              </w:rPr>
              <w:t>213,9</w:t>
            </w:r>
          </w:p>
        </w:tc>
        <w:tc>
          <w:tcPr>
            <w:tcW w:w="1880" w:type="dxa"/>
          </w:tcPr>
          <w:p w:rsidR="002B537F" w:rsidRPr="002B537F" w:rsidRDefault="002B537F" w:rsidP="002B537F">
            <w:pPr>
              <w:spacing w:after="120"/>
              <w:jc w:val="center"/>
              <w:cnfStyle w:val="000000010000"/>
              <w:rPr>
                <w:rFonts w:ascii="Arial" w:hAnsi="Arial" w:cs="Arial"/>
                <w:sz w:val="24"/>
                <w:szCs w:val="24"/>
                <w:lang w:val="en-US"/>
              </w:rPr>
            </w:pPr>
            <w:r w:rsidRPr="002B537F">
              <w:rPr>
                <w:rFonts w:ascii="Arial" w:hAnsi="Arial" w:cs="Arial"/>
                <w:sz w:val="24"/>
                <w:szCs w:val="24"/>
                <w:lang w:val="en-US"/>
              </w:rPr>
              <w:t>213.9</w:t>
            </w:r>
          </w:p>
        </w:tc>
      </w:tr>
      <w:tr w:rsidR="002B537F" w:rsidRPr="002B537F" w:rsidTr="002B537F">
        <w:trPr>
          <w:cnfStyle w:val="000000100000"/>
          <w:trHeight w:val="448"/>
          <w:jc w:val="center"/>
        </w:trPr>
        <w:tc>
          <w:tcPr>
            <w:cnfStyle w:val="001000000000"/>
            <w:tcW w:w="5840" w:type="dxa"/>
          </w:tcPr>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ΣΥΝΟΛΟ</w:t>
            </w:r>
          </w:p>
        </w:tc>
        <w:tc>
          <w:tcPr>
            <w:tcW w:w="1880" w:type="dxa"/>
          </w:tcPr>
          <w:p w:rsidR="002B537F" w:rsidRPr="002B537F" w:rsidRDefault="002B537F" w:rsidP="002B537F">
            <w:pPr>
              <w:spacing w:after="120"/>
              <w:jc w:val="center"/>
              <w:cnfStyle w:val="000000100000"/>
              <w:rPr>
                <w:rFonts w:ascii="Arial" w:hAnsi="Arial" w:cs="Arial"/>
                <w:b/>
                <w:sz w:val="24"/>
                <w:szCs w:val="24"/>
              </w:rPr>
            </w:pPr>
            <w:r w:rsidRPr="002B537F">
              <w:rPr>
                <w:rFonts w:ascii="Arial" w:hAnsi="Arial" w:cs="Arial"/>
                <w:b/>
                <w:sz w:val="24"/>
                <w:szCs w:val="24"/>
              </w:rPr>
              <w:t>2.613,9</w:t>
            </w:r>
          </w:p>
        </w:tc>
        <w:tc>
          <w:tcPr>
            <w:tcW w:w="1880" w:type="dxa"/>
          </w:tcPr>
          <w:p w:rsidR="002B537F" w:rsidRPr="002B537F" w:rsidRDefault="002B537F" w:rsidP="002B537F">
            <w:pPr>
              <w:spacing w:after="120"/>
              <w:jc w:val="center"/>
              <w:cnfStyle w:val="000000100000"/>
              <w:rPr>
                <w:rFonts w:ascii="Arial" w:hAnsi="Arial" w:cs="Arial"/>
                <w:b/>
                <w:sz w:val="24"/>
                <w:szCs w:val="24"/>
              </w:rPr>
            </w:pPr>
            <w:r w:rsidRPr="002B537F">
              <w:rPr>
                <w:rFonts w:ascii="Arial" w:hAnsi="Arial" w:cs="Arial"/>
                <w:b/>
                <w:sz w:val="24"/>
                <w:szCs w:val="24"/>
              </w:rPr>
              <w:t>2.881,8</w:t>
            </w:r>
          </w:p>
        </w:tc>
        <w:tc>
          <w:tcPr>
            <w:tcW w:w="2050" w:type="dxa"/>
          </w:tcPr>
          <w:p w:rsidR="002B537F" w:rsidRPr="002B537F" w:rsidRDefault="002B537F" w:rsidP="002B537F">
            <w:pPr>
              <w:spacing w:after="120"/>
              <w:jc w:val="center"/>
              <w:cnfStyle w:val="000000100000"/>
              <w:rPr>
                <w:rFonts w:ascii="Arial" w:hAnsi="Arial" w:cs="Arial"/>
                <w:b/>
                <w:sz w:val="24"/>
                <w:szCs w:val="24"/>
              </w:rPr>
            </w:pPr>
            <w:r w:rsidRPr="002B537F">
              <w:rPr>
                <w:rFonts w:ascii="Arial" w:hAnsi="Arial" w:cs="Arial"/>
                <w:b/>
                <w:sz w:val="24"/>
                <w:szCs w:val="24"/>
              </w:rPr>
              <w:t>2.783</w:t>
            </w:r>
          </w:p>
        </w:tc>
        <w:tc>
          <w:tcPr>
            <w:tcW w:w="1709" w:type="dxa"/>
          </w:tcPr>
          <w:p w:rsidR="002B537F" w:rsidRPr="002B537F" w:rsidRDefault="002B537F" w:rsidP="002B537F">
            <w:pPr>
              <w:spacing w:after="120"/>
              <w:jc w:val="center"/>
              <w:cnfStyle w:val="000000100000"/>
              <w:rPr>
                <w:rFonts w:ascii="Arial" w:hAnsi="Arial" w:cs="Arial"/>
                <w:b/>
                <w:sz w:val="24"/>
                <w:szCs w:val="24"/>
              </w:rPr>
            </w:pPr>
            <w:r w:rsidRPr="002B537F">
              <w:rPr>
                <w:rFonts w:ascii="Arial" w:hAnsi="Arial" w:cs="Arial"/>
                <w:b/>
                <w:sz w:val="24"/>
                <w:szCs w:val="24"/>
              </w:rPr>
              <w:t>2.735</w:t>
            </w:r>
          </w:p>
        </w:tc>
        <w:tc>
          <w:tcPr>
            <w:tcW w:w="1880" w:type="dxa"/>
          </w:tcPr>
          <w:p w:rsidR="002B537F" w:rsidRPr="002B537F" w:rsidRDefault="002B537F" w:rsidP="002B537F">
            <w:pPr>
              <w:spacing w:after="120"/>
              <w:jc w:val="center"/>
              <w:cnfStyle w:val="000000100000"/>
              <w:rPr>
                <w:rFonts w:ascii="Arial" w:hAnsi="Arial" w:cs="Arial"/>
                <w:b/>
                <w:sz w:val="24"/>
                <w:szCs w:val="24"/>
                <w:lang w:val="en-US"/>
              </w:rPr>
            </w:pPr>
            <w:r w:rsidRPr="002B537F">
              <w:rPr>
                <w:rFonts w:ascii="Arial" w:hAnsi="Arial" w:cs="Arial"/>
                <w:b/>
                <w:sz w:val="24"/>
                <w:szCs w:val="24"/>
                <w:lang w:val="en-US"/>
              </w:rPr>
              <w:t>2</w:t>
            </w:r>
            <w:r w:rsidRPr="002B537F">
              <w:rPr>
                <w:rFonts w:ascii="Arial" w:hAnsi="Arial" w:cs="Arial"/>
                <w:b/>
                <w:sz w:val="24"/>
                <w:szCs w:val="24"/>
              </w:rPr>
              <w:t>.</w:t>
            </w:r>
            <w:r w:rsidRPr="002B537F">
              <w:rPr>
                <w:rFonts w:ascii="Arial" w:hAnsi="Arial" w:cs="Arial"/>
                <w:b/>
                <w:sz w:val="24"/>
                <w:szCs w:val="24"/>
                <w:lang w:val="en-US"/>
              </w:rPr>
              <w:t>571</w:t>
            </w:r>
            <w:r w:rsidRPr="002B537F">
              <w:rPr>
                <w:rFonts w:ascii="Arial" w:hAnsi="Arial" w:cs="Arial"/>
                <w:b/>
                <w:sz w:val="24"/>
                <w:szCs w:val="24"/>
              </w:rPr>
              <w:t>,</w:t>
            </w:r>
            <w:r w:rsidRPr="002B537F">
              <w:rPr>
                <w:rFonts w:ascii="Arial" w:hAnsi="Arial" w:cs="Arial"/>
                <w:b/>
                <w:sz w:val="24"/>
                <w:szCs w:val="24"/>
                <w:lang w:val="en-US"/>
              </w:rPr>
              <w:t>5</w:t>
            </w:r>
          </w:p>
        </w:tc>
      </w:tr>
    </w:tbl>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center"/>
        <w:rPr>
          <w:rFonts w:ascii="Arial" w:hAnsi="Arial" w:cs="Arial"/>
          <w:b/>
          <w:sz w:val="24"/>
          <w:szCs w:val="24"/>
        </w:rPr>
      </w:pPr>
      <w:r w:rsidRPr="002B537F">
        <w:rPr>
          <w:rFonts w:ascii="Arial" w:hAnsi="Arial" w:cs="Arial"/>
          <w:b/>
          <w:sz w:val="24"/>
          <w:szCs w:val="24"/>
        </w:rPr>
        <w:lastRenderedPageBreak/>
        <w:t>ΠΟΣΟΣΤΟ ΣΥΜΜΕΤΟΧΗΣ ΤΩΝ ΠΡΟΥΠΟΛΟΓΙΣΘΕΝΤΩΝ ΕΣΟΔΩΝ ΤΩΝ ΚΑΠ ΣΤΑ ΦΟΡΟΛΟΓΙΚΑ ΕΣΟΔΑ ΠΟΥ ΤΟΥΣ ΧΡΗΜΑΤΟΔΟΤΟΥΝ</w:t>
      </w:r>
    </w:p>
    <w:p w:rsidR="002B537F" w:rsidRPr="002B537F" w:rsidRDefault="002B537F" w:rsidP="002B537F">
      <w:pPr>
        <w:spacing w:after="120"/>
        <w:jc w:val="center"/>
        <w:rPr>
          <w:rFonts w:ascii="Arial" w:hAnsi="Arial" w:cs="Arial"/>
          <w:b/>
          <w:sz w:val="24"/>
          <w:szCs w:val="24"/>
        </w:rPr>
      </w:pPr>
      <w:r w:rsidRPr="002B537F">
        <w:rPr>
          <w:rFonts w:ascii="Arial" w:hAnsi="Arial" w:cs="Arial"/>
          <w:b/>
          <w:sz w:val="24"/>
          <w:szCs w:val="24"/>
        </w:rPr>
        <w:t>ΣΕ ΣΥΓΚΡΙΣΗ ΜΕ ΤΑ ΘΕΣΜΟΘΕΤΗΜΕΝΑ ΠΟΣΟΣΤΑ ΑΠΟ ΤΟ ΝΟΜΟ 3852</w:t>
      </w: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p>
    <w:tbl>
      <w:tblPr>
        <w:tblStyle w:val="a9"/>
        <w:tblW w:w="12091" w:type="dxa"/>
        <w:jc w:val="center"/>
        <w:tblLook w:val="04A0"/>
      </w:tblPr>
      <w:tblGrid>
        <w:gridCol w:w="5855"/>
        <w:gridCol w:w="1138"/>
        <w:gridCol w:w="1221"/>
        <w:gridCol w:w="1138"/>
        <w:gridCol w:w="1138"/>
        <w:gridCol w:w="1601"/>
      </w:tblGrid>
      <w:tr w:rsidR="002B537F" w:rsidRPr="002B537F" w:rsidTr="002B537F">
        <w:trPr>
          <w:cnfStyle w:val="100000000000"/>
          <w:trHeight w:val="370"/>
          <w:jc w:val="center"/>
        </w:trPr>
        <w:tc>
          <w:tcPr>
            <w:cnfStyle w:val="001000000000"/>
            <w:tcW w:w="5855" w:type="dxa"/>
            <w:noWrap/>
          </w:tcPr>
          <w:p w:rsidR="002B537F" w:rsidRPr="002B537F" w:rsidRDefault="002B537F" w:rsidP="002B537F">
            <w:pPr>
              <w:spacing w:after="120"/>
              <w:jc w:val="center"/>
              <w:rPr>
                <w:rFonts w:ascii="Arial" w:hAnsi="Arial" w:cs="Arial"/>
                <w:b w:val="0"/>
                <w:bCs w:val="0"/>
                <w:color w:val="000000"/>
                <w:sz w:val="24"/>
                <w:szCs w:val="24"/>
                <w:lang w:eastAsia="el-GR"/>
              </w:rPr>
            </w:pPr>
          </w:p>
        </w:tc>
        <w:tc>
          <w:tcPr>
            <w:tcW w:w="1138" w:type="dxa"/>
            <w:noWrap/>
          </w:tcPr>
          <w:p w:rsidR="002B537F" w:rsidRPr="002B537F" w:rsidRDefault="002B537F" w:rsidP="002B537F">
            <w:pPr>
              <w:spacing w:after="120"/>
              <w:jc w:val="center"/>
              <w:cnfStyle w:val="100000000000"/>
              <w:rPr>
                <w:rFonts w:ascii="Arial" w:hAnsi="Arial" w:cs="Arial"/>
                <w:b w:val="0"/>
                <w:color w:val="000000"/>
                <w:sz w:val="24"/>
                <w:szCs w:val="24"/>
                <w:lang w:eastAsia="el-GR"/>
              </w:rPr>
            </w:pPr>
            <w:r w:rsidRPr="002B537F">
              <w:rPr>
                <w:rFonts w:ascii="Arial" w:hAnsi="Arial" w:cs="Arial"/>
                <w:b w:val="0"/>
                <w:color w:val="000000"/>
                <w:sz w:val="24"/>
                <w:szCs w:val="24"/>
                <w:lang w:eastAsia="el-GR"/>
              </w:rPr>
              <w:t>2012</w:t>
            </w:r>
          </w:p>
        </w:tc>
        <w:tc>
          <w:tcPr>
            <w:tcW w:w="1221" w:type="dxa"/>
            <w:noWrap/>
          </w:tcPr>
          <w:p w:rsidR="002B537F" w:rsidRPr="002B537F" w:rsidRDefault="002B537F" w:rsidP="002B537F">
            <w:pPr>
              <w:spacing w:after="120"/>
              <w:jc w:val="center"/>
              <w:cnfStyle w:val="100000000000"/>
              <w:rPr>
                <w:rFonts w:ascii="Arial" w:hAnsi="Arial" w:cs="Arial"/>
                <w:b w:val="0"/>
                <w:color w:val="000000"/>
                <w:sz w:val="24"/>
                <w:szCs w:val="24"/>
                <w:lang w:eastAsia="el-GR"/>
              </w:rPr>
            </w:pPr>
            <w:r w:rsidRPr="002B537F">
              <w:rPr>
                <w:rFonts w:ascii="Arial" w:hAnsi="Arial" w:cs="Arial"/>
                <w:b w:val="0"/>
                <w:color w:val="000000"/>
                <w:sz w:val="24"/>
                <w:szCs w:val="24"/>
                <w:lang w:eastAsia="el-GR"/>
              </w:rPr>
              <w:t>2013</w:t>
            </w:r>
          </w:p>
        </w:tc>
        <w:tc>
          <w:tcPr>
            <w:tcW w:w="1138" w:type="dxa"/>
            <w:noWrap/>
          </w:tcPr>
          <w:p w:rsidR="002B537F" w:rsidRPr="002B537F" w:rsidRDefault="002B537F" w:rsidP="002B537F">
            <w:pPr>
              <w:spacing w:after="120"/>
              <w:jc w:val="center"/>
              <w:cnfStyle w:val="100000000000"/>
              <w:rPr>
                <w:rFonts w:ascii="Arial" w:hAnsi="Arial" w:cs="Arial"/>
                <w:b w:val="0"/>
                <w:color w:val="000000"/>
                <w:sz w:val="24"/>
                <w:szCs w:val="24"/>
                <w:lang w:eastAsia="el-GR"/>
              </w:rPr>
            </w:pPr>
            <w:r w:rsidRPr="002B537F">
              <w:rPr>
                <w:rFonts w:ascii="Arial" w:hAnsi="Arial" w:cs="Arial"/>
                <w:b w:val="0"/>
                <w:color w:val="000000"/>
                <w:sz w:val="24"/>
                <w:szCs w:val="24"/>
                <w:lang w:eastAsia="el-GR"/>
              </w:rPr>
              <w:t>2014</w:t>
            </w:r>
          </w:p>
        </w:tc>
        <w:tc>
          <w:tcPr>
            <w:tcW w:w="1138" w:type="dxa"/>
            <w:noWrap/>
          </w:tcPr>
          <w:p w:rsidR="002B537F" w:rsidRPr="002B537F" w:rsidRDefault="002B537F" w:rsidP="002B537F">
            <w:pPr>
              <w:spacing w:after="120"/>
              <w:jc w:val="center"/>
              <w:cnfStyle w:val="100000000000"/>
              <w:rPr>
                <w:rFonts w:ascii="Arial" w:hAnsi="Arial" w:cs="Arial"/>
                <w:b w:val="0"/>
                <w:color w:val="000000"/>
                <w:sz w:val="24"/>
                <w:szCs w:val="24"/>
                <w:lang w:eastAsia="el-GR"/>
              </w:rPr>
            </w:pPr>
          </w:p>
          <w:p w:rsidR="002B537F" w:rsidRPr="002B537F" w:rsidRDefault="002B537F" w:rsidP="002B537F">
            <w:pPr>
              <w:spacing w:after="120"/>
              <w:jc w:val="center"/>
              <w:cnfStyle w:val="100000000000"/>
              <w:rPr>
                <w:rFonts w:ascii="Arial" w:hAnsi="Arial" w:cs="Arial"/>
                <w:b w:val="0"/>
                <w:color w:val="000000"/>
                <w:sz w:val="24"/>
                <w:szCs w:val="24"/>
                <w:lang w:eastAsia="el-GR"/>
              </w:rPr>
            </w:pPr>
          </w:p>
          <w:p w:rsidR="002B537F" w:rsidRPr="002B537F" w:rsidRDefault="002B537F" w:rsidP="002B537F">
            <w:pPr>
              <w:spacing w:after="120"/>
              <w:jc w:val="center"/>
              <w:cnfStyle w:val="100000000000"/>
              <w:rPr>
                <w:rFonts w:ascii="Arial" w:hAnsi="Arial" w:cs="Arial"/>
                <w:b w:val="0"/>
                <w:color w:val="000000"/>
                <w:sz w:val="24"/>
                <w:szCs w:val="24"/>
                <w:lang w:eastAsia="el-GR"/>
              </w:rPr>
            </w:pPr>
            <w:r w:rsidRPr="002B537F">
              <w:rPr>
                <w:rFonts w:ascii="Arial" w:hAnsi="Arial" w:cs="Arial"/>
                <w:b w:val="0"/>
                <w:color w:val="000000"/>
                <w:sz w:val="24"/>
                <w:szCs w:val="24"/>
                <w:lang w:eastAsia="el-GR"/>
              </w:rPr>
              <w:t>2015</w:t>
            </w:r>
          </w:p>
        </w:tc>
        <w:tc>
          <w:tcPr>
            <w:tcW w:w="1601" w:type="dxa"/>
          </w:tcPr>
          <w:p w:rsidR="002B537F" w:rsidRPr="002B537F" w:rsidRDefault="002B537F" w:rsidP="002B537F">
            <w:pPr>
              <w:spacing w:after="120"/>
              <w:jc w:val="center"/>
              <w:cnfStyle w:val="100000000000"/>
              <w:rPr>
                <w:rFonts w:ascii="Arial" w:hAnsi="Arial" w:cs="Arial"/>
                <w:b w:val="0"/>
                <w:bCs w:val="0"/>
                <w:sz w:val="24"/>
                <w:szCs w:val="24"/>
                <w:lang w:eastAsia="el-GR"/>
              </w:rPr>
            </w:pPr>
            <w:r w:rsidRPr="002B537F">
              <w:rPr>
                <w:rFonts w:ascii="Arial" w:hAnsi="Arial" w:cs="Arial"/>
                <w:b w:val="0"/>
                <w:bCs w:val="0"/>
                <w:sz w:val="24"/>
                <w:szCs w:val="24"/>
                <w:lang w:eastAsia="el-GR"/>
              </w:rPr>
              <w:t>% ν. 3852/2010</w:t>
            </w:r>
          </w:p>
        </w:tc>
      </w:tr>
      <w:tr w:rsidR="002B537F" w:rsidRPr="002B537F" w:rsidTr="002B537F">
        <w:trPr>
          <w:cnfStyle w:val="000000100000"/>
          <w:trHeight w:val="370"/>
          <w:jc w:val="center"/>
        </w:trPr>
        <w:tc>
          <w:tcPr>
            <w:cnfStyle w:val="001000000000"/>
            <w:tcW w:w="5855" w:type="dxa"/>
            <w:noWrap/>
            <w:hideMark/>
          </w:tcPr>
          <w:p w:rsidR="002B537F" w:rsidRPr="002B537F" w:rsidRDefault="002B537F" w:rsidP="002B537F">
            <w:pPr>
              <w:spacing w:after="120"/>
              <w:jc w:val="both"/>
              <w:rPr>
                <w:rFonts w:ascii="Arial" w:hAnsi="Arial" w:cs="Arial"/>
                <w:b w:val="0"/>
                <w:bCs w:val="0"/>
                <w:color w:val="000000"/>
                <w:sz w:val="24"/>
                <w:szCs w:val="24"/>
                <w:lang w:eastAsia="el-GR"/>
              </w:rPr>
            </w:pPr>
            <w:r w:rsidRPr="002B537F">
              <w:rPr>
                <w:rFonts w:ascii="Arial" w:hAnsi="Arial" w:cs="Arial"/>
                <w:b w:val="0"/>
                <w:bCs w:val="0"/>
                <w:color w:val="000000"/>
                <w:sz w:val="24"/>
                <w:szCs w:val="24"/>
                <w:lang w:eastAsia="el-GR"/>
              </w:rPr>
              <w:t>ΦΠΑ</w:t>
            </w:r>
          </w:p>
        </w:tc>
        <w:tc>
          <w:tcPr>
            <w:tcW w:w="1138" w:type="dxa"/>
            <w:noWrap/>
            <w:hideMark/>
          </w:tcPr>
          <w:p w:rsidR="002B537F" w:rsidRPr="002B537F" w:rsidRDefault="002B537F" w:rsidP="002B537F">
            <w:pPr>
              <w:spacing w:after="120"/>
              <w:jc w:val="both"/>
              <w:cnfStyle w:val="000000100000"/>
              <w:rPr>
                <w:rFonts w:ascii="Arial" w:hAnsi="Arial" w:cs="Arial"/>
                <w:color w:val="000000"/>
                <w:sz w:val="24"/>
                <w:szCs w:val="24"/>
                <w:lang w:eastAsia="el-GR"/>
              </w:rPr>
            </w:pPr>
            <w:r w:rsidRPr="002B537F">
              <w:rPr>
                <w:rFonts w:ascii="Arial" w:hAnsi="Arial" w:cs="Arial"/>
                <w:color w:val="000000"/>
                <w:sz w:val="24"/>
                <w:szCs w:val="24"/>
                <w:lang w:eastAsia="el-GR"/>
              </w:rPr>
              <w:t>7,68%</w:t>
            </w:r>
          </w:p>
        </w:tc>
        <w:tc>
          <w:tcPr>
            <w:tcW w:w="1221" w:type="dxa"/>
            <w:noWrap/>
            <w:hideMark/>
          </w:tcPr>
          <w:p w:rsidR="002B537F" w:rsidRPr="002B537F" w:rsidRDefault="002B537F" w:rsidP="002B537F">
            <w:pPr>
              <w:spacing w:after="120"/>
              <w:jc w:val="both"/>
              <w:cnfStyle w:val="000000100000"/>
              <w:rPr>
                <w:rFonts w:ascii="Arial" w:hAnsi="Arial" w:cs="Arial"/>
                <w:color w:val="000000"/>
                <w:sz w:val="24"/>
                <w:szCs w:val="24"/>
                <w:lang w:eastAsia="el-GR"/>
              </w:rPr>
            </w:pPr>
            <w:r w:rsidRPr="002B537F">
              <w:rPr>
                <w:rFonts w:ascii="Arial" w:hAnsi="Arial" w:cs="Arial"/>
                <w:color w:val="000000"/>
                <w:sz w:val="24"/>
                <w:szCs w:val="24"/>
                <w:lang w:eastAsia="el-GR"/>
              </w:rPr>
              <w:t>7,09%</w:t>
            </w:r>
          </w:p>
        </w:tc>
        <w:tc>
          <w:tcPr>
            <w:tcW w:w="1138" w:type="dxa"/>
            <w:noWrap/>
            <w:hideMark/>
          </w:tcPr>
          <w:p w:rsidR="002B537F" w:rsidRPr="002B537F" w:rsidRDefault="002B537F" w:rsidP="002B537F">
            <w:pPr>
              <w:spacing w:after="120"/>
              <w:jc w:val="both"/>
              <w:cnfStyle w:val="000000100000"/>
              <w:rPr>
                <w:rFonts w:ascii="Arial" w:hAnsi="Arial" w:cs="Arial"/>
                <w:color w:val="000000"/>
                <w:sz w:val="24"/>
                <w:szCs w:val="24"/>
                <w:lang w:eastAsia="el-GR"/>
              </w:rPr>
            </w:pPr>
            <w:r w:rsidRPr="002B537F">
              <w:rPr>
                <w:rFonts w:ascii="Arial" w:hAnsi="Arial" w:cs="Arial"/>
                <w:color w:val="000000"/>
                <w:sz w:val="24"/>
                <w:szCs w:val="24"/>
                <w:lang w:eastAsia="el-GR"/>
              </w:rPr>
              <w:t>6,72%</w:t>
            </w:r>
          </w:p>
        </w:tc>
        <w:tc>
          <w:tcPr>
            <w:tcW w:w="1138" w:type="dxa"/>
            <w:noWrap/>
            <w:hideMark/>
          </w:tcPr>
          <w:p w:rsidR="002B537F" w:rsidRPr="002B537F" w:rsidRDefault="002B537F" w:rsidP="002B537F">
            <w:pPr>
              <w:spacing w:after="120"/>
              <w:jc w:val="both"/>
              <w:cnfStyle w:val="000000100000"/>
              <w:rPr>
                <w:rFonts w:ascii="Arial" w:hAnsi="Arial" w:cs="Arial"/>
                <w:color w:val="000000"/>
                <w:sz w:val="24"/>
                <w:szCs w:val="24"/>
                <w:lang w:eastAsia="el-GR"/>
              </w:rPr>
            </w:pPr>
            <w:r w:rsidRPr="002B537F">
              <w:rPr>
                <w:rFonts w:ascii="Arial" w:hAnsi="Arial" w:cs="Arial"/>
                <w:color w:val="000000"/>
                <w:sz w:val="24"/>
                <w:szCs w:val="24"/>
                <w:lang w:eastAsia="el-GR"/>
              </w:rPr>
              <w:t>6,31%</w:t>
            </w:r>
          </w:p>
        </w:tc>
        <w:tc>
          <w:tcPr>
            <w:tcW w:w="1601" w:type="dxa"/>
          </w:tcPr>
          <w:p w:rsidR="002B537F" w:rsidRPr="002B537F" w:rsidRDefault="002B537F" w:rsidP="002B537F">
            <w:pPr>
              <w:spacing w:after="120"/>
              <w:jc w:val="both"/>
              <w:cnfStyle w:val="000000100000"/>
              <w:rPr>
                <w:rFonts w:ascii="Arial" w:hAnsi="Arial" w:cs="Arial"/>
                <w:sz w:val="24"/>
                <w:szCs w:val="24"/>
                <w:lang w:eastAsia="el-GR"/>
              </w:rPr>
            </w:pPr>
            <w:r w:rsidRPr="002B537F">
              <w:rPr>
                <w:rFonts w:ascii="Arial" w:hAnsi="Arial" w:cs="Arial"/>
                <w:sz w:val="24"/>
                <w:szCs w:val="24"/>
                <w:lang w:eastAsia="el-GR"/>
              </w:rPr>
              <w:t>12%</w:t>
            </w:r>
          </w:p>
        </w:tc>
      </w:tr>
      <w:tr w:rsidR="002B537F" w:rsidRPr="002B537F" w:rsidTr="002B537F">
        <w:trPr>
          <w:cnfStyle w:val="000000010000"/>
          <w:trHeight w:val="370"/>
          <w:jc w:val="center"/>
        </w:trPr>
        <w:tc>
          <w:tcPr>
            <w:cnfStyle w:val="001000000000"/>
            <w:tcW w:w="5855" w:type="dxa"/>
            <w:noWrap/>
            <w:hideMark/>
          </w:tcPr>
          <w:p w:rsidR="002B537F" w:rsidRPr="002B537F" w:rsidRDefault="002B537F" w:rsidP="002B537F">
            <w:pPr>
              <w:spacing w:after="120"/>
              <w:jc w:val="both"/>
              <w:rPr>
                <w:rFonts w:ascii="Arial" w:hAnsi="Arial" w:cs="Arial"/>
                <w:b w:val="0"/>
                <w:bCs w:val="0"/>
                <w:color w:val="000000"/>
                <w:sz w:val="24"/>
                <w:szCs w:val="24"/>
                <w:lang w:eastAsia="el-GR"/>
              </w:rPr>
            </w:pPr>
            <w:r w:rsidRPr="002B537F">
              <w:rPr>
                <w:rFonts w:ascii="Arial" w:hAnsi="Arial" w:cs="Arial"/>
                <w:b w:val="0"/>
                <w:bCs w:val="0"/>
                <w:color w:val="000000"/>
                <w:sz w:val="24"/>
                <w:szCs w:val="24"/>
                <w:lang w:eastAsia="el-GR"/>
              </w:rPr>
              <w:t>ΦΕΦΝΠ</w:t>
            </w:r>
          </w:p>
        </w:tc>
        <w:tc>
          <w:tcPr>
            <w:tcW w:w="1138" w:type="dxa"/>
            <w:noWrap/>
            <w:hideMark/>
          </w:tcPr>
          <w:p w:rsidR="002B537F" w:rsidRPr="002B537F" w:rsidRDefault="002B537F" w:rsidP="002B537F">
            <w:pPr>
              <w:spacing w:after="120"/>
              <w:jc w:val="both"/>
              <w:cnfStyle w:val="000000010000"/>
              <w:rPr>
                <w:rFonts w:ascii="Arial" w:hAnsi="Arial" w:cs="Arial"/>
                <w:color w:val="000000"/>
                <w:sz w:val="24"/>
                <w:szCs w:val="24"/>
                <w:lang w:eastAsia="el-GR"/>
              </w:rPr>
            </w:pPr>
            <w:r w:rsidRPr="002B537F">
              <w:rPr>
                <w:rFonts w:ascii="Arial" w:hAnsi="Arial" w:cs="Arial"/>
                <w:color w:val="000000"/>
                <w:sz w:val="24"/>
                <w:szCs w:val="24"/>
                <w:lang w:eastAsia="el-GR"/>
              </w:rPr>
              <w:t>6,68%</w:t>
            </w:r>
          </w:p>
        </w:tc>
        <w:tc>
          <w:tcPr>
            <w:tcW w:w="1221" w:type="dxa"/>
            <w:noWrap/>
            <w:hideMark/>
          </w:tcPr>
          <w:p w:rsidR="002B537F" w:rsidRPr="002B537F" w:rsidRDefault="002B537F" w:rsidP="002B537F">
            <w:pPr>
              <w:spacing w:after="120"/>
              <w:jc w:val="both"/>
              <w:cnfStyle w:val="000000010000"/>
              <w:rPr>
                <w:rFonts w:ascii="Arial" w:hAnsi="Arial" w:cs="Arial"/>
                <w:color w:val="000000"/>
                <w:sz w:val="24"/>
                <w:szCs w:val="24"/>
                <w:lang w:eastAsia="el-GR"/>
              </w:rPr>
            </w:pPr>
            <w:r w:rsidRPr="002B537F">
              <w:rPr>
                <w:rFonts w:ascii="Arial" w:hAnsi="Arial" w:cs="Arial"/>
                <w:color w:val="000000"/>
                <w:sz w:val="24"/>
                <w:szCs w:val="24"/>
                <w:lang w:eastAsia="el-GR"/>
              </w:rPr>
              <w:t>10,32%</w:t>
            </w:r>
          </w:p>
        </w:tc>
        <w:tc>
          <w:tcPr>
            <w:tcW w:w="1138" w:type="dxa"/>
            <w:noWrap/>
            <w:hideMark/>
          </w:tcPr>
          <w:p w:rsidR="002B537F" w:rsidRPr="002B537F" w:rsidRDefault="002B537F" w:rsidP="002B537F">
            <w:pPr>
              <w:spacing w:after="120"/>
              <w:jc w:val="both"/>
              <w:cnfStyle w:val="000000010000"/>
              <w:rPr>
                <w:rFonts w:ascii="Arial" w:hAnsi="Arial" w:cs="Arial"/>
                <w:color w:val="000000"/>
                <w:sz w:val="24"/>
                <w:szCs w:val="24"/>
                <w:lang w:eastAsia="el-GR"/>
              </w:rPr>
            </w:pPr>
            <w:r w:rsidRPr="002B537F">
              <w:rPr>
                <w:rFonts w:ascii="Arial" w:hAnsi="Arial" w:cs="Arial"/>
                <w:color w:val="000000"/>
                <w:sz w:val="24"/>
                <w:szCs w:val="24"/>
                <w:lang w:eastAsia="el-GR"/>
              </w:rPr>
              <w:t>9,67%</w:t>
            </w:r>
          </w:p>
        </w:tc>
        <w:tc>
          <w:tcPr>
            <w:tcW w:w="1138" w:type="dxa"/>
            <w:noWrap/>
            <w:hideMark/>
          </w:tcPr>
          <w:p w:rsidR="002B537F" w:rsidRPr="002B537F" w:rsidRDefault="002B537F" w:rsidP="002B537F">
            <w:pPr>
              <w:spacing w:after="120"/>
              <w:jc w:val="both"/>
              <w:cnfStyle w:val="000000010000"/>
              <w:rPr>
                <w:rFonts w:ascii="Arial" w:hAnsi="Arial" w:cs="Arial"/>
                <w:color w:val="000000"/>
                <w:sz w:val="24"/>
                <w:szCs w:val="24"/>
                <w:lang w:eastAsia="el-GR"/>
              </w:rPr>
            </w:pPr>
            <w:r w:rsidRPr="002B537F">
              <w:rPr>
                <w:rFonts w:ascii="Arial" w:hAnsi="Arial" w:cs="Arial"/>
                <w:color w:val="000000"/>
                <w:sz w:val="24"/>
                <w:szCs w:val="24"/>
                <w:lang w:eastAsia="el-GR"/>
              </w:rPr>
              <w:t>8,60%</w:t>
            </w:r>
          </w:p>
        </w:tc>
        <w:tc>
          <w:tcPr>
            <w:tcW w:w="1601" w:type="dxa"/>
          </w:tcPr>
          <w:p w:rsidR="002B537F" w:rsidRPr="002B537F" w:rsidRDefault="002B537F" w:rsidP="002B537F">
            <w:pPr>
              <w:spacing w:after="120"/>
              <w:jc w:val="both"/>
              <w:cnfStyle w:val="000000010000"/>
              <w:rPr>
                <w:rFonts w:ascii="Arial" w:hAnsi="Arial" w:cs="Arial"/>
                <w:sz w:val="24"/>
                <w:szCs w:val="24"/>
                <w:lang w:eastAsia="el-GR"/>
              </w:rPr>
            </w:pPr>
            <w:r w:rsidRPr="002B537F">
              <w:rPr>
                <w:rFonts w:ascii="Arial" w:hAnsi="Arial" w:cs="Arial"/>
                <w:sz w:val="24"/>
                <w:szCs w:val="24"/>
                <w:lang w:eastAsia="el-GR"/>
              </w:rPr>
              <w:t>21,30%</w:t>
            </w:r>
          </w:p>
        </w:tc>
      </w:tr>
      <w:tr w:rsidR="002B537F" w:rsidRPr="002B537F" w:rsidTr="002B537F">
        <w:trPr>
          <w:cnfStyle w:val="000000100000"/>
          <w:trHeight w:val="370"/>
          <w:jc w:val="center"/>
        </w:trPr>
        <w:tc>
          <w:tcPr>
            <w:cnfStyle w:val="001000000000"/>
            <w:tcW w:w="5855" w:type="dxa"/>
            <w:noWrap/>
            <w:hideMark/>
          </w:tcPr>
          <w:p w:rsidR="002B537F" w:rsidRPr="002B537F" w:rsidRDefault="002B537F" w:rsidP="002B537F">
            <w:pPr>
              <w:spacing w:after="120"/>
              <w:jc w:val="both"/>
              <w:rPr>
                <w:rFonts w:ascii="Arial" w:hAnsi="Arial" w:cs="Arial"/>
                <w:b w:val="0"/>
                <w:bCs w:val="0"/>
                <w:color w:val="000000"/>
                <w:sz w:val="24"/>
                <w:szCs w:val="24"/>
                <w:lang w:eastAsia="el-GR"/>
              </w:rPr>
            </w:pPr>
            <w:r w:rsidRPr="002B537F">
              <w:rPr>
                <w:rFonts w:ascii="Arial" w:hAnsi="Arial" w:cs="Arial"/>
                <w:b w:val="0"/>
                <w:bCs w:val="0"/>
                <w:color w:val="000000"/>
                <w:sz w:val="24"/>
                <w:szCs w:val="24"/>
                <w:lang w:eastAsia="el-GR"/>
              </w:rPr>
              <w:t>ΕΝΦΙΑ/ΦΑΠ*</w:t>
            </w:r>
          </w:p>
        </w:tc>
        <w:tc>
          <w:tcPr>
            <w:tcW w:w="1138" w:type="dxa"/>
            <w:noWrap/>
            <w:hideMark/>
          </w:tcPr>
          <w:p w:rsidR="002B537F" w:rsidRPr="002B537F" w:rsidRDefault="002B537F" w:rsidP="002B537F">
            <w:pPr>
              <w:spacing w:after="120"/>
              <w:jc w:val="both"/>
              <w:cnfStyle w:val="000000100000"/>
              <w:rPr>
                <w:rFonts w:ascii="Arial" w:hAnsi="Arial" w:cs="Arial"/>
                <w:color w:val="000000"/>
                <w:sz w:val="24"/>
                <w:szCs w:val="24"/>
                <w:lang w:eastAsia="el-GR"/>
              </w:rPr>
            </w:pPr>
            <w:r w:rsidRPr="002B537F">
              <w:rPr>
                <w:rFonts w:ascii="Arial" w:hAnsi="Arial" w:cs="Arial"/>
                <w:color w:val="000000"/>
                <w:sz w:val="24"/>
                <w:szCs w:val="24"/>
                <w:lang w:eastAsia="el-GR"/>
              </w:rPr>
              <w:t>4,69%</w:t>
            </w:r>
          </w:p>
        </w:tc>
        <w:tc>
          <w:tcPr>
            <w:tcW w:w="1221" w:type="dxa"/>
            <w:noWrap/>
            <w:hideMark/>
          </w:tcPr>
          <w:p w:rsidR="002B537F" w:rsidRPr="002B537F" w:rsidRDefault="002B537F" w:rsidP="002B537F">
            <w:pPr>
              <w:spacing w:after="120"/>
              <w:jc w:val="both"/>
              <w:cnfStyle w:val="000000100000"/>
              <w:rPr>
                <w:rFonts w:ascii="Arial" w:hAnsi="Arial" w:cs="Arial"/>
                <w:color w:val="000000"/>
                <w:sz w:val="24"/>
                <w:szCs w:val="24"/>
                <w:lang w:eastAsia="el-GR"/>
              </w:rPr>
            </w:pPr>
            <w:r w:rsidRPr="002B537F">
              <w:rPr>
                <w:rFonts w:ascii="Arial" w:hAnsi="Arial" w:cs="Arial"/>
                <w:color w:val="000000"/>
                <w:sz w:val="24"/>
                <w:szCs w:val="24"/>
                <w:lang w:eastAsia="el-GR"/>
              </w:rPr>
              <w:t>7,65%</w:t>
            </w:r>
          </w:p>
        </w:tc>
        <w:tc>
          <w:tcPr>
            <w:tcW w:w="1138" w:type="dxa"/>
            <w:noWrap/>
            <w:hideMark/>
          </w:tcPr>
          <w:p w:rsidR="002B537F" w:rsidRPr="002B537F" w:rsidRDefault="002B537F" w:rsidP="002B537F">
            <w:pPr>
              <w:spacing w:after="120"/>
              <w:jc w:val="both"/>
              <w:cnfStyle w:val="000000100000"/>
              <w:rPr>
                <w:rFonts w:ascii="Arial" w:hAnsi="Arial" w:cs="Arial"/>
                <w:color w:val="000000"/>
                <w:sz w:val="24"/>
                <w:szCs w:val="24"/>
                <w:lang w:eastAsia="el-GR"/>
              </w:rPr>
            </w:pPr>
            <w:r w:rsidRPr="002B537F">
              <w:rPr>
                <w:rFonts w:ascii="Arial" w:hAnsi="Arial" w:cs="Arial"/>
                <w:color w:val="000000"/>
                <w:sz w:val="24"/>
                <w:szCs w:val="24"/>
                <w:lang w:eastAsia="el-GR"/>
              </w:rPr>
              <w:t>4,48%</w:t>
            </w:r>
          </w:p>
        </w:tc>
        <w:tc>
          <w:tcPr>
            <w:tcW w:w="1138" w:type="dxa"/>
            <w:noWrap/>
            <w:hideMark/>
          </w:tcPr>
          <w:p w:rsidR="002B537F" w:rsidRPr="002B537F" w:rsidRDefault="002B537F" w:rsidP="002B537F">
            <w:pPr>
              <w:spacing w:after="120"/>
              <w:jc w:val="both"/>
              <w:cnfStyle w:val="000000100000"/>
              <w:rPr>
                <w:rFonts w:ascii="Arial" w:hAnsi="Arial" w:cs="Arial"/>
                <w:color w:val="000000"/>
                <w:sz w:val="24"/>
                <w:szCs w:val="24"/>
                <w:lang w:eastAsia="el-GR"/>
              </w:rPr>
            </w:pPr>
            <w:r w:rsidRPr="002B537F">
              <w:rPr>
                <w:rFonts w:ascii="Arial" w:hAnsi="Arial" w:cs="Arial"/>
                <w:color w:val="000000"/>
                <w:sz w:val="24"/>
                <w:szCs w:val="24"/>
                <w:lang w:eastAsia="el-GR"/>
              </w:rPr>
              <w:t>4,67%</w:t>
            </w:r>
          </w:p>
        </w:tc>
        <w:tc>
          <w:tcPr>
            <w:tcW w:w="1601" w:type="dxa"/>
          </w:tcPr>
          <w:p w:rsidR="002B537F" w:rsidRPr="002B537F" w:rsidRDefault="002B537F" w:rsidP="002B537F">
            <w:pPr>
              <w:spacing w:after="120"/>
              <w:jc w:val="both"/>
              <w:cnfStyle w:val="000000100000"/>
              <w:rPr>
                <w:rFonts w:ascii="Arial" w:hAnsi="Arial" w:cs="Arial"/>
                <w:sz w:val="24"/>
                <w:szCs w:val="24"/>
                <w:lang w:eastAsia="el-GR"/>
              </w:rPr>
            </w:pPr>
            <w:r w:rsidRPr="002B537F">
              <w:rPr>
                <w:rFonts w:ascii="Arial" w:hAnsi="Arial" w:cs="Arial"/>
                <w:sz w:val="24"/>
                <w:szCs w:val="24"/>
                <w:lang w:eastAsia="el-GR"/>
              </w:rPr>
              <w:t>11,30%</w:t>
            </w:r>
          </w:p>
        </w:tc>
      </w:tr>
    </w:tbl>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*Σύμφωνα με το Ν. 3852/2010 το ποσοστό συμμετοχής των δήμων στα έσοδα του ΦΑΠ ήταν 50%</w:t>
      </w:r>
    </w:p>
    <w:p w:rsidR="002B537F" w:rsidRDefault="002B537F" w:rsidP="002B537F">
      <w:pPr>
        <w:spacing w:after="120"/>
        <w:ind w:left="-284" w:right="-567"/>
        <w:jc w:val="both"/>
        <w:rPr>
          <w:rFonts w:ascii="Arial" w:hAnsi="Arial" w:cs="Arial"/>
          <w:sz w:val="24"/>
          <w:szCs w:val="24"/>
          <w:lang w:val="en-US"/>
        </w:rPr>
      </w:pPr>
    </w:p>
    <w:p w:rsidR="002B537F" w:rsidRPr="002B537F" w:rsidRDefault="002B537F" w:rsidP="002B537F">
      <w:pPr>
        <w:spacing w:after="120"/>
        <w:ind w:left="-284" w:right="-567"/>
        <w:jc w:val="both"/>
        <w:rPr>
          <w:rFonts w:ascii="Arial" w:hAnsi="Arial" w:cs="Arial"/>
          <w:sz w:val="24"/>
          <w:szCs w:val="24"/>
        </w:rPr>
      </w:pPr>
      <w:r w:rsidRPr="002B537F">
        <w:rPr>
          <w:rFonts w:ascii="Arial" w:hAnsi="Arial" w:cs="Arial"/>
          <w:sz w:val="24"/>
          <w:szCs w:val="24"/>
        </w:rPr>
        <w:t xml:space="preserve">Παρατηρείται ότι η πτωτική τάση δεν εντοπίζεται μόνο σε απόλυτες τιμές αλλά και ποσοστιαία. Η απόκλιση μάλιστα των ποσοστών επί των φορολογικών εσόδων που κατανέμονται, με τα ποσοστά που προβλέπει ο νόμος ξεπερνάει το 50%. </w:t>
      </w:r>
    </w:p>
    <w:p w:rsidR="002B537F" w:rsidRPr="002B537F" w:rsidRDefault="002B537F" w:rsidP="002B537F">
      <w:pPr>
        <w:spacing w:after="120"/>
        <w:ind w:left="-284" w:right="-567"/>
        <w:jc w:val="both"/>
        <w:rPr>
          <w:rFonts w:ascii="Arial" w:hAnsi="Arial" w:cs="Arial"/>
          <w:b/>
          <w:sz w:val="24"/>
          <w:szCs w:val="24"/>
        </w:rPr>
      </w:pPr>
      <w:r w:rsidRPr="002B537F">
        <w:rPr>
          <w:rFonts w:ascii="Arial" w:hAnsi="Arial" w:cs="Arial"/>
          <w:b/>
          <w:sz w:val="24"/>
          <w:szCs w:val="24"/>
        </w:rPr>
        <w:t xml:space="preserve">Η πρωτοβάθμια Τοπική Αυτοδιοίκηση δεν διεκδικεί τίποτα περισσότερο από την εφαρμογή του Συντάγματος και των νόμων του κράτους. </w:t>
      </w: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sectPr w:rsidR="002B537F" w:rsidRPr="002B537F" w:rsidSect="00B5191E">
          <w:pgSz w:w="16838" w:h="11906" w:orient="landscape"/>
          <w:pgMar w:top="1797" w:right="1440" w:bottom="1797" w:left="1440" w:header="709" w:footer="709" w:gutter="0"/>
          <w:cols w:space="708"/>
          <w:docGrid w:linePitch="360"/>
        </w:sectPr>
      </w:pPr>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Όπως τονίστηκε και στην αρχή της εισήγησης, η Τοπική Αυτοδιοίκηση καλείται στις σημερινές συνθήκες να επιβεβαιώσει τον ιστορικό της ρόλο τόσο στον αναπτυξιακό τομέα και στην επανεκκίνηση της οικονομίας όσο στην αντιμετώπιση της ανθρωπιστικής και κοινωνικής κρίσης. Για το λόγο αυτό προτείνουμε η οικονομική στρατηγική των δήμων, στο επόμενο τακτικό συνέδριο μας, να στηριχθεί σε τέσσερεις πυλώνες:</w:t>
      </w:r>
    </w:p>
    <w:p w:rsidR="002B537F" w:rsidRPr="002B537F" w:rsidRDefault="002B537F" w:rsidP="002B537F">
      <w:pPr>
        <w:pStyle w:val="a3"/>
        <w:numPr>
          <w:ilvl w:val="0"/>
          <w:numId w:val="3"/>
        </w:numPr>
        <w:spacing w:after="120"/>
        <w:jc w:val="both"/>
        <w:rPr>
          <w:rFonts w:ascii="Arial" w:hAnsi="Arial" w:cs="Arial"/>
          <w:sz w:val="24"/>
          <w:szCs w:val="24"/>
        </w:rPr>
      </w:pPr>
      <w:r w:rsidRPr="002B537F">
        <w:rPr>
          <w:rFonts w:ascii="Arial" w:hAnsi="Arial" w:cs="Arial"/>
          <w:sz w:val="24"/>
          <w:szCs w:val="24"/>
        </w:rPr>
        <w:t>Δημοσιονομική αποκέντρωση</w:t>
      </w:r>
    </w:p>
    <w:p w:rsidR="002B537F" w:rsidRPr="002B537F" w:rsidRDefault="002B537F" w:rsidP="002B537F">
      <w:pPr>
        <w:pStyle w:val="a3"/>
        <w:numPr>
          <w:ilvl w:val="0"/>
          <w:numId w:val="3"/>
        </w:numPr>
        <w:spacing w:after="120"/>
        <w:jc w:val="both"/>
        <w:rPr>
          <w:rFonts w:ascii="Arial" w:hAnsi="Arial" w:cs="Arial"/>
          <w:sz w:val="24"/>
          <w:szCs w:val="24"/>
        </w:rPr>
      </w:pPr>
      <w:r w:rsidRPr="002B537F">
        <w:rPr>
          <w:rFonts w:ascii="Arial" w:hAnsi="Arial" w:cs="Arial"/>
          <w:sz w:val="24"/>
          <w:szCs w:val="24"/>
        </w:rPr>
        <w:t>Αναπτυξιακές πρωτοβουλίες</w:t>
      </w:r>
    </w:p>
    <w:p w:rsidR="002B537F" w:rsidRPr="002B537F" w:rsidRDefault="002B537F" w:rsidP="002B537F">
      <w:pPr>
        <w:pStyle w:val="a3"/>
        <w:numPr>
          <w:ilvl w:val="0"/>
          <w:numId w:val="3"/>
        </w:numPr>
        <w:spacing w:after="120"/>
        <w:jc w:val="both"/>
        <w:rPr>
          <w:rFonts w:ascii="Arial" w:hAnsi="Arial" w:cs="Arial"/>
          <w:sz w:val="24"/>
          <w:szCs w:val="24"/>
        </w:rPr>
      </w:pPr>
      <w:r w:rsidRPr="002B537F">
        <w:rPr>
          <w:rFonts w:ascii="Arial" w:hAnsi="Arial" w:cs="Arial"/>
          <w:sz w:val="24"/>
          <w:szCs w:val="24"/>
        </w:rPr>
        <w:t xml:space="preserve">Συνέχιση της προσπάθειας ορθολογικής κατανομής των Κεντρικών Αυτοτελών Πόρων </w:t>
      </w:r>
    </w:p>
    <w:p w:rsidR="002B537F" w:rsidRPr="002B537F" w:rsidRDefault="002B537F" w:rsidP="002B537F">
      <w:pPr>
        <w:pStyle w:val="a3"/>
        <w:numPr>
          <w:ilvl w:val="0"/>
          <w:numId w:val="3"/>
        </w:numPr>
        <w:spacing w:after="120"/>
        <w:jc w:val="both"/>
        <w:rPr>
          <w:rFonts w:ascii="Arial" w:hAnsi="Arial" w:cs="Arial"/>
          <w:sz w:val="24"/>
          <w:szCs w:val="24"/>
        </w:rPr>
      </w:pPr>
      <w:r w:rsidRPr="002B537F">
        <w:rPr>
          <w:rFonts w:ascii="Arial" w:hAnsi="Arial" w:cs="Arial"/>
          <w:sz w:val="24"/>
          <w:szCs w:val="24"/>
        </w:rPr>
        <w:t>Επίλυση τρεχόντων προβλημάτων των δήμων</w:t>
      </w:r>
    </w:p>
    <w:p w:rsidR="002B537F" w:rsidRPr="002B537F" w:rsidRDefault="002B537F" w:rsidP="002B537F">
      <w:pPr>
        <w:spacing w:after="120"/>
        <w:jc w:val="both"/>
        <w:rPr>
          <w:rFonts w:ascii="Arial" w:hAnsi="Arial" w:cs="Arial"/>
          <w:sz w:val="24"/>
          <w:szCs w:val="24"/>
        </w:rPr>
      </w:pPr>
    </w:p>
    <w:p w:rsidR="002B537F" w:rsidRPr="002B537F" w:rsidRDefault="002B537F" w:rsidP="002B537F">
      <w:pPr>
        <w:pStyle w:val="a3"/>
        <w:numPr>
          <w:ilvl w:val="0"/>
          <w:numId w:val="5"/>
        </w:numPr>
        <w:spacing w:after="120"/>
        <w:ind w:left="0" w:firstLine="0"/>
        <w:jc w:val="both"/>
        <w:rPr>
          <w:rFonts w:ascii="Arial" w:hAnsi="Arial" w:cs="Arial"/>
          <w:b/>
          <w:sz w:val="24"/>
          <w:szCs w:val="24"/>
        </w:rPr>
      </w:pPr>
      <w:r w:rsidRPr="002B537F">
        <w:rPr>
          <w:rFonts w:ascii="Arial" w:hAnsi="Arial" w:cs="Arial"/>
          <w:b/>
          <w:sz w:val="24"/>
          <w:szCs w:val="24"/>
        </w:rPr>
        <w:t>Δημοσιονομική αποκέντρωση</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Η σύγχρονη κρίση ανέδειξε όλες τις αδυναμίες και τα προβλήματα του κεντρικού κράτους. Πάνω από όλα όμως ανέδειξε την προγραμματική του αναξιοπιστία και την αδυναμία του να τηρήσει όχι μόνο τους προϋπολογισμούς του αλλά και τους ίδιους τους νόμους που αυτό ψηφίζει. Πρώτο θύμα της αναξιοπιστίας της κεντρικής κυβέρνησης αποτελούν διαχρονικά οι δήμοι. </w:t>
      </w:r>
    </w:p>
    <w:p w:rsidR="002B537F" w:rsidRPr="002B537F" w:rsidRDefault="002B537F" w:rsidP="002B537F">
      <w:pPr>
        <w:spacing w:after="120"/>
        <w:jc w:val="both"/>
        <w:rPr>
          <w:rFonts w:ascii="Arial" w:hAnsi="Arial" w:cs="Arial"/>
          <w:bCs/>
          <w:sz w:val="24"/>
          <w:szCs w:val="24"/>
        </w:rPr>
      </w:pPr>
      <w:r w:rsidRPr="002B537F">
        <w:rPr>
          <w:rFonts w:ascii="Arial" w:hAnsi="Arial" w:cs="Arial"/>
          <w:sz w:val="24"/>
          <w:szCs w:val="24"/>
        </w:rPr>
        <w:t xml:space="preserve">Η Ελλάδα παραμένει το πιο συγκεντρωτικό κράτος της Ε.Ε τόσο από την άποψη των εσόδων- δαπανών, όσο και των αρμοδιοτήτων. </w:t>
      </w:r>
      <w:r w:rsidRPr="002B537F">
        <w:rPr>
          <w:rFonts w:ascii="Arial" w:hAnsi="Arial" w:cs="Arial"/>
          <w:bCs/>
          <w:sz w:val="24"/>
          <w:szCs w:val="24"/>
        </w:rPr>
        <w:t xml:space="preserve">Για να μπορέσει η χώρα μας να επανακάμψει σε βιώσιμη αναπτυξιακή τροχιά και να συγκλίνει με το ευρωπαϊκό κεκτημένο πρέπει η συμμετοχή της Τ.Α. να ανέλθει, τα επόμενα έτη, τουλάχιστον στο 8% του ΑΕΠ της χώρας.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Χαρακτηριστικό όμως της μεγάλης εξάρτησης της Ελληνικής Τοπικής Αυτοδιοίκησης από το κεντρικό κράτος είναι η περιορισμένη της φορολογική ελευθερία. Η δημοσιονομική αποκέντρωση συνδέεται άμεσα με τις προσπάθειες εκσυγχρονισμού του δημοσιονομικού συστήματος αλλά και των αναπτυξιακών προοπτικών της χώρας. Για το λόγο αυτό και κάτω από την πίεση της οικονομικής συγκυρίας τα τελευταία χρόνια θεσμοθετήθηκαν σε όλες σχεδόν τις χώρες της Ε.Ε φορολογικές μεταρρυθμίσεις που είχαν άμεση σχέση και επηρέαζαν τη δημοσιονομική αποκέντρωση.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Η δημοσιονομική αποκέντρωση που αποτελεί, από το συνέδριο της ΚΕΔΚΕ στη Ρόδο (2005), στρατηγικό στόχο της ΤΑ, στις σημερινές κρίσιμες συνθήκες λαμβάνει αναπτυξιακά χαρακτηριστικά αλλά και προοπτικές βιωσιμότητας του κοινωνικού κράτους και της ΤΑ.  </w:t>
      </w:r>
    </w:p>
    <w:p w:rsidR="002B537F" w:rsidRPr="002B537F" w:rsidRDefault="002B537F" w:rsidP="002B537F">
      <w:pPr>
        <w:pStyle w:val="a6"/>
        <w:spacing w:line="240" w:lineRule="auto"/>
        <w:rPr>
          <w:rFonts w:ascii="Arial" w:hAnsi="Arial" w:cs="Arial"/>
          <w:sz w:val="24"/>
        </w:rPr>
      </w:pPr>
      <w:r w:rsidRPr="002B537F">
        <w:rPr>
          <w:rFonts w:ascii="Arial" w:hAnsi="Arial" w:cs="Arial"/>
          <w:sz w:val="24"/>
        </w:rPr>
        <w:t>Οι βασικές αρχές που πρέπει να διέπουν τη δημοσιονομική αποκέντρωση θα πρέπει να περιλαμβάνουν:</w:t>
      </w:r>
    </w:p>
    <w:p w:rsidR="002B537F" w:rsidRPr="002B537F" w:rsidRDefault="002B537F" w:rsidP="002B537F">
      <w:pPr>
        <w:pStyle w:val="a6"/>
        <w:numPr>
          <w:ilvl w:val="0"/>
          <w:numId w:val="4"/>
        </w:numPr>
        <w:spacing w:line="240" w:lineRule="auto"/>
        <w:ind w:left="0"/>
        <w:rPr>
          <w:rFonts w:ascii="Arial" w:hAnsi="Arial" w:cs="Arial"/>
          <w:sz w:val="24"/>
        </w:rPr>
      </w:pPr>
      <w:r w:rsidRPr="002B537F">
        <w:rPr>
          <w:rFonts w:ascii="Arial" w:hAnsi="Arial" w:cs="Arial"/>
          <w:sz w:val="24"/>
        </w:rPr>
        <w:t xml:space="preserve">Μεταφορά φορολογικών πόρων από το κεντρικό κράτος στην Τ.Α και όχι νέα φορολογία </w:t>
      </w:r>
    </w:p>
    <w:p w:rsidR="002B537F" w:rsidRPr="002B537F" w:rsidRDefault="002B537F" w:rsidP="002B537F">
      <w:pPr>
        <w:pStyle w:val="a6"/>
        <w:numPr>
          <w:ilvl w:val="0"/>
          <w:numId w:val="4"/>
        </w:numPr>
        <w:spacing w:line="240" w:lineRule="auto"/>
        <w:ind w:left="0"/>
        <w:rPr>
          <w:rFonts w:ascii="Arial" w:hAnsi="Arial" w:cs="Arial"/>
          <w:sz w:val="24"/>
        </w:rPr>
      </w:pPr>
      <w:r w:rsidRPr="002B537F">
        <w:rPr>
          <w:rFonts w:ascii="Arial" w:hAnsi="Arial" w:cs="Arial"/>
          <w:sz w:val="24"/>
        </w:rPr>
        <w:t>Ιδιαίτερη βαρύτητα στους άμεσους φόρους και λιγότερο στους έμμεσους φόρους.</w:t>
      </w:r>
    </w:p>
    <w:p w:rsidR="002B537F" w:rsidRPr="002B537F" w:rsidRDefault="002B537F" w:rsidP="002B537F">
      <w:pPr>
        <w:pStyle w:val="a6"/>
        <w:numPr>
          <w:ilvl w:val="0"/>
          <w:numId w:val="4"/>
        </w:numPr>
        <w:spacing w:line="240" w:lineRule="auto"/>
        <w:ind w:left="0"/>
        <w:rPr>
          <w:rFonts w:ascii="Arial" w:hAnsi="Arial" w:cs="Arial"/>
          <w:sz w:val="24"/>
        </w:rPr>
      </w:pPr>
      <w:r w:rsidRPr="002B537F">
        <w:rPr>
          <w:rFonts w:ascii="Arial" w:hAnsi="Arial" w:cs="Arial"/>
          <w:sz w:val="24"/>
        </w:rPr>
        <w:lastRenderedPageBreak/>
        <w:t>Οι φόροι που θα μεταφερθούν πρέπει να έχουν τοπικά χαρακτηριστικά έτσι ώστε η αποτελεσματική τους διαχείριση να επιτρέψει μείωση φορολογικών συντελεστών.</w:t>
      </w:r>
    </w:p>
    <w:p w:rsidR="002B537F" w:rsidRPr="002B537F" w:rsidRDefault="002B537F" w:rsidP="002B537F">
      <w:pPr>
        <w:pStyle w:val="a6"/>
        <w:numPr>
          <w:ilvl w:val="0"/>
          <w:numId w:val="4"/>
        </w:numPr>
        <w:spacing w:line="240" w:lineRule="auto"/>
        <w:ind w:left="0"/>
        <w:rPr>
          <w:rFonts w:ascii="Arial" w:hAnsi="Arial" w:cs="Arial"/>
          <w:sz w:val="24"/>
        </w:rPr>
      </w:pPr>
      <w:r w:rsidRPr="002B537F">
        <w:rPr>
          <w:rFonts w:ascii="Arial" w:hAnsi="Arial" w:cs="Arial"/>
          <w:sz w:val="24"/>
        </w:rPr>
        <w:t xml:space="preserve">Η δημιουργία του νέου φορολογικού συστήματος της Τ.Α δεν θα πρέπει να επιβαρύνει το κόστος συμμόρφωσης του πολίτη. </w:t>
      </w:r>
    </w:p>
    <w:p w:rsidR="002B537F" w:rsidRPr="002B537F" w:rsidRDefault="002B537F" w:rsidP="002B537F">
      <w:pPr>
        <w:pStyle w:val="a6"/>
        <w:numPr>
          <w:ilvl w:val="0"/>
          <w:numId w:val="4"/>
        </w:numPr>
        <w:spacing w:line="240" w:lineRule="auto"/>
        <w:ind w:left="0"/>
        <w:rPr>
          <w:rFonts w:ascii="Arial" w:hAnsi="Arial" w:cs="Arial"/>
          <w:sz w:val="24"/>
        </w:rPr>
      </w:pPr>
      <w:r w:rsidRPr="002B537F">
        <w:rPr>
          <w:rFonts w:ascii="Arial" w:hAnsi="Arial" w:cs="Arial"/>
          <w:sz w:val="24"/>
        </w:rPr>
        <w:t>Το υπάρχον φορολογικό σύστημα της Τ.Α πρέπει να απλοποιηθεί και να γίνει περισσότερο αποτελεσματικό</w:t>
      </w:r>
    </w:p>
    <w:p w:rsidR="002B537F" w:rsidRPr="002B537F" w:rsidRDefault="002B537F" w:rsidP="002B537F">
      <w:pPr>
        <w:pStyle w:val="a6"/>
        <w:numPr>
          <w:ilvl w:val="0"/>
          <w:numId w:val="4"/>
        </w:numPr>
        <w:spacing w:line="240" w:lineRule="auto"/>
        <w:ind w:left="0"/>
        <w:rPr>
          <w:rFonts w:ascii="Arial" w:hAnsi="Arial" w:cs="Arial"/>
          <w:sz w:val="24"/>
        </w:rPr>
      </w:pPr>
      <w:r w:rsidRPr="002B537F">
        <w:rPr>
          <w:rFonts w:ascii="Arial" w:hAnsi="Arial" w:cs="Arial"/>
          <w:sz w:val="24"/>
        </w:rPr>
        <w:t xml:space="preserve">Οι μεταφερθέντες φόροι θα πρέπει να παρέχουν επέκταση της φορολογικής ελευθερίας των Ο.Τ.Α  </w:t>
      </w:r>
    </w:p>
    <w:p w:rsidR="002B537F" w:rsidRPr="002B537F" w:rsidRDefault="002B537F" w:rsidP="002B537F">
      <w:pPr>
        <w:pStyle w:val="a6"/>
        <w:spacing w:line="240" w:lineRule="auto"/>
        <w:rPr>
          <w:rFonts w:ascii="Arial" w:hAnsi="Arial" w:cs="Arial"/>
          <w:sz w:val="24"/>
        </w:rPr>
      </w:pPr>
      <w:r w:rsidRPr="002B537F">
        <w:rPr>
          <w:rFonts w:ascii="Arial" w:hAnsi="Arial" w:cs="Arial"/>
          <w:sz w:val="24"/>
        </w:rPr>
        <w:t xml:space="preserve">Σε αυτές τις βασικές αρχές θα πρέπει να προστεθεί: </w:t>
      </w:r>
    </w:p>
    <w:p w:rsidR="002B537F" w:rsidRPr="002B537F" w:rsidRDefault="002B537F" w:rsidP="002B537F">
      <w:pPr>
        <w:pStyle w:val="a6"/>
        <w:spacing w:line="240" w:lineRule="auto"/>
        <w:rPr>
          <w:rFonts w:ascii="Arial" w:hAnsi="Arial" w:cs="Arial"/>
          <w:sz w:val="24"/>
        </w:rPr>
      </w:pPr>
      <w:r w:rsidRPr="002B537F">
        <w:rPr>
          <w:rFonts w:ascii="Arial" w:hAnsi="Arial" w:cs="Arial"/>
          <w:sz w:val="24"/>
        </w:rPr>
        <w:t xml:space="preserve">α) Να καλύπτουν τις βασικές αρχές της φορολογικής δικαιοσύνης και ιδιαίτερα της γεωγραφικής διάστασης της. Δηλαδή δύο πολίτες με τα ίδια εισοδήματα που πληρώνουν ίδιους φόρους, δεν πρέπει να απολαμβάνουν διαφορετικής ποιότητας και ποσότητας Τοπικά Δημόσια Αγαθά και Υπηρεσίες γιατί κατοικούν ή εργάζονται σε διαφορετικά σημεία της επικράτειας (πχ ο ένας σε μικρό νησί και ο άλλος σε κάποιο πολεοδομικό συγκρότημα). </w:t>
      </w:r>
    </w:p>
    <w:p w:rsidR="002B537F" w:rsidRPr="002B537F" w:rsidRDefault="002B537F" w:rsidP="002B537F">
      <w:pPr>
        <w:pStyle w:val="a6"/>
        <w:spacing w:line="240" w:lineRule="auto"/>
        <w:rPr>
          <w:rFonts w:ascii="Arial" w:hAnsi="Arial" w:cs="Arial"/>
          <w:sz w:val="24"/>
        </w:rPr>
      </w:pPr>
      <w:r w:rsidRPr="002B537F">
        <w:rPr>
          <w:rFonts w:ascii="Arial" w:hAnsi="Arial" w:cs="Arial"/>
          <w:sz w:val="24"/>
        </w:rPr>
        <w:t xml:space="preserve">β) Να προσφέρουν επάρκεια εσόδων. Αυτό σημαίνει ότι οι τοπικοί φόροι πρέπει όχι μόνο να καλύπτουν τις σημερινές ανάγκες των Ο.Τ.Α αλλά να έχουν ταυτόχρονα και μία δυναμική. Επίσης, το κόστος διαχείρισης τους να είναι μικρό. </w:t>
      </w:r>
    </w:p>
    <w:p w:rsidR="002B537F" w:rsidRPr="002B537F" w:rsidRDefault="002B537F" w:rsidP="002B537F">
      <w:pPr>
        <w:pStyle w:val="a6"/>
        <w:spacing w:line="240" w:lineRule="auto"/>
        <w:rPr>
          <w:rFonts w:ascii="Arial" w:hAnsi="Arial" w:cs="Arial"/>
          <w:sz w:val="24"/>
        </w:rPr>
      </w:pPr>
      <w:r w:rsidRPr="002B537F">
        <w:rPr>
          <w:rFonts w:ascii="Arial" w:hAnsi="Arial" w:cs="Arial"/>
          <w:sz w:val="24"/>
        </w:rPr>
        <w:t xml:space="preserve">γ) Το τοπικό φορολογικό σύστημα να μπορεί να προγραμματιστεί με τέτοιο τρόπο ώστε να αποθαρρύνει προσπάθειες εξαγωγής φόρων, φορολογικού ανταγωνισμού ή αρνητικών μακροοικονομικών επιπτώσεων. </w:t>
      </w:r>
    </w:p>
    <w:p w:rsidR="002B537F" w:rsidRPr="002B537F" w:rsidRDefault="002B537F" w:rsidP="002B537F">
      <w:pPr>
        <w:pStyle w:val="a6"/>
        <w:spacing w:line="240" w:lineRule="auto"/>
        <w:rPr>
          <w:rFonts w:ascii="Arial" w:hAnsi="Arial" w:cs="Arial"/>
          <w:sz w:val="24"/>
        </w:rPr>
      </w:pPr>
      <w:r w:rsidRPr="002B537F">
        <w:rPr>
          <w:rFonts w:ascii="Arial" w:hAnsi="Arial" w:cs="Arial"/>
          <w:sz w:val="24"/>
        </w:rPr>
        <w:t xml:space="preserve">δ) Να προωθούν τις οικονομικές δυνατότητες και να αμβλύνουν τις δημοσιονομικές ανισότητες των Ο.Τ.Α.   </w:t>
      </w:r>
    </w:p>
    <w:p w:rsidR="002B537F" w:rsidRPr="002B537F" w:rsidRDefault="002B537F" w:rsidP="002B537F">
      <w:pPr>
        <w:spacing w:after="120"/>
        <w:ind w:firstLine="360"/>
        <w:jc w:val="both"/>
        <w:rPr>
          <w:rFonts w:ascii="Arial" w:hAnsi="Arial" w:cs="Arial"/>
          <w:sz w:val="24"/>
          <w:szCs w:val="24"/>
        </w:rPr>
      </w:pPr>
      <w:r w:rsidRPr="002B537F">
        <w:rPr>
          <w:rFonts w:ascii="Arial" w:hAnsi="Arial" w:cs="Arial"/>
          <w:sz w:val="24"/>
          <w:szCs w:val="24"/>
        </w:rPr>
        <w:t xml:space="preserve">Άρα, οι φόροι αυτοί θα πρέπει να είναι δυναμικοί, με μικρό διαχειριστικό κόστος, να μην προκαλούν μεγάλες ανισότητες μεταξύ των Ο.Τ.Α, ούτε αντιδράσεις των δημοτών και να εγγυώνται επάρκεια εσόδων που να καλύπτουν τις ανάγκες της Τ.Α για ένα βάθος χρόνου. </w:t>
      </w:r>
    </w:p>
    <w:p w:rsidR="002B537F" w:rsidRPr="002B537F" w:rsidRDefault="002B537F" w:rsidP="002B537F">
      <w:pPr>
        <w:spacing w:after="120"/>
        <w:jc w:val="both"/>
        <w:rPr>
          <w:rFonts w:ascii="Arial" w:hAnsi="Arial" w:cs="Arial"/>
          <w:b/>
          <w:sz w:val="24"/>
          <w:szCs w:val="24"/>
        </w:rPr>
      </w:pPr>
      <w:r w:rsidRPr="002B537F">
        <w:rPr>
          <w:rFonts w:ascii="Arial" w:hAnsi="Arial" w:cs="Arial"/>
          <w:b/>
          <w:sz w:val="24"/>
          <w:szCs w:val="24"/>
        </w:rPr>
        <w:t xml:space="preserve">2. Αναπτυξιακές πρωτοβουλίες.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Η χώρα χρειάζεται έργα που θα υλοποιηθούν γρήγορα και θα έχουν πολλαπλασιαστικά αποτελέσματα κυρίως στον τομέα της απασχόλησης. Τα έργα των δήμων λόγω του μεγέθους τους αλλά και της γνώσης των τοπικών ιδιαιτεροτήτων έχουν αυτά τα χαρακτηριστικά. Το γεγονός αυτό αποδείχθηκε περίτρανα στο τρέχον ΕΣΠΑ.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Παράλληλα, με την απόσυρση του κεντρικού κράτους από τις τοπικές κοινωνίες η ΤΑ ανέλαβε το σύνολο σχεδόν της κοινωνικής πολιτικής. Η περίοδος της κρίσης ανέδειξε τους δήμους ως το βασικό φορέα αποτελεσματικής υλοποίησης πολιτικών κοινωνικής αλληλεγγύης. </w:t>
      </w:r>
    </w:p>
    <w:p w:rsidR="002B537F" w:rsidRPr="002B537F" w:rsidRDefault="002B537F" w:rsidP="002B537F">
      <w:pPr>
        <w:spacing w:after="120"/>
        <w:jc w:val="both"/>
        <w:rPr>
          <w:rFonts w:ascii="Arial" w:hAnsi="Arial" w:cs="Arial"/>
          <w:b/>
          <w:sz w:val="24"/>
          <w:szCs w:val="24"/>
        </w:rPr>
      </w:pPr>
      <w:r w:rsidRPr="002B537F">
        <w:rPr>
          <w:rFonts w:ascii="Arial" w:hAnsi="Arial" w:cs="Arial"/>
          <w:b/>
          <w:sz w:val="24"/>
          <w:szCs w:val="24"/>
        </w:rPr>
        <w:t xml:space="preserve">Προτείνουμε τη δημιουργία ενός Επιχειρησιακού Προγράμματος της ΤΑ με αντικείμενο την ανάσχεση της ανθρωπιστικής και κοινωνικής κρίσης και την επανεκκίνηση των τοπικών οικονομιών.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Γνωρίζουμε τα περιορισμένα δημοσιονομικά πλαίσια. Πιστεύουμε ότι με την καλύτερη συγκρότηση και των συντονισμό εθνικών και κοινοτικών πόρων θα </w:t>
      </w:r>
      <w:r w:rsidRPr="002B537F">
        <w:rPr>
          <w:rFonts w:ascii="Arial" w:hAnsi="Arial" w:cs="Arial"/>
          <w:sz w:val="24"/>
          <w:szCs w:val="24"/>
        </w:rPr>
        <w:lastRenderedPageBreak/>
        <w:t xml:space="preserve">μπορέσουμε να δημιουργήσουμε την κρίσιμη μάζα για παρεμβάσεις με αποτελέσματα πολύ μεγαλύτερα από αυτά που θα προκαλούσε η απλή άθροιση των επιμέρους προγραμμάτων.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Προτείνουμε το Επιχειρησιακό Πρόγραμμα της ΤΑ για την ανάσχεση της ανθρωπιστικής και κοινωνικής κρίσης και την επανεκκίνηση των τοπικών οικονομιών, να συνδυάζει και να συντονίζει τα παρακάτω επιμέρους προγράμματα:</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Δράσεις ΕΠ ΕΣΠΑ, για την ΤΑ</w:t>
      </w:r>
    </w:p>
    <w:p w:rsidR="002B537F" w:rsidRPr="002B537F" w:rsidRDefault="002B537F" w:rsidP="002B537F">
      <w:pPr>
        <w:pStyle w:val="a3"/>
        <w:numPr>
          <w:ilvl w:val="0"/>
          <w:numId w:val="4"/>
        </w:numPr>
        <w:spacing w:after="120"/>
        <w:jc w:val="both"/>
        <w:rPr>
          <w:rFonts w:ascii="Arial" w:hAnsi="Arial" w:cs="Arial"/>
          <w:sz w:val="24"/>
          <w:szCs w:val="24"/>
        </w:rPr>
      </w:pPr>
      <w:proofErr w:type="spellStart"/>
      <w:r w:rsidRPr="002B537F">
        <w:rPr>
          <w:rFonts w:ascii="Arial" w:hAnsi="Arial" w:cs="Arial"/>
          <w:sz w:val="24"/>
          <w:szCs w:val="24"/>
        </w:rPr>
        <w:t>Επισιστιστικό</w:t>
      </w:r>
      <w:proofErr w:type="spellEnd"/>
      <w:r w:rsidRPr="002B537F">
        <w:rPr>
          <w:rFonts w:ascii="Arial" w:hAnsi="Arial" w:cs="Arial"/>
          <w:sz w:val="24"/>
          <w:szCs w:val="24"/>
        </w:rPr>
        <w:t xml:space="preserve"> πρόγραμμα</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Πρόγραμμα ελάχιστου εγγυημένου εισοδήματος σε όλη την Ελλάδα</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Πρόγραμμα τεχνικής- επιστημονικής υποστήριξης δήμων</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Αυξημένη ΣΑΤΑ</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 xml:space="preserve">Πρόγραμμα ενίσχυσης μικρών νησιωτικών και ορεινών ΟΤΑ. </w:t>
      </w:r>
    </w:p>
    <w:p w:rsidR="002B537F" w:rsidRPr="002B537F" w:rsidRDefault="002B537F" w:rsidP="002B537F">
      <w:pPr>
        <w:spacing w:after="120"/>
        <w:jc w:val="both"/>
        <w:rPr>
          <w:rFonts w:ascii="Arial" w:hAnsi="Arial" w:cs="Arial"/>
          <w:b/>
          <w:sz w:val="24"/>
          <w:szCs w:val="24"/>
        </w:rPr>
      </w:pPr>
      <w:r w:rsidRPr="002B537F">
        <w:rPr>
          <w:rFonts w:ascii="Arial" w:hAnsi="Arial" w:cs="Arial"/>
          <w:b/>
          <w:sz w:val="24"/>
          <w:szCs w:val="24"/>
        </w:rPr>
        <w:t xml:space="preserve">3. Συνέχιση της προσπάθειας ορθολογικής κατανομής των Κεντρικών Αυτοτελών Πόρων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Υπενθυμίζεται ότι η ΚΕΔΕ άλλαξε πρόσφατα το σύστημα κατανομής των ΚΑΠ δημιουργώντας ένα </w:t>
      </w:r>
      <w:proofErr w:type="spellStart"/>
      <w:r w:rsidRPr="002B537F">
        <w:rPr>
          <w:rFonts w:ascii="Arial" w:hAnsi="Arial" w:cs="Arial"/>
          <w:sz w:val="24"/>
          <w:szCs w:val="24"/>
        </w:rPr>
        <w:t>πολυπαραγοντικά</w:t>
      </w:r>
      <w:proofErr w:type="spellEnd"/>
      <w:r w:rsidRPr="002B537F">
        <w:rPr>
          <w:rFonts w:ascii="Arial" w:hAnsi="Arial" w:cs="Arial"/>
          <w:sz w:val="24"/>
          <w:szCs w:val="24"/>
        </w:rPr>
        <w:t xml:space="preserve"> σύστημα που εμπεριέχει τα εξής κριτήρια:</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Ελάχιστο κόστος λειτουργίας</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Πληθυσμός</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Έκταση μαζί με νησιωτικούς - ορεινούς δήμους</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Δημοτική αποκέντρωση</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Ελάχιστο κόστος λειτουργίας</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Πρωτεύουσες νομών, επαρχείων, έδρες Ν.Δ.</w:t>
      </w:r>
    </w:p>
    <w:p w:rsidR="002B537F" w:rsidRPr="002B537F" w:rsidRDefault="002B537F" w:rsidP="002B537F">
      <w:pPr>
        <w:pStyle w:val="a3"/>
        <w:numPr>
          <w:ilvl w:val="0"/>
          <w:numId w:val="4"/>
        </w:numPr>
        <w:spacing w:after="120"/>
        <w:jc w:val="both"/>
        <w:rPr>
          <w:rFonts w:ascii="Arial" w:hAnsi="Arial" w:cs="Arial"/>
          <w:sz w:val="24"/>
          <w:szCs w:val="24"/>
        </w:rPr>
      </w:pPr>
      <w:r w:rsidRPr="002B537F">
        <w:rPr>
          <w:rFonts w:ascii="Arial" w:hAnsi="Arial" w:cs="Arial"/>
          <w:sz w:val="24"/>
          <w:szCs w:val="24"/>
        </w:rPr>
        <w:t>Ελάχιστο κόστος λειτουργίας για τις πάγιες ανάγκες εξυπηρέτησης</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Σημαντικό στοιχείο στην πρώτη εφαρμογή του παραπάνω συστήματος ήταν η αποφυγή δημοσιονομικού σοκ σε δήμους που θα υφίστανται μεγάλες μειώσεις, λόγω του νέου τρόπου κατανομής.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 xml:space="preserve">Εκτιμάται ότι το χρονικό διάστημα εφαρμογής του νέου τρόπου κατανομής επέτρεψε σε πολλούς δήμους να προσαρμοστούν και στην ΤΑ να σχεδιάσει την πλήρη εφαρμογή του, σταδιακά.  </w:t>
      </w:r>
    </w:p>
    <w:p w:rsidR="002B537F" w:rsidRPr="002B537F" w:rsidRDefault="002B537F" w:rsidP="002B537F">
      <w:pPr>
        <w:pStyle w:val="a3"/>
        <w:numPr>
          <w:ilvl w:val="0"/>
          <w:numId w:val="6"/>
        </w:numPr>
        <w:spacing w:after="120"/>
        <w:jc w:val="both"/>
        <w:rPr>
          <w:rFonts w:ascii="Arial" w:hAnsi="Arial" w:cs="Arial"/>
          <w:b/>
          <w:sz w:val="24"/>
          <w:szCs w:val="24"/>
        </w:rPr>
      </w:pPr>
      <w:r w:rsidRPr="002B537F">
        <w:rPr>
          <w:rFonts w:ascii="Arial" w:hAnsi="Arial" w:cs="Arial"/>
          <w:b/>
          <w:sz w:val="24"/>
          <w:szCs w:val="24"/>
        </w:rPr>
        <w:t>Επίλυση τρεχόντων προβλημάτων των δήμων</w:t>
      </w:r>
    </w:p>
    <w:p w:rsidR="002B537F" w:rsidRPr="002B537F" w:rsidRDefault="002B537F" w:rsidP="002B537F">
      <w:pPr>
        <w:pStyle w:val="Body"/>
        <w:spacing w:before="120" w:after="120" w:line="240" w:lineRule="auto"/>
        <w:jc w:val="both"/>
        <w:rPr>
          <w:rFonts w:ascii="Arial" w:hAnsi="Arial" w:cs="Arial"/>
          <w:sz w:val="24"/>
          <w:szCs w:val="24"/>
        </w:rPr>
      </w:pPr>
      <w:r w:rsidRPr="002B537F">
        <w:rPr>
          <w:rFonts w:ascii="Arial" w:hAnsi="Arial" w:cs="Arial"/>
          <w:sz w:val="24"/>
          <w:szCs w:val="24"/>
        </w:rPr>
        <w:t>Για την εξασφάλιση των απαραίτητων οικονομικών πόρων που θα διασφαλίσουν την ομαλή λειτουργία των Ο.Τ.Α. Α’ Βαθμού και την καλύτερη εξυπηρέτηση των πολιτών, ζητούμε από την Πολιτεία να προχωρήσει στη λήψη των παρακάτω μέτρων:</w:t>
      </w:r>
    </w:p>
    <w:p w:rsidR="002B537F" w:rsidRPr="002B537F" w:rsidRDefault="002B537F" w:rsidP="002B537F">
      <w:pPr>
        <w:pStyle w:val="Default"/>
        <w:spacing w:before="120" w:after="120"/>
        <w:jc w:val="both"/>
        <w:rPr>
          <w:rFonts w:ascii="Arial" w:hAnsi="Arial" w:cs="Arial"/>
        </w:rPr>
      </w:pPr>
      <w:r w:rsidRPr="002B537F">
        <w:rPr>
          <w:rFonts w:ascii="Arial" w:hAnsi="Arial" w:cs="Arial"/>
        </w:rPr>
        <w:t xml:space="preserve">- </w:t>
      </w:r>
      <w:r w:rsidRPr="002B537F">
        <w:rPr>
          <w:rFonts w:ascii="Arial" w:hAnsi="Arial" w:cs="Arial"/>
          <w:b/>
          <w:bCs/>
        </w:rPr>
        <w:t xml:space="preserve">Απόδοση μέσω των Κ.Α.Π. του συνόλου των πόρων που προβλέπονται από το Ν. 3852/2010 </w:t>
      </w:r>
      <w:r w:rsidRPr="002B537F">
        <w:rPr>
          <w:rFonts w:ascii="Arial" w:hAnsi="Arial" w:cs="Arial"/>
        </w:rPr>
        <w:t xml:space="preserve">( Συμμετοχή στην αύξηση των εσόδων των φόρων που αποτελούν το χρηματοδοτικό καλάθι των ΚΑΠ) </w:t>
      </w:r>
    </w:p>
    <w:p w:rsidR="002B537F" w:rsidRPr="002B537F" w:rsidRDefault="002B537F" w:rsidP="002B537F">
      <w:pPr>
        <w:pStyle w:val="Default"/>
        <w:spacing w:before="120" w:after="120"/>
        <w:jc w:val="both"/>
        <w:rPr>
          <w:rFonts w:ascii="Arial" w:hAnsi="Arial" w:cs="Arial"/>
        </w:rPr>
      </w:pPr>
      <w:r w:rsidRPr="002B537F">
        <w:rPr>
          <w:rFonts w:ascii="Arial" w:hAnsi="Arial" w:cs="Arial"/>
        </w:rPr>
        <w:t xml:space="preserve">- </w:t>
      </w:r>
      <w:r w:rsidRPr="002B537F">
        <w:rPr>
          <w:rFonts w:ascii="Arial" w:hAnsi="Arial" w:cs="Arial"/>
          <w:b/>
          <w:bCs/>
        </w:rPr>
        <w:t xml:space="preserve">Συμμετοχή των Δήμων στα έσοδα από Π.Ο.Ε., </w:t>
      </w:r>
      <w:r w:rsidRPr="002B537F">
        <w:rPr>
          <w:rFonts w:ascii="Arial" w:hAnsi="Arial" w:cs="Arial"/>
        </w:rPr>
        <w:t xml:space="preserve">από τα οποία είναι αποκλεισμένοι </w:t>
      </w:r>
    </w:p>
    <w:p w:rsidR="002B537F" w:rsidRPr="002B537F" w:rsidRDefault="002B537F" w:rsidP="002B537F">
      <w:pPr>
        <w:pStyle w:val="Default"/>
        <w:spacing w:before="120" w:after="120"/>
        <w:jc w:val="both"/>
        <w:rPr>
          <w:rFonts w:ascii="Arial" w:hAnsi="Arial" w:cs="Arial"/>
        </w:rPr>
      </w:pPr>
      <w:r w:rsidRPr="002B537F">
        <w:rPr>
          <w:rFonts w:ascii="Arial" w:hAnsi="Arial" w:cs="Arial"/>
        </w:rPr>
        <w:t xml:space="preserve">- </w:t>
      </w:r>
      <w:r w:rsidRPr="002B537F">
        <w:rPr>
          <w:rFonts w:ascii="Arial" w:hAnsi="Arial" w:cs="Arial"/>
          <w:b/>
          <w:bCs/>
        </w:rPr>
        <w:t xml:space="preserve">Αύξηση του μεριδίου της Τοπικής Αυτοδιοίκησης από το Πρόγραμμα Δημοσίων Επενδύσεων, </w:t>
      </w:r>
      <w:r w:rsidRPr="002B537F">
        <w:rPr>
          <w:rFonts w:ascii="Arial" w:hAnsi="Arial" w:cs="Arial"/>
        </w:rPr>
        <w:t xml:space="preserve">με προτεραιότητα σε μικρούς, ορεινούς και νησιωτικούς Δήμους που δεν διαθέτουν διαχειριστική επάρκεια. </w:t>
      </w:r>
    </w:p>
    <w:p w:rsidR="002B537F" w:rsidRPr="002B537F" w:rsidRDefault="002B537F" w:rsidP="002B537F">
      <w:pPr>
        <w:pStyle w:val="Default"/>
        <w:spacing w:before="120" w:after="120"/>
        <w:jc w:val="both"/>
        <w:rPr>
          <w:rFonts w:ascii="Arial" w:hAnsi="Arial" w:cs="Arial"/>
        </w:rPr>
      </w:pPr>
      <w:r w:rsidRPr="002B537F">
        <w:rPr>
          <w:rFonts w:ascii="Arial" w:hAnsi="Arial" w:cs="Arial"/>
        </w:rPr>
        <w:lastRenderedPageBreak/>
        <w:t xml:space="preserve">- </w:t>
      </w:r>
      <w:r w:rsidRPr="002B537F">
        <w:rPr>
          <w:rFonts w:ascii="Arial" w:hAnsi="Arial" w:cs="Arial"/>
          <w:b/>
          <w:bCs/>
        </w:rPr>
        <w:t xml:space="preserve">Διάθεση 2 δις € από το νέο ΕΣΠΑ, για τη δημιουργία Επιχειρησιακού Προγράμματος για τους Δήμους </w:t>
      </w:r>
      <w:r w:rsidRPr="002B537F">
        <w:rPr>
          <w:rFonts w:ascii="Arial" w:hAnsi="Arial" w:cs="Arial"/>
        </w:rPr>
        <w:t xml:space="preserve">με τελικούς δικαιούχους τους Δήμους και ενδιάμεσους φορείς διαχείρισης την ΕΕΤΑΑ Α.Ε. και τους Δήμους. </w:t>
      </w:r>
    </w:p>
    <w:p w:rsidR="002B537F" w:rsidRPr="002B537F" w:rsidRDefault="002B537F" w:rsidP="002B537F">
      <w:pPr>
        <w:pStyle w:val="Default"/>
        <w:spacing w:before="120" w:after="120"/>
        <w:jc w:val="both"/>
        <w:rPr>
          <w:rFonts w:ascii="Arial" w:hAnsi="Arial" w:cs="Arial"/>
        </w:rPr>
      </w:pPr>
      <w:r w:rsidRPr="002B537F">
        <w:rPr>
          <w:rFonts w:ascii="Arial" w:hAnsi="Arial" w:cs="Arial"/>
        </w:rPr>
        <w:t xml:space="preserve">- Απόδοση των πόρων που είναι αναγκαίοι </w:t>
      </w:r>
      <w:r w:rsidRPr="002B537F">
        <w:rPr>
          <w:rFonts w:ascii="Arial" w:hAnsi="Arial" w:cs="Arial"/>
          <w:b/>
          <w:bCs/>
        </w:rPr>
        <w:t xml:space="preserve">για τη συντήρηση και λειτουργία μεταφερόμενων δομών. </w:t>
      </w:r>
    </w:p>
    <w:p w:rsidR="002B537F" w:rsidRPr="002B537F" w:rsidRDefault="002B537F" w:rsidP="002B537F">
      <w:pPr>
        <w:autoSpaceDE w:val="0"/>
        <w:autoSpaceDN w:val="0"/>
        <w:adjustRightInd w:val="0"/>
        <w:spacing w:after="120"/>
        <w:jc w:val="both"/>
        <w:rPr>
          <w:rFonts w:ascii="Arial" w:hAnsi="Arial" w:cs="Arial"/>
          <w:color w:val="000000"/>
          <w:sz w:val="24"/>
          <w:szCs w:val="24"/>
        </w:rPr>
      </w:pPr>
      <w:r w:rsidRPr="002B537F">
        <w:rPr>
          <w:rFonts w:ascii="Arial" w:hAnsi="Arial" w:cs="Arial"/>
          <w:color w:val="000000"/>
          <w:sz w:val="24"/>
          <w:szCs w:val="24"/>
        </w:rPr>
        <w:t xml:space="preserve">Να επανέλθει το ποσοστό κατανομής εσόδων του </w:t>
      </w:r>
      <w:r w:rsidRPr="002B537F">
        <w:rPr>
          <w:rFonts w:ascii="Arial" w:hAnsi="Arial" w:cs="Arial"/>
          <w:b/>
          <w:bCs/>
          <w:color w:val="000000"/>
          <w:sz w:val="24"/>
          <w:szCs w:val="24"/>
        </w:rPr>
        <w:t>Πράσινου Ταμείου στους δήμους από 2,5% που είναι σήμερα, στο αρχικό 10%</w:t>
      </w:r>
      <w:r w:rsidRPr="002B537F">
        <w:rPr>
          <w:rFonts w:ascii="Arial" w:hAnsi="Arial" w:cs="Arial"/>
          <w:color w:val="000000"/>
          <w:sz w:val="24"/>
          <w:szCs w:val="24"/>
        </w:rPr>
        <w:t xml:space="preserve">, κυρίως για έργα περιβάλλοντος και ποιότητας ζωής. </w:t>
      </w:r>
    </w:p>
    <w:p w:rsidR="002B537F" w:rsidRPr="002B537F" w:rsidRDefault="002B537F" w:rsidP="002B537F">
      <w:pPr>
        <w:autoSpaceDE w:val="0"/>
        <w:autoSpaceDN w:val="0"/>
        <w:adjustRightInd w:val="0"/>
        <w:spacing w:after="120"/>
        <w:jc w:val="both"/>
        <w:rPr>
          <w:rFonts w:ascii="Arial" w:hAnsi="Arial" w:cs="Arial"/>
          <w:color w:val="000000"/>
          <w:sz w:val="24"/>
          <w:szCs w:val="24"/>
        </w:rPr>
      </w:pPr>
      <w:r w:rsidRPr="002B537F">
        <w:rPr>
          <w:rFonts w:ascii="Arial" w:hAnsi="Arial" w:cs="Arial"/>
          <w:color w:val="000000"/>
          <w:sz w:val="24"/>
          <w:szCs w:val="24"/>
        </w:rPr>
        <w:t xml:space="preserve">- </w:t>
      </w:r>
      <w:r w:rsidRPr="002B537F">
        <w:rPr>
          <w:rFonts w:ascii="Arial" w:hAnsi="Arial" w:cs="Arial"/>
          <w:b/>
          <w:color w:val="000000"/>
          <w:sz w:val="24"/>
          <w:szCs w:val="24"/>
        </w:rPr>
        <w:t>Να μειωθεί το επιτόκιο δανεισμού των Δήμων</w:t>
      </w:r>
      <w:r w:rsidRPr="002B537F">
        <w:rPr>
          <w:rFonts w:ascii="Arial" w:hAnsi="Arial" w:cs="Arial"/>
          <w:color w:val="000000"/>
          <w:sz w:val="24"/>
          <w:szCs w:val="24"/>
        </w:rPr>
        <w:t xml:space="preserve"> από το Ταμείο Παρακαταθηκών και Δανείων στο ύψος του επιτοκίου της Ευρωπαϊκής Κεντρικής Τράπεζας. </w:t>
      </w:r>
    </w:p>
    <w:p w:rsidR="002B537F" w:rsidRPr="002B537F" w:rsidRDefault="002B537F" w:rsidP="002B537F">
      <w:pPr>
        <w:autoSpaceDE w:val="0"/>
        <w:autoSpaceDN w:val="0"/>
        <w:adjustRightInd w:val="0"/>
        <w:spacing w:after="120"/>
        <w:jc w:val="both"/>
        <w:rPr>
          <w:rFonts w:ascii="Arial" w:hAnsi="Arial" w:cs="Arial"/>
          <w:color w:val="000000"/>
          <w:sz w:val="24"/>
          <w:szCs w:val="24"/>
        </w:rPr>
      </w:pPr>
      <w:r w:rsidRPr="002B537F">
        <w:rPr>
          <w:rFonts w:ascii="Arial" w:hAnsi="Arial" w:cs="Arial"/>
          <w:color w:val="000000"/>
          <w:sz w:val="24"/>
          <w:szCs w:val="24"/>
        </w:rPr>
        <w:t xml:space="preserve">- </w:t>
      </w:r>
      <w:r w:rsidRPr="002B537F">
        <w:rPr>
          <w:rFonts w:ascii="Arial" w:hAnsi="Arial" w:cs="Arial"/>
          <w:b/>
          <w:bCs/>
          <w:color w:val="000000"/>
          <w:sz w:val="24"/>
          <w:szCs w:val="24"/>
        </w:rPr>
        <w:t xml:space="preserve">Να μην αλλάξει το ειδικό φορολογικό καθεστώς Φ.Π.Α. </w:t>
      </w:r>
      <w:r w:rsidRPr="002B537F">
        <w:rPr>
          <w:rFonts w:ascii="Arial" w:hAnsi="Arial" w:cs="Arial"/>
          <w:color w:val="000000"/>
          <w:sz w:val="24"/>
          <w:szCs w:val="24"/>
        </w:rPr>
        <w:t xml:space="preserve">που αφορά νησιωτικούς και Δήμους απομακρυσμένων περιοχών. </w:t>
      </w:r>
    </w:p>
    <w:p w:rsidR="002B537F" w:rsidRPr="002B537F" w:rsidRDefault="002B537F" w:rsidP="002B537F">
      <w:pPr>
        <w:pStyle w:val="Body"/>
        <w:spacing w:before="120" w:after="120" w:line="240" w:lineRule="auto"/>
        <w:jc w:val="both"/>
        <w:rPr>
          <w:rFonts w:ascii="Arial" w:eastAsia="Arial" w:hAnsi="Arial" w:cs="Arial"/>
          <w:sz w:val="24"/>
          <w:szCs w:val="24"/>
        </w:rPr>
      </w:pPr>
      <w:r w:rsidRPr="002B537F">
        <w:rPr>
          <w:rFonts w:ascii="Arial" w:hAnsi="Arial" w:cs="Arial"/>
          <w:sz w:val="24"/>
          <w:szCs w:val="24"/>
        </w:rPr>
        <w:t>Η ΚΕΔΕ προτείνει επίσης ορισμένα μέτρα που μπορούν να ληφθούν άμεσα και να οδηγήσουν στην καλύτερη εξυπηρέτηση του πολίτη και στην αποτελεσματικότερη λειτουργία της τοπικής δημοκρατίας και των δήμων. Τα μέτρα αυτά είναι:</w:t>
      </w:r>
    </w:p>
    <w:p w:rsidR="002B537F" w:rsidRPr="002B537F" w:rsidRDefault="002B537F" w:rsidP="002B537F">
      <w:pPr>
        <w:pStyle w:val="Body"/>
        <w:numPr>
          <w:ilvl w:val="0"/>
          <w:numId w:val="7"/>
        </w:numPr>
        <w:spacing w:before="120" w:after="120" w:line="240" w:lineRule="auto"/>
        <w:ind w:left="220" w:hanging="220"/>
        <w:jc w:val="both"/>
        <w:rPr>
          <w:rFonts w:ascii="Arial" w:eastAsia="Arial" w:hAnsi="Arial" w:cs="Arial"/>
          <w:sz w:val="24"/>
          <w:szCs w:val="24"/>
        </w:rPr>
      </w:pPr>
      <w:r w:rsidRPr="002B537F">
        <w:rPr>
          <w:rFonts w:ascii="Arial" w:hAnsi="Arial" w:cs="Arial"/>
          <w:sz w:val="24"/>
          <w:szCs w:val="24"/>
        </w:rPr>
        <w:t xml:space="preserve">Να αποσαφηνιστεί πιο θα είναι το </w:t>
      </w:r>
      <w:r w:rsidRPr="002B537F">
        <w:rPr>
          <w:rFonts w:ascii="Arial" w:hAnsi="Arial" w:cs="Arial"/>
          <w:b/>
          <w:bCs/>
          <w:sz w:val="24"/>
          <w:szCs w:val="24"/>
        </w:rPr>
        <w:t>ανταποδοτικό όφελος της Τοπικής Αυτοδιοίκησης</w:t>
      </w:r>
      <w:r w:rsidRPr="002B537F">
        <w:rPr>
          <w:rFonts w:ascii="Arial" w:hAnsi="Arial" w:cs="Arial"/>
          <w:sz w:val="24"/>
          <w:szCs w:val="24"/>
        </w:rPr>
        <w:t xml:space="preserve"> για το πλεόνασμα που συνεισέφερε στα δημοσιονομικά της χώρας.</w:t>
      </w:r>
    </w:p>
    <w:p w:rsidR="002B537F" w:rsidRPr="002B537F" w:rsidRDefault="002B537F" w:rsidP="002B537F">
      <w:pPr>
        <w:pStyle w:val="Body"/>
        <w:numPr>
          <w:ilvl w:val="0"/>
          <w:numId w:val="8"/>
        </w:numPr>
        <w:spacing w:before="120" w:after="120" w:line="240" w:lineRule="auto"/>
        <w:ind w:left="220" w:hanging="220"/>
        <w:jc w:val="both"/>
        <w:rPr>
          <w:rFonts w:ascii="Arial" w:eastAsia="Arial" w:hAnsi="Arial" w:cs="Arial"/>
          <w:sz w:val="24"/>
          <w:szCs w:val="24"/>
        </w:rPr>
      </w:pPr>
      <w:r w:rsidRPr="002B537F">
        <w:rPr>
          <w:rFonts w:ascii="Arial" w:hAnsi="Arial" w:cs="Arial"/>
          <w:b/>
          <w:bCs/>
          <w:sz w:val="24"/>
          <w:szCs w:val="24"/>
        </w:rPr>
        <w:t>Να καλυφθούν οι οικονομικές απώλειες</w:t>
      </w:r>
      <w:r w:rsidRPr="002B537F">
        <w:rPr>
          <w:rFonts w:ascii="Arial" w:hAnsi="Arial" w:cs="Arial"/>
          <w:sz w:val="24"/>
          <w:szCs w:val="24"/>
        </w:rPr>
        <w:t xml:space="preserve"> των δήμων λόγω της κατάργησης της </w:t>
      </w:r>
      <w:r w:rsidRPr="002B537F">
        <w:rPr>
          <w:rFonts w:ascii="Arial" w:hAnsi="Arial" w:cs="Arial"/>
          <w:b/>
          <w:bCs/>
          <w:sz w:val="24"/>
          <w:szCs w:val="24"/>
        </w:rPr>
        <w:t>Δημοτικής Αστυνομίας</w:t>
      </w:r>
      <w:r w:rsidRPr="002B537F">
        <w:rPr>
          <w:rFonts w:ascii="Arial" w:hAnsi="Arial" w:cs="Arial"/>
          <w:sz w:val="24"/>
          <w:szCs w:val="24"/>
        </w:rPr>
        <w:t xml:space="preserve"> και της κάλυψης δαπανών από φθορές λόγω της κατάργησης των </w:t>
      </w:r>
      <w:r w:rsidRPr="002B537F">
        <w:rPr>
          <w:rFonts w:ascii="Arial" w:hAnsi="Arial" w:cs="Arial"/>
          <w:b/>
          <w:bCs/>
          <w:sz w:val="24"/>
          <w:szCs w:val="24"/>
        </w:rPr>
        <w:t>Σχολικών Φυλάκων</w:t>
      </w:r>
      <w:r w:rsidRPr="002B537F">
        <w:rPr>
          <w:rFonts w:ascii="Arial" w:hAnsi="Arial" w:cs="Arial"/>
          <w:sz w:val="24"/>
          <w:szCs w:val="24"/>
        </w:rPr>
        <w:t>.</w:t>
      </w:r>
    </w:p>
    <w:p w:rsidR="002B537F" w:rsidRPr="002B537F" w:rsidRDefault="002B537F" w:rsidP="002B537F">
      <w:pPr>
        <w:pStyle w:val="Web"/>
        <w:spacing w:before="120" w:after="120"/>
        <w:ind w:left="142"/>
        <w:jc w:val="both"/>
        <w:rPr>
          <w:rFonts w:ascii="Arial" w:eastAsia="Arial" w:hAnsi="Arial" w:cs="Arial"/>
        </w:rPr>
      </w:pPr>
      <w:r w:rsidRPr="002B537F">
        <w:rPr>
          <w:rFonts w:ascii="Arial" w:hAnsi="Arial" w:cs="Arial"/>
        </w:rPr>
        <w:t>Επίσης προτείνουμε να υπάρξει πρόβλεψη πίστωσης στον Κρατικό Προϋπολογισμό 2015 για:</w:t>
      </w:r>
    </w:p>
    <w:p w:rsidR="002B537F" w:rsidRPr="002B537F" w:rsidRDefault="002B537F" w:rsidP="002B537F">
      <w:pPr>
        <w:pStyle w:val="Web"/>
        <w:numPr>
          <w:ilvl w:val="0"/>
          <w:numId w:val="9"/>
        </w:numPr>
        <w:spacing w:before="120" w:after="120"/>
        <w:ind w:left="238" w:hanging="238"/>
        <w:jc w:val="both"/>
        <w:rPr>
          <w:rFonts w:ascii="Arial" w:eastAsia="Arial" w:hAnsi="Arial" w:cs="Arial"/>
          <w:b/>
          <w:bCs/>
        </w:rPr>
      </w:pPr>
      <w:r w:rsidRPr="002B537F">
        <w:rPr>
          <w:rFonts w:ascii="Arial" w:hAnsi="Arial" w:cs="Arial"/>
          <w:b/>
          <w:bCs/>
          <w:color w:val="auto"/>
        </w:rPr>
        <w:t>Την πρόσληψη γενικών γραμματέων και ιδιαιτέρων γραμματέων σε όλους τους</w:t>
      </w:r>
      <w:r w:rsidRPr="002B537F">
        <w:rPr>
          <w:rFonts w:ascii="Arial" w:hAnsi="Arial" w:cs="Arial"/>
          <w:b/>
          <w:bCs/>
        </w:rPr>
        <w:t xml:space="preserve"> Δήμους.</w:t>
      </w:r>
    </w:p>
    <w:p w:rsidR="002B537F" w:rsidRPr="002B537F" w:rsidRDefault="002B537F" w:rsidP="002B537F">
      <w:pPr>
        <w:pStyle w:val="Web"/>
        <w:numPr>
          <w:ilvl w:val="0"/>
          <w:numId w:val="10"/>
        </w:numPr>
        <w:spacing w:before="120" w:after="120"/>
        <w:ind w:left="238" w:hanging="238"/>
        <w:jc w:val="both"/>
        <w:rPr>
          <w:rFonts w:ascii="Arial" w:eastAsia="Arial" w:hAnsi="Arial" w:cs="Arial"/>
          <w:b/>
          <w:bCs/>
        </w:rPr>
      </w:pPr>
      <w:r w:rsidRPr="002B537F">
        <w:rPr>
          <w:rFonts w:ascii="Arial" w:hAnsi="Arial" w:cs="Arial"/>
          <w:b/>
          <w:bCs/>
        </w:rPr>
        <w:t xml:space="preserve">Την πρόσληψη Ειδικών Συμβούλων ή Ειδικών Συνεργατών ή Επιστημονικών Συνεργατών σε αριθμό αντίστοιχο με αυτό των αντιδημάρχων. </w:t>
      </w:r>
    </w:p>
    <w:p w:rsidR="002B537F" w:rsidRPr="002B537F" w:rsidRDefault="002B537F" w:rsidP="002B537F">
      <w:pPr>
        <w:pStyle w:val="Web"/>
        <w:numPr>
          <w:ilvl w:val="0"/>
          <w:numId w:val="10"/>
        </w:numPr>
        <w:spacing w:before="120" w:after="120"/>
        <w:ind w:left="238" w:hanging="238"/>
        <w:jc w:val="both"/>
        <w:rPr>
          <w:rFonts w:ascii="Arial" w:eastAsia="Arial" w:hAnsi="Arial" w:cs="Arial"/>
          <w:b/>
          <w:bCs/>
        </w:rPr>
      </w:pPr>
      <w:r w:rsidRPr="002B537F">
        <w:rPr>
          <w:rFonts w:ascii="Arial" w:hAnsi="Arial" w:cs="Arial"/>
          <w:b/>
          <w:bCs/>
        </w:rPr>
        <w:t>Την κάλυψη εξόδων παράστασης για όλους τους αντιδημάρχους.</w:t>
      </w:r>
    </w:p>
    <w:p w:rsidR="002B537F" w:rsidRPr="002B537F" w:rsidRDefault="002B537F" w:rsidP="002B537F">
      <w:pPr>
        <w:pStyle w:val="Web"/>
        <w:numPr>
          <w:ilvl w:val="0"/>
          <w:numId w:val="11"/>
        </w:numPr>
        <w:spacing w:before="120" w:after="120"/>
        <w:ind w:left="238" w:hanging="238"/>
        <w:jc w:val="both"/>
        <w:rPr>
          <w:rFonts w:ascii="Arial" w:eastAsia="Arial" w:hAnsi="Arial" w:cs="Arial"/>
          <w:b/>
          <w:bCs/>
        </w:rPr>
      </w:pPr>
      <w:r w:rsidRPr="002B537F">
        <w:rPr>
          <w:rFonts w:ascii="Arial" w:hAnsi="Arial" w:cs="Arial"/>
          <w:b/>
          <w:bCs/>
        </w:rPr>
        <w:t>Την κάλυψη εξόδων μετακίνησης δημοτικών συμβούλων σε όλους τους Δήμους.</w:t>
      </w:r>
    </w:p>
    <w:p w:rsidR="002B537F" w:rsidRPr="002B537F" w:rsidRDefault="002B537F" w:rsidP="002B537F">
      <w:pPr>
        <w:spacing w:after="120"/>
        <w:jc w:val="both"/>
        <w:rPr>
          <w:rFonts w:ascii="Arial" w:hAnsi="Arial" w:cs="Arial"/>
          <w:b/>
          <w:sz w:val="24"/>
          <w:szCs w:val="24"/>
        </w:rPr>
      </w:pPr>
    </w:p>
    <w:p w:rsidR="002B537F" w:rsidRPr="002B537F" w:rsidRDefault="002B537F" w:rsidP="002B537F">
      <w:pPr>
        <w:spacing w:after="120"/>
        <w:jc w:val="both"/>
        <w:rPr>
          <w:rFonts w:ascii="Arial" w:hAnsi="Arial" w:cs="Arial"/>
          <w:b/>
          <w:sz w:val="24"/>
          <w:szCs w:val="24"/>
        </w:rPr>
      </w:pPr>
      <w:r w:rsidRPr="002B537F">
        <w:rPr>
          <w:rFonts w:ascii="Arial" w:hAnsi="Arial" w:cs="Arial"/>
          <w:b/>
          <w:sz w:val="24"/>
          <w:szCs w:val="24"/>
        </w:rPr>
        <w:t xml:space="preserve">Λειτουργία της Επιτροπής Οικονομικών της ΚΕΔΕ. </w:t>
      </w:r>
    </w:p>
    <w:p w:rsidR="002B537F" w:rsidRPr="002B537F" w:rsidRDefault="002B537F" w:rsidP="002B537F">
      <w:pPr>
        <w:spacing w:after="120"/>
        <w:jc w:val="both"/>
        <w:rPr>
          <w:rFonts w:ascii="Arial" w:hAnsi="Arial" w:cs="Arial"/>
          <w:sz w:val="24"/>
          <w:szCs w:val="24"/>
        </w:rPr>
      </w:pPr>
      <w:r w:rsidRPr="002B537F">
        <w:rPr>
          <w:rFonts w:ascii="Arial" w:hAnsi="Arial" w:cs="Arial"/>
          <w:sz w:val="24"/>
          <w:szCs w:val="24"/>
        </w:rPr>
        <w:t>Όπως είναι φανερό, από τα παραπάνω, η επιτροπή Οικονομικών της ΚΕΔΕ έχει αναλάβει ένα πολύ δύσκολο καθήκον. Χρειάζεται τη βοήθεια, συνεργασία και τη κινητοποίηση όλων των συναδέλφων αιρετών και υπηρεσιακών στελεχών, που απασχολούνται στον οικονομικό τομέα των δήμων. Για το λόγο αυτό προτείνει:</w:t>
      </w:r>
    </w:p>
    <w:p w:rsidR="002B537F" w:rsidRPr="002B537F" w:rsidRDefault="002B537F" w:rsidP="002B537F">
      <w:pPr>
        <w:pStyle w:val="a3"/>
        <w:numPr>
          <w:ilvl w:val="0"/>
          <w:numId w:val="12"/>
        </w:numPr>
        <w:spacing w:after="120"/>
        <w:jc w:val="both"/>
        <w:rPr>
          <w:rFonts w:ascii="Arial" w:hAnsi="Arial" w:cs="Arial"/>
          <w:sz w:val="24"/>
          <w:szCs w:val="24"/>
        </w:rPr>
      </w:pPr>
      <w:r w:rsidRPr="002B537F">
        <w:rPr>
          <w:rFonts w:ascii="Arial" w:hAnsi="Arial" w:cs="Arial"/>
          <w:sz w:val="24"/>
          <w:szCs w:val="24"/>
        </w:rPr>
        <w:t xml:space="preserve">Τη δημιουργία ηλεκτρονικού φόρουμ που θα μπορούν να συμμετάσχουν όλοι οι αιρετοί και τα υπηρεσιακά στελέχη, να </w:t>
      </w:r>
      <w:r w:rsidRPr="002B537F">
        <w:rPr>
          <w:rFonts w:ascii="Arial" w:hAnsi="Arial" w:cs="Arial"/>
          <w:sz w:val="24"/>
          <w:szCs w:val="24"/>
        </w:rPr>
        <w:lastRenderedPageBreak/>
        <w:t xml:space="preserve">ενημερώνονται, να υποβάλουν ερωτήματα και να ανταλλάσσουν ιδέες και καλές πρακτικές.  </w:t>
      </w:r>
    </w:p>
    <w:p w:rsidR="002B537F" w:rsidRPr="002B537F" w:rsidRDefault="002B537F" w:rsidP="002B537F">
      <w:pPr>
        <w:pStyle w:val="a3"/>
        <w:numPr>
          <w:ilvl w:val="0"/>
          <w:numId w:val="12"/>
        </w:numPr>
        <w:spacing w:after="120"/>
        <w:jc w:val="both"/>
        <w:rPr>
          <w:rFonts w:ascii="Arial" w:hAnsi="Arial" w:cs="Arial"/>
          <w:sz w:val="24"/>
          <w:szCs w:val="24"/>
        </w:rPr>
      </w:pPr>
      <w:r w:rsidRPr="002B537F">
        <w:rPr>
          <w:rFonts w:ascii="Arial" w:hAnsi="Arial" w:cs="Arial"/>
          <w:sz w:val="24"/>
          <w:szCs w:val="24"/>
        </w:rPr>
        <w:t>Να δημιουργηθεί δίκτυο αντιδημάρχων οικονομικών που θα συγκαλείται δύο φορές το χρόνο με συγκεκριμένα αντικείμενα.</w:t>
      </w:r>
    </w:p>
    <w:p w:rsidR="002B537F" w:rsidRPr="002B537F" w:rsidRDefault="002B537F" w:rsidP="002B537F">
      <w:pPr>
        <w:pStyle w:val="a3"/>
        <w:numPr>
          <w:ilvl w:val="0"/>
          <w:numId w:val="12"/>
        </w:numPr>
        <w:spacing w:after="120"/>
        <w:jc w:val="both"/>
        <w:rPr>
          <w:rFonts w:ascii="Arial" w:hAnsi="Arial" w:cs="Arial"/>
          <w:sz w:val="24"/>
          <w:szCs w:val="24"/>
        </w:rPr>
      </w:pPr>
      <w:r w:rsidRPr="002B537F">
        <w:rPr>
          <w:rFonts w:ascii="Arial" w:hAnsi="Arial" w:cs="Arial"/>
          <w:sz w:val="24"/>
          <w:szCs w:val="24"/>
        </w:rPr>
        <w:t xml:space="preserve">Να διερευνηθούν οι δυνατότητες συμμετοχής σε διεθνή οικονομικά φόρα και συναντήσεις.  </w:t>
      </w:r>
    </w:p>
    <w:p w:rsidR="002B537F" w:rsidRPr="002B537F" w:rsidRDefault="002B537F" w:rsidP="002B537F">
      <w:pPr>
        <w:pStyle w:val="a3"/>
        <w:numPr>
          <w:ilvl w:val="0"/>
          <w:numId w:val="12"/>
        </w:numPr>
        <w:spacing w:after="120"/>
        <w:jc w:val="both"/>
        <w:rPr>
          <w:rFonts w:ascii="Arial" w:hAnsi="Arial" w:cs="Arial"/>
          <w:sz w:val="24"/>
          <w:szCs w:val="24"/>
        </w:rPr>
      </w:pPr>
      <w:r w:rsidRPr="002B537F">
        <w:rPr>
          <w:rFonts w:ascii="Arial" w:hAnsi="Arial" w:cs="Arial"/>
          <w:sz w:val="24"/>
          <w:szCs w:val="24"/>
        </w:rPr>
        <w:t xml:space="preserve">Να δημιουργηθεί δίκτυο αποτελούμενο από όλους τους υπεύθυνους οικονομικών υπηρεσιών των δήμων. Στο δίκτυο αυτό εκτός από την ενημέρωση θα υπάρξει πρόβλεψη για την υποστήριξη της επιστημονικής και τεχνικής τους εξέλιξης. </w:t>
      </w:r>
    </w:p>
    <w:p w:rsidR="002B537F" w:rsidRPr="002B537F" w:rsidRDefault="002B537F" w:rsidP="002B537F">
      <w:pPr>
        <w:pStyle w:val="a3"/>
        <w:numPr>
          <w:ilvl w:val="0"/>
          <w:numId w:val="12"/>
        </w:numPr>
        <w:spacing w:after="120"/>
        <w:jc w:val="both"/>
        <w:rPr>
          <w:rFonts w:ascii="Arial" w:hAnsi="Arial" w:cs="Arial"/>
          <w:sz w:val="24"/>
          <w:szCs w:val="24"/>
        </w:rPr>
      </w:pPr>
      <w:r w:rsidRPr="002B537F">
        <w:rPr>
          <w:rFonts w:ascii="Arial" w:hAnsi="Arial" w:cs="Arial"/>
          <w:sz w:val="24"/>
          <w:szCs w:val="24"/>
        </w:rPr>
        <w:t xml:space="preserve">Η επιτροπή οικονομικών της ΚΕΔΕ θα συνεδριάζει τακτικά, τουλάχιστον μία φορά το μήνα. </w:t>
      </w:r>
    </w:p>
    <w:p w:rsidR="002B537F" w:rsidRPr="002B537F" w:rsidRDefault="002B537F" w:rsidP="002B537F">
      <w:pPr>
        <w:pStyle w:val="a3"/>
        <w:numPr>
          <w:ilvl w:val="0"/>
          <w:numId w:val="12"/>
        </w:numPr>
        <w:spacing w:after="120"/>
        <w:jc w:val="both"/>
        <w:rPr>
          <w:rFonts w:ascii="Arial" w:hAnsi="Arial" w:cs="Arial"/>
          <w:sz w:val="24"/>
          <w:szCs w:val="24"/>
        </w:rPr>
      </w:pPr>
      <w:r w:rsidRPr="002B537F">
        <w:rPr>
          <w:rFonts w:ascii="Arial" w:hAnsi="Arial" w:cs="Arial"/>
          <w:sz w:val="24"/>
          <w:szCs w:val="24"/>
        </w:rPr>
        <w:t>Να δίνεται το δικαίωμα στο Προεδρείο της Επιτροπής Οικονομικών των ΟΤΑ, να συγκαλεί κοινή συνεδρίαση της επιτροπής οικονομικών με τους υπεύθυνους οικονομικών όλων των ΠΕΔ όταν κρίνεται απαραίτητο.</w:t>
      </w:r>
    </w:p>
    <w:p w:rsidR="002B537F" w:rsidRPr="002B537F" w:rsidRDefault="002B537F" w:rsidP="002B537F">
      <w:pPr>
        <w:pStyle w:val="a3"/>
        <w:numPr>
          <w:ilvl w:val="0"/>
          <w:numId w:val="12"/>
        </w:numPr>
        <w:spacing w:after="120"/>
        <w:jc w:val="both"/>
        <w:rPr>
          <w:rFonts w:ascii="Arial" w:hAnsi="Arial" w:cs="Arial"/>
          <w:sz w:val="24"/>
          <w:szCs w:val="24"/>
        </w:rPr>
      </w:pPr>
      <w:r w:rsidRPr="002B537F">
        <w:rPr>
          <w:rFonts w:ascii="Arial" w:hAnsi="Arial" w:cs="Arial"/>
          <w:sz w:val="24"/>
          <w:szCs w:val="24"/>
        </w:rPr>
        <w:t xml:space="preserve">Υπάρχει πρόβλεψη για αποκεντρωμένες, εκτός Αθηνών, συνεδριάσεις της επιτροπής. </w:t>
      </w:r>
      <w:bookmarkStart w:id="3" w:name="_GoBack"/>
      <w:bookmarkEnd w:id="3"/>
    </w:p>
    <w:p w:rsidR="002B537F" w:rsidRPr="002B537F" w:rsidRDefault="002B537F" w:rsidP="002B537F">
      <w:pPr>
        <w:spacing w:after="120"/>
        <w:jc w:val="both"/>
        <w:rPr>
          <w:rFonts w:ascii="Arial" w:hAnsi="Arial" w:cs="Arial"/>
          <w:sz w:val="24"/>
          <w:szCs w:val="24"/>
        </w:rPr>
      </w:pPr>
    </w:p>
    <w:p w:rsidR="002B537F" w:rsidRPr="002B537F" w:rsidRDefault="002B537F" w:rsidP="002B537F">
      <w:pPr>
        <w:spacing w:after="120"/>
        <w:jc w:val="both"/>
        <w:rPr>
          <w:rFonts w:ascii="Arial" w:hAnsi="Arial" w:cs="Arial"/>
          <w:sz w:val="24"/>
          <w:szCs w:val="24"/>
        </w:rPr>
      </w:pPr>
    </w:p>
    <w:p w:rsidR="00E65FD3" w:rsidRPr="002B537F" w:rsidRDefault="00E65FD3" w:rsidP="002B537F">
      <w:pPr>
        <w:jc w:val="both"/>
        <w:rPr>
          <w:rFonts w:ascii="Arial" w:hAnsi="Arial" w:cs="Arial"/>
          <w:sz w:val="24"/>
          <w:szCs w:val="24"/>
        </w:rPr>
      </w:pPr>
    </w:p>
    <w:sectPr w:rsidR="00E65FD3" w:rsidRPr="002B537F" w:rsidSect="00B5191E">
      <w:pgSz w:w="11906" w:h="16838"/>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7D8" w:rsidRDefault="00D937D8" w:rsidP="002B537F">
      <w:pPr>
        <w:spacing w:before="0"/>
      </w:pPr>
      <w:r>
        <w:separator/>
      </w:r>
    </w:p>
  </w:endnote>
  <w:endnote w:type="continuationSeparator" w:id="0">
    <w:p w:rsidR="00D937D8" w:rsidRDefault="00D937D8" w:rsidP="002B537F">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20002A87" w:usb1="80000000" w:usb2="00000008" w:usb3="00000000" w:csb0="000001FF" w:csb1="00000000"/>
  </w:font>
  <w:font w:name="Times New Roman">
    <w:panose1 w:val="02020603050405020304"/>
    <w:charset w:val="A1"/>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Wide Latin">
    <w:panose1 w:val="020A0A07050505020404"/>
    <w:charset w:val="00"/>
    <w:family w:val="roman"/>
    <w:pitch w:val="variable"/>
    <w:sig w:usb0="00000003" w:usb1="00000000" w:usb2="00000000" w:usb3="00000000" w:csb0="00000001"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 w:name="ArialMT">
    <w:panose1 w:val="00000000000000000000"/>
    <w:charset w:val="A1"/>
    <w:family w:val="auto"/>
    <w:notTrueType/>
    <w:pitch w:val="default"/>
    <w:sig w:usb0="00000081" w:usb1="00000000" w:usb2="00000000" w:usb3="00000000" w:csb0="00000008"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2736"/>
      <w:docPartObj>
        <w:docPartGallery w:val="Page Numbers (Bottom of Page)"/>
        <w:docPartUnique/>
      </w:docPartObj>
    </w:sdtPr>
    <w:sdtContent>
      <w:p w:rsidR="00692FCD" w:rsidRDefault="00692FCD">
        <w:pPr>
          <w:pStyle w:val="aa"/>
          <w:jc w:val="center"/>
        </w:pPr>
        <w:fldSimple w:instr=" PAGE   \* MERGEFORMAT ">
          <w:r w:rsidR="00F034F3">
            <w:rPr>
              <w:noProof/>
            </w:rPr>
            <w:t>14</w:t>
          </w:r>
        </w:fldSimple>
      </w:p>
    </w:sdtContent>
  </w:sdt>
  <w:p w:rsidR="00692FCD" w:rsidRDefault="00692FCD">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CD" w:rsidRDefault="00692FCD">
    <w:pPr>
      <w:pStyle w:val="aa"/>
      <w:jc w:val="center"/>
    </w:pPr>
  </w:p>
  <w:p w:rsidR="00692FCD" w:rsidRDefault="00692FC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7D8" w:rsidRDefault="00D937D8" w:rsidP="002B537F">
      <w:pPr>
        <w:spacing w:before="0"/>
      </w:pPr>
      <w:r>
        <w:separator/>
      </w:r>
    </w:p>
  </w:footnote>
  <w:footnote w:type="continuationSeparator" w:id="0">
    <w:p w:rsidR="00D937D8" w:rsidRDefault="00D937D8" w:rsidP="002B537F">
      <w:pPr>
        <w:spacing w:before="0"/>
      </w:pPr>
      <w:r>
        <w:continuationSeparator/>
      </w:r>
    </w:p>
  </w:footnote>
  <w:footnote w:id="1">
    <w:p w:rsidR="002B537F" w:rsidRPr="00750A83" w:rsidRDefault="002B537F" w:rsidP="002B537F">
      <w:pPr>
        <w:autoSpaceDE w:val="0"/>
        <w:autoSpaceDN w:val="0"/>
        <w:adjustRightInd w:val="0"/>
        <w:spacing w:before="0"/>
        <w:rPr>
          <w:rFonts w:ascii="Times New Roman" w:hAnsi="Times New Roman"/>
          <w:bCs/>
          <w:color w:val="000000"/>
          <w:sz w:val="24"/>
          <w:szCs w:val="24"/>
          <w:lang w:val="en-US"/>
        </w:rPr>
      </w:pPr>
      <w:r>
        <w:rPr>
          <w:rStyle w:val="a5"/>
        </w:rPr>
        <w:footnoteRef/>
      </w:r>
      <w:r w:rsidRPr="00750A83">
        <w:rPr>
          <w:lang w:val="en-US"/>
        </w:rPr>
        <w:t xml:space="preserve"> </w:t>
      </w:r>
      <w:r w:rsidRPr="00750A83">
        <w:rPr>
          <w:rFonts w:ascii="ArialMT" w:hAnsi="ArialMT" w:cs="ArialMT"/>
          <w:color w:val="FFFFFF"/>
          <w:sz w:val="36"/>
          <w:szCs w:val="36"/>
          <w:lang w:val="en-US"/>
        </w:rPr>
        <w:t xml:space="preserve"> </w:t>
      </w:r>
      <w:r w:rsidRPr="00750A83">
        <w:rPr>
          <w:rFonts w:ascii="Times New Roman" w:hAnsi="Times New Roman"/>
          <w:bCs/>
          <w:color w:val="000000"/>
          <w:sz w:val="24"/>
          <w:szCs w:val="24"/>
          <w:lang w:val="en-US"/>
        </w:rPr>
        <w:t>Sub-national Finances and Fiscal Consolidation WALKING ON THIN ICE</w:t>
      </w:r>
    </w:p>
    <w:p w:rsidR="002B537F" w:rsidRPr="002A65DA" w:rsidRDefault="002B537F" w:rsidP="002B537F">
      <w:pPr>
        <w:pStyle w:val="a4"/>
        <w:rPr>
          <w:lang w:val="en-US"/>
        </w:rPr>
      </w:pPr>
      <w:proofErr w:type="spellStart"/>
      <w:r w:rsidRPr="00750A83">
        <w:rPr>
          <w:rFonts w:ascii="Times New Roman" w:hAnsi="Times New Roman"/>
          <w:color w:val="000000"/>
          <w:sz w:val="24"/>
          <w:szCs w:val="24"/>
          <w:lang w:val="en-US"/>
        </w:rPr>
        <w:t>Camila</w:t>
      </w:r>
      <w:proofErr w:type="spellEnd"/>
      <w:r w:rsidRPr="00750A83">
        <w:rPr>
          <w:rFonts w:ascii="Times New Roman" w:hAnsi="Times New Roman"/>
          <w:color w:val="000000"/>
          <w:sz w:val="24"/>
          <w:szCs w:val="24"/>
          <w:lang w:val="en-US"/>
        </w:rPr>
        <w:t xml:space="preserve"> </w:t>
      </w:r>
      <w:proofErr w:type="spellStart"/>
      <w:r w:rsidRPr="00750A83">
        <w:rPr>
          <w:rFonts w:ascii="Times New Roman" w:hAnsi="Times New Roman"/>
          <w:color w:val="000000"/>
          <w:sz w:val="24"/>
          <w:szCs w:val="24"/>
          <w:lang w:val="en-US"/>
        </w:rPr>
        <w:t>Vammalle</w:t>
      </w:r>
      <w:proofErr w:type="spellEnd"/>
      <w:r w:rsidRPr="00750A83">
        <w:rPr>
          <w:rFonts w:ascii="Times New Roman" w:hAnsi="Times New Roman"/>
          <w:color w:val="000000"/>
          <w:sz w:val="24"/>
          <w:szCs w:val="24"/>
          <w:lang w:val="en-US"/>
        </w:rPr>
        <w:t xml:space="preserve">, Claudia Hulbert. </w:t>
      </w:r>
      <w:r>
        <w:rPr>
          <w:rFonts w:ascii="Times New Roman" w:hAnsi="Times New Roman"/>
          <w:color w:val="000000"/>
          <w:sz w:val="24"/>
          <w:szCs w:val="24"/>
          <w:lang w:val="en-US"/>
        </w:rPr>
        <w:t>OECD 2013</w:t>
      </w:r>
    </w:p>
  </w:footnote>
  <w:footnote w:id="2">
    <w:p w:rsidR="002B537F" w:rsidRPr="001D0FB2" w:rsidRDefault="002B537F" w:rsidP="002B537F">
      <w:pPr>
        <w:spacing w:after="120" w:line="312" w:lineRule="auto"/>
        <w:ind w:left="-284" w:right="-567"/>
        <w:jc w:val="both"/>
        <w:rPr>
          <w:rFonts w:ascii="Arial" w:hAnsi="Arial" w:cs="Arial"/>
          <w:i/>
        </w:rPr>
      </w:pPr>
      <w:r>
        <w:rPr>
          <w:rStyle w:val="a5"/>
        </w:rPr>
        <w:footnoteRef/>
      </w:r>
      <w:r>
        <w:t xml:space="preserve"> </w:t>
      </w:r>
      <w:r>
        <w:t xml:space="preserve">Στη λίστα αναφέρεται: </w:t>
      </w:r>
      <w:r w:rsidRPr="001D0FB2">
        <w:rPr>
          <w:i/>
        </w:rPr>
        <w:t>«Οι Ελληνικές αρχές θα ε</w:t>
      </w:r>
      <w:r w:rsidRPr="001D0FB2">
        <w:rPr>
          <w:rFonts w:ascii="Tahoma" w:hAnsi="Tahoma" w:cs="Tahoma"/>
          <w:i/>
          <w:color w:val="000000"/>
          <w:shd w:val="clear" w:color="auto" w:fill="FFFFFF"/>
        </w:rPr>
        <w:t>πανεξετάσουν και ελέγξουν δαπάνες σε κάθε τομέα των κυβερνητικών δαπανών (π.χ. παιδεία, άμυνα, μεταφορές, ΟΤΑ, κοινωνικά επιδόματα)»</w:t>
      </w:r>
    </w:p>
    <w:p w:rsidR="002B537F" w:rsidRPr="001D0FB2" w:rsidRDefault="002B537F" w:rsidP="002B537F">
      <w:pPr>
        <w:pStyle w:val="a4"/>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B07EF"/>
    <w:multiLevelType w:val="multilevel"/>
    <w:tmpl w:val="FBDCB51A"/>
    <w:lvl w:ilvl="0">
      <w:numFmt w:val="bullet"/>
      <w:lvlText w:val="-"/>
      <w:lvlJc w:val="left"/>
      <w:pPr>
        <w:tabs>
          <w:tab w:val="num" w:pos="240"/>
        </w:tabs>
        <w:ind w:left="240" w:hanging="240"/>
      </w:pPr>
      <w:rPr>
        <w:rFonts w:ascii="Arial" w:eastAsia="Arial" w:hAnsi="Arial" w:cs="Arial"/>
        <w:color w:val="000000"/>
        <w:position w:val="0"/>
        <w:sz w:val="22"/>
        <w:szCs w:val="22"/>
      </w:rPr>
    </w:lvl>
    <w:lvl w:ilvl="1">
      <w:start w:val="1"/>
      <w:numFmt w:val="bullet"/>
      <w:lvlText w:val="o"/>
      <w:lvlJc w:val="left"/>
      <w:pPr>
        <w:tabs>
          <w:tab w:val="num" w:pos="1156"/>
        </w:tabs>
        <w:ind w:left="1156" w:hanging="360"/>
      </w:pPr>
      <w:rPr>
        <w:rFonts w:ascii="Arial" w:eastAsia="Arial" w:hAnsi="Arial" w:cs="Arial"/>
        <w:color w:val="000000"/>
        <w:position w:val="0"/>
        <w:sz w:val="24"/>
        <w:szCs w:val="24"/>
      </w:rPr>
    </w:lvl>
    <w:lvl w:ilvl="2">
      <w:start w:val="1"/>
      <w:numFmt w:val="bullet"/>
      <w:lvlText w:val="▪"/>
      <w:lvlJc w:val="left"/>
      <w:pPr>
        <w:tabs>
          <w:tab w:val="num" w:pos="1876"/>
        </w:tabs>
        <w:ind w:left="1876" w:hanging="360"/>
      </w:pPr>
      <w:rPr>
        <w:rFonts w:ascii="Arial" w:eastAsia="Arial" w:hAnsi="Arial" w:cs="Arial"/>
        <w:color w:val="000000"/>
        <w:position w:val="0"/>
        <w:sz w:val="24"/>
        <w:szCs w:val="24"/>
      </w:rPr>
    </w:lvl>
    <w:lvl w:ilvl="3">
      <w:start w:val="1"/>
      <w:numFmt w:val="bullet"/>
      <w:lvlText w:val="•"/>
      <w:lvlJc w:val="left"/>
      <w:pPr>
        <w:tabs>
          <w:tab w:val="num" w:pos="2596"/>
        </w:tabs>
        <w:ind w:left="2596" w:hanging="360"/>
      </w:pPr>
      <w:rPr>
        <w:rFonts w:ascii="Arial" w:eastAsia="Arial" w:hAnsi="Arial" w:cs="Arial"/>
        <w:color w:val="000000"/>
        <w:position w:val="0"/>
        <w:sz w:val="24"/>
        <w:szCs w:val="24"/>
      </w:rPr>
    </w:lvl>
    <w:lvl w:ilvl="4">
      <w:start w:val="1"/>
      <w:numFmt w:val="bullet"/>
      <w:lvlText w:val="o"/>
      <w:lvlJc w:val="left"/>
      <w:pPr>
        <w:tabs>
          <w:tab w:val="num" w:pos="3316"/>
        </w:tabs>
        <w:ind w:left="3316" w:hanging="360"/>
      </w:pPr>
      <w:rPr>
        <w:rFonts w:ascii="Arial" w:eastAsia="Arial" w:hAnsi="Arial" w:cs="Arial"/>
        <w:color w:val="000000"/>
        <w:position w:val="0"/>
        <w:sz w:val="24"/>
        <w:szCs w:val="24"/>
      </w:rPr>
    </w:lvl>
    <w:lvl w:ilvl="5">
      <w:start w:val="1"/>
      <w:numFmt w:val="bullet"/>
      <w:lvlText w:val="▪"/>
      <w:lvlJc w:val="left"/>
      <w:pPr>
        <w:tabs>
          <w:tab w:val="num" w:pos="4036"/>
        </w:tabs>
        <w:ind w:left="4036" w:hanging="360"/>
      </w:pPr>
      <w:rPr>
        <w:rFonts w:ascii="Arial" w:eastAsia="Arial" w:hAnsi="Arial" w:cs="Arial"/>
        <w:color w:val="000000"/>
        <w:position w:val="0"/>
        <w:sz w:val="24"/>
        <w:szCs w:val="24"/>
      </w:rPr>
    </w:lvl>
    <w:lvl w:ilvl="6">
      <w:start w:val="1"/>
      <w:numFmt w:val="bullet"/>
      <w:lvlText w:val="•"/>
      <w:lvlJc w:val="left"/>
      <w:pPr>
        <w:tabs>
          <w:tab w:val="num" w:pos="4756"/>
        </w:tabs>
        <w:ind w:left="4756" w:hanging="360"/>
      </w:pPr>
      <w:rPr>
        <w:rFonts w:ascii="Arial" w:eastAsia="Arial" w:hAnsi="Arial" w:cs="Arial"/>
        <w:color w:val="000000"/>
        <w:position w:val="0"/>
        <w:sz w:val="24"/>
        <w:szCs w:val="24"/>
      </w:rPr>
    </w:lvl>
    <w:lvl w:ilvl="7">
      <w:start w:val="1"/>
      <w:numFmt w:val="bullet"/>
      <w:lvlText w:val="o"/>
      <w:lvlJc w:val="left"/>
      <w:pPr>
        <w:tabs>
          <w:tab w:val="num" w:pos="5476"/>
        </w:tabs>
        <w:ind w:left="5476" w:hanging="360"/>
      </w:pPr>
      <w:rPr>
        <w:rFonts w:ascii="Arial" w:eastAsia="Arial" w:hAnsi="Arial" w:cs="Arial"/>
        <w:color w:val="000000"/>
        <w:position w:val="0"/>
        <w:sz w:val="24"/>
        <w:szCs w:val="24"/>
      </w:rPr>
    </w:lvl>
    <w:lvl w:ilvl="8">
      <w:start w:val="1"/>
      <w:numFmt w:val="bullet"/>
      <w:lvlText w:val="▪"/>
      <w:lvlJc w:val="left"/>
      <w:pPr>
        <w:tabs>
          <w:tab w:val="num" w:pos="6196"/>
        </w:tabs>
        <w:ind w:left="6196" w:hanging="360"/>
      </w:pPr>
      <w:rPr>
        <w:rFonts w:ascii="Arial" w:eastAsia="Arial" w:hAnsi="Arial" w:cs="Arial"/>
        <w:color w:val="000000"/>
        <w:position w:val="0"/>
        <w:sz w:val="24"/>
        <w:szCs w:val="24"/>
      </w:rPr>
    </w:lvl>
  </w:abstractNum>
  <w:abstractNum w:abstractNumId="1">
    <w:nsid w:val="0B6C662F"/>
    <w:multiLevelType w:val="hybridMultilevel"/>
    <w:tmpl w:val="66A41AB8"/>
    <w:lvl w:ilvl="0" w:tplc="0408000F">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55A6577"/>
    <w:multiLevelType w:val="hybridMultilevel"/>
    <w:tmpl w:val="D67278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1851432"/>
    <w:multiLevelType w:val="hybridMultilevel"/>
    <w:tmpl w:val="F7BC97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857299D"/>
    <w:multiLevelType w:val="hybridMultilevel"/>
    <w:tmpl w:val="274E29C8"/>
    <w:lvl w:ilvl="0" w:tplc="04080001">
      <w:start w:val="1"/>
      <w:numFmt w:val="bullet"/>
      <w:lvlText w:val=""/>
      <w:lvlJc w:val="left"/>
      <w:pPr>
        <w:ind w:left="436" w:hanging="360"/>
      </w:pPr>
      <w:rPr>
        <w:rFonts w:ascii="Symbol" w:hAnsi="Symbol" w:hint="default"/>
      </w:rPr>
    </w:lvl>
    <w:lvl w:ilvl="1" w:tplc="04080003" w:tentative="1">
      <w:start w:val="1"/>
      <w:numFmt w:val="bullet"/>
      <w:lvlText w:val="o"/>
      <w:lvlJc w:val="left"/>
      <w:pPr>
        <w:ind w:left="1156" w:hanging="360"/>
      </w:pPr>
      <w:rPr>
        <w:rFonts w:ascii="Courier New" w:hAnsi="Courier New" w:cs="Courier New" w:hint="default"/>
      </w:rPr>
    </w:lvl>
    <w:lvl w:ilvl="2" w:tplc="04080005" w:tentative="1">
      <w:start w:val="1"/>
      <w:numFmt w:val="bullet"/>
      <w:lvlText w:val=""/>
      <w:lvlJc w:val="left"/>
      <w:pPr>
        <w:ind w:left="1876" w:hanging="360"/>
      </w:pPr>
      <w:rPr>
        <w:rFonts w:ascii="Wingdings" w:hAnsi="Wingdings" w:hint="default"/>
      </w:rPr>
    </w:lvl>
    <w:lvl w:ilvl="3" w:tplc="04080001" w:tentative="1">
      <w:start w:val="1"/>
      <w:numFmt w:val="bullet"/>
      <w:lvlText w:val=""/>
      <w:lvlJc w:val="left"/>
      <w:pPr>
        <w:ind w:left="2596" w:hanging="360"/>
      </w:pPr>
      <w:rPr>
        <w:rFonts w:ascii="Symbol" w:hAnsi="Symbol" w:hint="default"/>
      </w:rPr>
    </w:lvl>
    <w:lvl w:ilvl="4" w:tplc="04080003" w:tentative="1">
      <w:start w:val="1"/>
      <w:numFmt w:val="bullet"/>
      <w:lvlText w:val="o"/>
      <w:lvlJc w:val="left"/>
      <w:pPr>
        <w:ind w:left="3316" w:hanging="360"/>
      </w:pPr>
      <w:rPr>
        <w:rFonts w:ascii="Courier New" w:hAnsi="Courier New" w:cs="Courier New" w:hint="default"/>
      </w:rPr>
    </w:lvl>
    <w:lvl w:ilvl="5" w:tplc="04080005" w:tentative="1">
      <w:start w:val="1"/>
      <w:numFmt w:val="bullet"/>
      <w:lvlText w:val=""/>
      <w:lvlJc w:val="left"/>
      <w:pPr>
        <w:ind w:left="4036" w:hanging="360"/>
      </w:pPr>
      <w:rPr>
        <w:rFonts w:ascii="Wingdings" w:hAnsi="Wingdings" w:hint="default"/>
      </w:rPr>
    </w:lvl>
    <w:lvl w:ilvl="6" w:tplc="04080001" w:tentative="1">
      <w:start w:val="1"/>
      <w:numFmt w:val="bullet"/>
      <w:lvlText w:val=""/>
      <w:lvlJc w:val="left"/>
      <w:pPr>
        <w:ind w:left="4756" w:hanging="360"/>
      </w:pPr>
      <w:rPr>
        <w:rFonts w:ascii="Symbol" w:hAnsi="Symbol" w:hint="default"/>
      </w:rPr>
    </w:lvl>
    <w:lvl w:ilvl="7" w:tplc="04080003" w:tentative="1">
      <w:start w:val="1"/>
      <w:numFmt w:val="bullet"/>
      <w:lvlText w:val="o"/>
      <w:lvlJc w:val="left"/>
      <w:pPr>
        <w:ind w:left="5476" w:hanging="360"/>
      </w:pPr>
      <w:rPr>
        <w:rFonts w:ascii="Courier New" w:hAnsi="Courier New" w:cs="Courier New" w:hint="default"/>
      </w:rPr>
    </w:lvl>
    <w:lvl w:ilvl="8" w:tplc="04080005" w:tentative="1">
      <w:start w:val="1"/>
      <w:numFmt w:val="bullet"/>
      <w:lvlText w:val=""/>
      <w:lvlJc w:val="left"/>
      <w:pPr>
        <w:ind w:left="6196" w:hanging="360"/>
      </w:pPr>
      <w:rPr>
        <w:rFonts w:ascii="Wingdings" w:hAnsi="Wingdings" w:hint="default"/>
      </w:rPr>
    </w:lvl>
  </w:abstractNum>
  <w:abstractNum w:abstractNumId="5">
    <w:nsid w:val="3A546E18"/>
    <w:multiLevelType w:val="hybridMultilevel"/>
    <w:tmpl w:val="0680DDDE"/>
    <w:lvl w:ilvl="0" w:tplc="34BA3DB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6">
    <w:nsid w:val="52CB6C76"/>
    <w:multiLevelType w:val="multilevel"/>
    <w:tmpl w:val="8C8E8736"/>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abstractNum w:abstractNumId="7">
    <w:nsid w:val="55590F7E"/>
    <w:multiLevelType w:val="hybridMultilevel"/>
    <w:tmpl w:val="25D813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7015C1A"/>
    <w:multiLevelType w:val="multilevel"/>
    <w:tmpl w:val="16DEC700"/>
    <w:styleLink w:val="51"/>
    <w:lvl w:ilvl="0">
      <w:numFmt w:val="bullet"/>
      <w:lvlText w:val="-"/>
      <w:lvlJc w:val="left"/>
      <w:pPr>
        <w:tabs>
          <w:tab w:val="num" w:pos="240"/>
        </w:tabs>
        <w:ind w:left="240" w:hanging="240"/>
      </w:pPr>
      <w:rPr>
        <w:rFonts w:ascii="Arial" w:eastAsia="Arial" w:hAnsi="Arial" w:cs="Arial"/>
        <w:b/>
        <w:bCs/>
        <w:color w:val="000000"/>
        <w:position w:val="0"/>
        <w:sz w:val="22"/>
        <w:szCs w:val="22"/>
      </w:rPr>
    </w:lvl>
    <w:lvl w:ilvl="1">
      <w:start w:val="1"/>
      <w:numFmt w:val="bullet"/>
      <w:lvlText w:val="o"/>
      <w:lvlJc w:val="left"/>
      <w:pPr>
        <w:tabs>
          <w:tab w:val="num" w:pos="1156"/>
        </w:tabs>
        <w:ind w:left="1156" w:hanging="360"/>
      </w:pPr>
      <w:rPr>
        <w:rFonts w:ascii="Arial" w:eastAsia="Arial" w:hAnsi="Arial" w:cs="Arial"/>
        <w:b/>
        <w:bCs/>
        <w:color w:val="000000"/>
        <w:position w:val="0"/>
        <w:sz w:val="24"/>
        <w:szCs w:val="24"/>
      </w:rPr>
    </w:lvl>
    <w:lvl w:ilvl="2">
      <w:start w:val="1"/>
      <w:numFmt w:val="bullet"/>
      <w:lvlText w:val="▪"/>
      <w:lvlJc w:val="left"/>
      <w:pPr>
        <w:tabs>
          <w:tab w:val="num" w:pos="1876"/>
        </w:tabs>
        <w:ind w:left="1876" w:hanging="360"/>
      </w:pPr>
      <w:rPr>
        <w:rFonts w:ascii="Arial" w:eastAsia="Arial" w:hAnsi="Arial" w:cs="Arial"/>
        <w:b/>
        <w:bCs/>
        <w:color w:val="000000"/>
        <w:position w:val="0"/>
        <w:sz w:val="24"/>
        <w:szCs w:val="24"/>
      </w:rPr>
    </w:lvl>
    <w:lvl w:ilvl="3">
      <w:start w:val="1"/>
      <w:numFmt w:val="bullet"/>
      <w:lvlText w:val="•"/>
      <w:lvlJc w:val="left"/>
      <w:pPr>
        <w:tabs>
          <w:tab w:val="num" w:pos="2596"/>
        </w:tabs>
        <w:ind w:left="2596" w:hanging="360"/>
      </w:pPr>
      <w:rPr>
        <w:rFonts w:ascii="Arial" w:eastAsia="Arial" w:hAnsi="Arial" w:cs="Arial"/>
        <w:b/>
        <w:bCs/>
        <w:color w:val="000000"/>
        <w:position w:val="0"/>
        <w:sz w:val="24"/>
        <w:szCs w:val="24"/>
      </w:rPr>
    </w:lvl>
    <w:lvl w:ilvl="4">
      <w:start w:val="1"/>
      <w:numFmt w:val="bullet"/>
      <w:lvlText w:val="o"/>
      <w:lvlJc w:val="left"/>
      <w:pPr>
        <w:tabs>
          <w:tab w:val="num" w:pos="3316"/>
        </w:tabs>
        <w:ind w:left="3316" w:hanging="360"/>
      </w:pPr>
      <w:rPr>
        <w:rFonts w:ascii="Arial" w:eastAsia="Arial" w:hAnsi="Arial" w:cs="Arial"/>
        <w:b/>
        <w:bCs/>
        <w:color w:val="000000"/>
        <w:position w:val="0"/>
        <w:sz w:val="24"/>
        <w:szCs w:val="24"/>
      </w:rPr>
    </w:lvl>
    <w:lvl w:ilvl="5">
      <w:start w:val="1"/>
      <w:numFmt w:val="bullet"/>
      <w:lvlText w:val="▪"/>
      <w:lvlJc w:val="left"/>
      <w:pPr>
        <w:tabs>
          <w:tab w:val="num" w:pos="4036"/>
        </w:tabs>
        <w:ind w:left="4036" w:hanging="360"/>
      </w:pPr>
      <w:rPr>
        <w:rFonts w:ascii="Arial" w:eastAsia="Arial" w:hAnsi="Arial" w:cs="Arial"/>
        <w:b/>
        <w:bCs/>
        <w:color w:val="000000"/>
        <w:position w:val="0"/>
        <w:sz w:val="24"/>
        <w:szCs w:val="24"/>
      </w:rPr>
    </w:lvl>
    <w:lvl w:ilvl="6">
      <w:start w:val="1"/>
      <w:numFmt w:val="bullet"/>
      <w:lvlText w:val="•"/>
      <w:lvlJc w:val="left"/>
      <w:pPr>
        <w:tabs>
          <w:tab w:val="num" w:pos="4756"/>
        </w:tabs>
        <w:ind w:left="4756" w:hanging="360"/>
      </w:pPr>
      <w:rPr>
        <w:rFonts w:ascii="Arial" w:eastAsia="Arial" w:hAnsi="Arial" w:cs="Arial"/>
        <w:b/>
        <w:bCs/>
        <w:color w:val="000000"/>
        <w:position w:val="0"/>
        <w:sz w:val="24"/>
        <w:szCs w:val="24"/>
      </w:rPr>
    </w:lvl>
    <w:lvl w:ilvl="7">
      <w:start w:val="1"/>
      <w:numFmt w:val="bullet"/>
      <w:lvlText w:val="o"/>
      <w:lvlJc w:val="left"/>
      <w:pPr>
        <w:tabs>
          <w:tab w:val="num" w:pos="5476"/>
        </w:tabs>
        <w:ind w:left="5476" w:hanging="360"/>
      </w:pPr>
      <w:rPr>
        <w:rFonts w:ascii="Arial" w:eastAsia="Arial" w:hAnsi="Arial" w:cs="Arial"/>
        <w:b/>
        <w:bCs/>
        <w:color w:val="000000"/>
        <w:position w:val="0"/>
        <w:sz w:val="24"/>
        <w:szCs w:val="24"/>
      </w:rPr>
    </w:lvl>
    <w:lvl w:ilvl="8">
      <w:start w:val="1"/>
      <w:numFmt w:val="bullet"/>
      <w:lvlText w:val="▪"/>
      <w:lvlJc w:val="left"/>
      <w:pPr>
        <w:tabs>
          <w:tab w:val="num" w:pos="6196"/>
        </w:tabs>
        <w:ind w:left="6196" w:hanging="360"/>
      </w:pPr>
      <w:rPr>
        <w:rFonts w:ascii="Arial" w:eastAsia="Arial" w:hAnsi="Arial" w:cs="Arial"/>
        <w:b/>
        <w:bCs/>
        <w:color w:val="000000"/>
        <w:position w:val="0"/>
        <w:sz w:val="24"/>
        <w:szCs w:val="24"/>
      </w:rPr>
    </w:lvl>
  </w:abstractNum>
  <w:abstractNum w:abstractNumId="9">
    <w:nsid w:val="67103075"/>
    <w:multiLevelType w:val="hybridMultilevel"/>
    <w:tmpl w:val="B93A7F6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693C024F"/>
    <w:multiLevelType w:val="multilevel"/>
    <w:tmpl w:val="9380F92E"/>
    <w:styleLink w:val="List6"/>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abstractNum w:abstractNumId="11">
    <w:nsid w:val="731709F2"/>
    <w:multiLevelType w:val="multilevel"/>
    <w:tmpl w:val="5E1E1DE8"/>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num w:numId="1">
    <w:abstractNumId w:val="3"/>
  </w:num>
  <w:num w:numId="2">
    <w:abstractNumId w:val="4"/>
  </w:num>
  <w:num w:numId="3">
    <w:abstractNumId w:val="2"/>
  </w:num>
  <w:num w:numId="4">
    <w:abstractNumId w:val="9"/>
  </w:num>
  <w:num w:numId="5">
    <w:abstractNumId w:val="5"/>
  </w:num>
  <w:num w:numId="6">
    <w:abstractNumId w:val="1"/>
  </w:num>
  <w:num w:numId="7">
    <w:abstractNumId w:val="0"/>
  </w:num>
  <w:num w:numId="8">
    <w:abstractNumId w:val="8"/>
  </w:num>
  <w:num w:numId="9">
    <w:abstractNumId w:val="6"/>
  </w:num>
  <w:num w:numId="10">
    <w:abstractNumId w:val="11"/>
  </w:num>
  <w:num w:numId="11">
    <w:abstractNumId w:val="10"/>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B537F"/>
    <w:rsid w:val="002044C2"/>
    <w:rsid w:val="002B537F"/>
    <w:rsid w:val="00347FA2"/>
    <w:rsid w:val="004D049D"/>
    <w:rsid w:val="00692FCD"/>
    <w:rsid w:val="00D937D8"/>
    <w:rsid w:val="00E65FD3"/>
    <w:rsid w:val="00F034F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37F"/>
    <w:pPr>
      <w:spacing w:before="120"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537F"/>
    <w:pPr>
      <w:ind w:left="720"/>
      <w:contextualSpacing/>
    </w:pPr>
  </w:style>
  <w:style w:type="paragraph" w:styleId="a4">
    <w:name w:val="footnote text"/>
    <w:basedOn w:val="a"/>
    <w:link w:val="Char"/>
    <w:uiPriority w:val="99"/>
    <w:semiHidden/>
    <w:unhideWhenUsed/>
    <w:rsid w:val="002B537F"/>
    <w:pPr>
      <w:spacing w:before="0"/>
    </w:pPr>
    <w:rPr>
      <w:sz w:val="20"/>
      <w:szCs w:val="20"/>
    </w:rPr>
  </w:style>
  <w:style w:type="character" w:customStyle="1" w:styleId="Char">
    <w:name w:val="Κείμενο υποσημείωσης Char"/>
    <w:basedOn w:val="a0"/>
    <w:link w:val="a4"/>
    <w:uiPriority w:val="99"/>
    <w:semiHidden/>
    <w:rsid w:val="002B537F"/>
    <w:rPr>
      <w:rFonts w:ascii="Calibri" w:eastAsia="Calibri" w:hAnsi="Calibri" w:cs="Times New Roman"/>
      <w:sz w:val="20"/>
      <w:szCs w:val="20"/>
    </w:rPr>
  </w:style>
  <w:style w:type="character" w:styleId="a5">
    <w:name w:val="footnote reference"/>
    <w:basedOn w:val="a0"/>
    <w:uiPriority w:val="99"/>
    <w:semiHidden/>
    <w:unhideWhenUsed/>
    <w:rsid w:val="002B537F"/>
    <w:rPr>
      <w:vertAlign w:val="superscript"/>
    </w:rPr>
  </w:style>
  <w:style w:type="paragraph" w:styleId="a6">
    <w:name w:val="Body Text"/>
    <w:basedOn w:val="a"/>
    <w:link w:val="Char0"/>
    <w:rsid w:val="002B537F"/>
    <w:pPr>
      <w:spacing w:after="120" w:line="360" w:lineRule="auto"/>
      <w:jc w:val="both"/>
    </w:pPr>
    <w:rPr>
      <w:rFonts w:ascii="Times New Roman" w:eastAsia="Times New Roman" w:hAnsi="Times New Roman"/>
      <w:szCs w:val="24"/>
      <w:lang w:eastAsia="el-GR"/>
    </w:rPr>
  </w:style>
  <w:style w:type="character" w:customStyle="1" w:styleId="Char0">
    <w:name w:val="Σώμα κειμένου Char"/>
    <w:basedOn w:val="a0"/>
    <w:link w:val="a6"/>
    <w:rsid w:val="002B537F"/>
    <w:rPr>
      <w:rFonts w:ascii="Times New Roman" w:eastAsia="Times New Roman" w:hAnsi="Times New Roman" w:cs="Times New Roman"/>
      <w:szCs w:val="24"/>
      <w:lang w:eastAsia="el-GR"/>
    </w:rPr>
  </w:style>
  <w:style w:type="paragraph" w:customStyle="1" w:styleId="Body">
    <w:name w:val="Body"/>
    <w:rsid w:val="002B537F"/>
    <w:pPr>
      <w:pBdr>
        <w:top w:val="nil"/>
        <w:left w:val="nil"/>
        <w:bottom w:val="nil"/>
        <w:right w:val="nil"/>
        <w:between w:val="nil"/>
        <w:bar w:val="nil"/>
      </w:pBdr>
    </w:pPr>
    <w:rPr>
      <w:rFonts w:ascii="Calibri" w:eastAsia="Arial Unicode MS" w:hAnsi="Arial Unicode MS" w:cs="Arial Unicode MS"/>
      <w:color w:val="000000"/>
      <w:u w:color="000000"/>
      <w:bdr w:val="nil"/>
      <w:lang w:eastAsia="el-GR"/>
    </w:rPr>
  </w:style>
  <w:style w:type="paragraph" w:styleId="Web">
    <w:name w:val="Normal (Web)"/>
    <w:rsid w:val="002B537F"/>
    <w:pPr>
      <w:pBdr>
        <w:top w:val="nil"/>
        <w:left w:val="nil"/>
        <w:bottom w:val="nil"/>
        <w:right w:val="nil"/>
        <w:between w:val="nil"/>
        <w:bar w:val="nil"/>
      </w:pBdr>
      <w:spacing w:before="100" w:after="100" w:line="240" w:lineRule="auto"/>
    </w:pPr>
    <w:rPr>
      <w:rFonts w:ascii="Times New Roman" w:eastAsia="Times New Roman" w:hAnsi="Times New Roman" w:cs="Times New Roman"/>
      <w:color w:val="000000"/>
      <w:sz w:val="24"/>
      <w:szCs w:val="24"/>
      <w:u w:color="000000"/>
      <w:bdr w:val="nil"/>
      <w:lang w:eastAsia="el-GR"/>
    </w:rPr>
  </w:style>
  <w:style w:type="numbering" w:customStyle="1" w:styleId="51">
    <w:name w:val="Λίστα 51"/>
    <w:basedOn w:val="a2"/>
    <w:rsid w:val="002B537F"/>
    <w:pPr>
      <w:numPr>
        <w:numId w:val="8"/>
      </w:numPr>
    </w:pPr>
  </w:style>
  <w:style w:type="numbering" w:customStyle="1" w:styleId="List6">
    <w:name w:val="List 6"/>
    <w:basedOn w:val="a2"/>
    <w:rsid w:val="002B537F"/>
    <w:pPr>
      <w:numPr>
        <w:numId w:val="11"/>
      </w:numPr>
    </w:pPr>
  </w:style>
  <w:style w:type="paragraph" w:customStyle="1" w:styleId="Default">
    <w:name w:val="Default"/>
    <w:rsid w:val="002B537F"/>
    <w:pPr>
      <w:autoSpaceDE w:val="0"/>
      <w:autoSpaceDN w:val="0"/>
      <w:adjustRightInd w:val="0"/>
      <w:spacing w:after="0" w:line="240" w:lineRule="auto"/>
    </w:pPr>
    <w:rPr>
      <w:rFonts w:ascii="Wide Latin" w:eastAsia="Calibri" w:hAnsi="Wide Latin" w:cs="Wide Latin"/>
      <w:color w:val="000000"/>
      <w:sz w:val="24"/>
      <w:szCs w:val="24"/>
    </w:rPr>
  </w:style>
  <w:style w:type="paragraph" w:styleId="a7">
    <w:name w:val="header"/>
    <w:basedOn w:val="a"/>
    <w:link w:val="Char1"/>
    <w:uiPriority w:val="99"/>
    <w:unhideWhenUsed/>
    <w:rsid w:val="002B537F"/>
    <w:pPr>
      <w:tabs>
        <w:tab w:val="center" w:pos="4153"/>
        <w:tab w:val="right" w:pos="8306"/>
      </w:tabs>
      <w:spacing w:before="0"/>
    </w:pPr>
  </w:style>
  <w:style w:type="character" w:customStyle="1" w:styleId="Char1">
    <w:name w:val="Κεφαλίδα Char"/>
    <w:basedOn w:val="a0"/>
    <w:link w:val="a7"/>
    <w:uiPriority w:val="99"/>
    <w:rsid w:val="002B537F"/>
    <w:rPr>
      <w:rFonts w:ascii="Calibri" w:eastAsia="Calibri" w:hAnsi="Calibri" w:cs="Times New Roman"/>
    </w:rPr>
  </w:style>
  <w:style w:type="paragraph" w:styleId="a8">
    <w:name w:val="Balloon Text"/>
    <w:basedOn w:val="a"/>
    <w:link w:val="Char2"/>
    <w:uiPriority w:val="99"/>
    <w:semiHidden/>
    <w:unhideWhenUsed/>
    <w:rsid w:val="002B537F"/>
    <w:pPr>
      <w:spacing w:before="0"/>
    </w:pPr>
    <w:rPr>
      <w:rFonts w:ascii="Tahoma" w:hAnsi="Tahoma" w:cs="Tahoma"/>
      <w:sz w:val="16"/>
      <w:szCs w:val="16"/>
    </w:rPr>
  </w:style>
  <w:style w:type="character" w:customStyle="1" w:styleId="Char2">
    <w:name w:val="Κείμενο πλαισίου Char"/>
    <w:basedOn w:val="a0"/>
    <w:link w:val="a8"/>
    <w:uiPriority w:val="99"/>
    <w:semiHidden/>
    <w:rsid w:val="002B537F"/>
    <w:rPr>
      <w:rFonts w:ascii="Tahoma" w:eastAsia="Calibri" w:hAnsi="Tahoma" w:cs="Tahoma"/>
      <w:sz w:val="16"/>
      <w:szCs w:val="16"/>
    </w:rPr>
  </w:style>
  <w:style w:type="table" w:styleId="a9">
    <w:name w:val="Light Grid"/>
    <w:basedOn w:val="a1"/>
    <w:uiPriority w:val="62"/>
    <w:rsid w:val="002B537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a">
    <w:name w:val="footer"/>
    <w:basedOn w:val="a"/>
    <w:link w:val="Char3"/>
    <w:uiPriority w:val="99"/>
    <w:unhideWhenUsed/>
    <w:rsid w:val="004D049D"/>
    <w:pPr>
      <w:tabs>
        <w:tab w:val="center" w:pos="4153"/>
        <w:tab w:val="right" w:pos="8306"/>
      </w:tabs>
      <w:spacing w:before="0"/>
    </w:pPr>
  </w:style>
  <w:style w:type="character" w:customStyle="1" w:styleId="Char3">
    <w:name w:val="Υποσέλιδο Char"/>
    <w:basedOn w:val="a0"/>
    <w:link w:val="aa"/>
    <w:uiPriority w:val="99"/>
    <w:rsid w:val="004D049D"/>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chart" Target="charts/chart3.xm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5.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914;&#953;&#946;&#955;&#943;&#959;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mitsou\&#917;&#960;&#953;&#966;&#940;&#957;&#949;&#953;&#945;%20&#949;&#961;&#947;&#945;&#963;&#943;&#945;&#962;\&#949;&#953;&#963;&#951;&#947;&#951;&#963;&#95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mitsou\&#917;&#960;&#953;&#966;&#940;&#957;&#949;&#953;&#945;%20&#949;&#961;&#947;&#945;&#963;&#943;&#945;&#962;\&#949;&#953;&#963;&#951;&#947;&#951;&#963;&#95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l-GR"/>
  <c:style val="7"/>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Έσοδα ΤΑ/ΑΕΠ</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spPr>
            <a:solidFill>
              <a:schemeClr val="accent5"/>
            </a:solidFill>
            <a:ln>
              <a:noFill/>
            </a:ln>
            <a:effectLst/>
            <a:sp3d/>
          </c:spPr>
          <c:dLbls>
            <c:dLbl>
              <c:idx val="0"/>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l-GR"/>
                </a:p>
              </c:txPr>
              <c:showVal val="1"/>
              <c:extLst>
                <c:ext xmlns:c15="http://schemas.microsoft.com/office/drawing/2012/chart" uri="{CE6537A1-D6FC-4f65-9D91-7224C49458BB}">
                  <c15:spPr xmlns:c15="http://schemas.microsoft.com/office/drawing/2012/chart">
                    <a:prstGeom prst="wedgeRectCallout">
                      <a:avLst>
                        <a:gd name="adj1" fmla="val 0"/>
                        <a:gd name="adj2" fmla="val 51063"/>
                      </a:avLst>
                    </a:prstGeom>
                    <a:noFill/>
                    <a:ln>
                      <a:noFill/>
                    </a:ln>
                  </c15:spPr>
                </c:ext>
              </c:extLst>
            </c:dLbl>
            <c:dLbl>
              <c:idx val="1"/>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l-GR"/>
                </a:p>
              </c:txPr>
              <c:showVal val="1"/>
              <c:extLst>
                <c:ext xmlns:c15="http://schemas.microsoft.com/office/drawing/2012/chart" uri="{CE6537A1-D6FC-4f65-9D91-7224C49458BB}">
                  <c15:spPr xmlns:c15="http://schemas.microsoft.com/office/drawing/2012/chart">
                    <a:prstGeom prst="wedgeRectCallout">
                      <a:avLst>
                        <a:gd name="adj1" fmla="val -6775"/>
                        <a:gd name="adj2" fmla="val 56374"/>
                      </a:avLst>
                    </a:prstGeom>
                    <a:noFill/>
                    <a:ln>
                      <a:noFill/>
                    </a:ln>
                  </c15:spPr>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l-GR"/>
              </a:p>
            </c:txPr>
            <c:showVal val="1"/>
            <c:showCatName val="1"/>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Φύλλο1!$A$1:$A$2</c:f>
              <c:strCache>
                <c:ptCount val="2"/>
                <c:pt idx="0">
                  <c:v>Ελλάδα</c:v>
                </c:pt>
                <c:pt idx="1">
                  <c:v>Μ.Ο. ΕΕ 27</c:v>
                </c:pt>
              </c:strCache>
            </c:strRef>
          </c:cat>
          <c:val>
            <c:numRef>
              <c:f>Φύλλο1!$B$1:$B$2</c:f>
              <c:numCache>
                <c:formatCode>General</c:formatCode>
                <c:ptCount val="2"/>
                <c:pt idx="0">
                  <c:v>3.5</c:v>
                </c:pt>
                <c:pt idx="1">
                  <c:v>11.8</c:v>
                </c:pt>
              </c:numCache>
            </c:numRef>
          </c:val>
        </c:ser>
        <c:shape val="box"/>
        <c:axId val="110779392"/>
        <c:axId val="110803584"/>
        <c:axId val="0"/>
      </c:bar3DChart>
      <c:catAx>
        <c:axId val="11077939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10803584"/>
        <c:crosses val="autoZero"/>
        <c:auto val="1"/>
        <c:lblAlgn val="ctr"/>
        <c:lblOffset val="100"/>
      </c:catAx>
      <c:valAx>
        <c:axId val="11080358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1077939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l-GR"/>
  <c:roundedCorners val="1"/>
  <c:chart>
    <c:autoTitleDeleted val="1"/>
    <c:view3D>
      <c:rotX val="0"/>
      <c:rotY val="0"/>
      <c:rAngAx val="1"/>
    </c:view3D>
    <c:plotArea>
      <c:layout/>
      <c:bar3DChart>
        <c:barDir val="col"/>
        <c:grouping val="clustered"/>
        <c:varyColors val="1"/>
        <c:ser>
          <c:idx val="0"/>
          <c:order val="0"/>
          <c:invertIfNegative val="1"/>
          <c:dPt>
            <c:idx val="0"/>
            <c:invertIfNegative val="1"/>
            <c:spPr>
              <a:solidFill>
                <a:schemeClr val="accent6">
                  <a:lumMod val="75000"/>
                </a:schemeClr>
              </a:solidFill>
              <a:scene3d>
                <a:camera prst="orthographicFront"/>
                <a:lightRig rig="threePt" dir="t"/>
              </a:scene3d>
              <a:sp3d>
                <a:bevelT/>
                <a:bevelB/>
              </a:sp3d>
            </c:spPr>
          </c:dPt>
          <c:dPt>
            <c:idx val="1"/>
            <c:invertIfNegative val="1"/>
            <c:spPr>
              <a:solidFill>
                <a:schemeClr val="bg2">
                  <a:lumMod val="25000"/>
                </a:schemeClr>
              </a:solidFill>
              <a:scene3d>
                <a:camera prst="orthographicFront"/>
                <a:lightRig rig="threePt" dir="t"/>
              </a:scene3d>
              <a:sp3d>
                <a:bevelT/>
                <a:bevelB/>
              </a:sp3d>
            </c:spPr>
          </c:dPt>
          <c:cat>
            <c:strRef>
              <c:f>Φύλλο1!$B$65:$B$66</c:f>
              <c:strCache>
                <c:ptCount val="2"/>
                <c:pt idx="0">
                  <c:v>Επιχορηγήσεις </c:v>
                </c:pt>
                <c:pt idx="1">
                  <c:v>Μισθοδοσία</c:v>
                </c:pt>
              </c:strCache>
            </c:strRef>
          </c:cat>
          <c:val>
            <c:numRef>
              <c:f>Φύλλο1!$C$65:$C$66</c:f>
              <c:numCache>
                <c:formatCode>#,##0</c:formatCode>
                <c:ptCount val="2"/>
                <c:pt idx="0">
                  <c:v>1152</c:v>
                </c:pt>
                <c:pt idx="1">
                  <c:v>1546</c:v>
                </c:pt>
              </c:numCache>
            </c:numRef>
          </c:val>
        </c:ser>
        <c:gapWidth val="84"/>
        <c:gapDepth val="62"/>
        <c:shape val="box"/>
        <c:axId val="190038400"/>
        <c:axId val="190040320"/>
        <c:axId val="0"/>
      </c:bar3DChart>
      <c:catAx>
        <c:axId val="190038400"/>
        <c:scaling>
          <c:orientation val="minMax"/>
        </c:scaling>
        <c:delete val="1"/>
        <c:axPos val="b"/>
        <c:numFmt formatCode="General" sourceLinked="0"/>
        <c:majorTickMark val="cross"/>
        <c:minorTickMark val="cross"/>
        <c:tickLblPos val="none"/>
        <c:crossAx val="190040320"/>
        <c:crosses val="autoZero"/>
        <c:auto val="1"/>
        <c:lblAlgn val="ctr"/>
        <c:lblOffset val="100"/>
        <c:noMultiLvlLbl val="1"/>
      </c:catAx>
      <c:valAx>
        <c:axId val="190040320"/>
        <c:scaling>
          <c:orientation val="minMax"/>
        </c:scaling>
        <c:delete val="1"/>
        <c:axPos val="l"/>
        <c:majorGridlines/>
        <c:numFmt formatCode="#,##0" sourceLinked="1"/>
        <c:majorTickMark val="cross"/>
        <c:minorTickMark val="cross"/>
        <c:tickLblPos val="none"/>
        <c:crossAx val="190038400"/>
        <c:crosses val="autoZero"/>
        <c:crossBetween val="between"/>
      </c:valAx>
    </c:plotArea>
    <c:plotVisOnly val="1"/>
    <c:dispBlanksAs val="zero"/>
    <c:showDLblsOverMax val="1"/>
  </c:chart>
  <c:spPr>
    <a:noFill/>
    <a:ln>
      <a:noFill/>
    </a:ln>
    <a:scene3d>
      <a:camera prst="orthographicFront"/>
      <a:lightRig rig="threePt" dir="t"/>
    </a:scene3d>
    <a:sp3d>
      <a:bevelB/>
    </a:sp3d>
  </c:spPr>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l-GR"/>
  <c:roundedCorners val="1"/>
  <c:chart>
    <c:autoTitleDeleted val="1"/>
    <c:view3D>
      <c:rotX val="0"/>
      <c:rotY val="0"/>
      <c:rAngAx val="1"/>
    </c:view3D>
    <c:plotArea>
      <c:layout/>
      <c:bar3DChart>
        <c:barDir val="col"/>
        <c:grouping val="clustered"/>
        <c:varyColors val="1"/>
        <c:ser>
          <c:idx val="0"/>
          <c:order val="0"/>
          <c:tx>
            <c:strRef>
              <c:f>Φύλλο1!$C$14</c:f>
              <c:strCache>
                <c:ptCount val="1"/>
                <c:pt idx="0">
                  <c:v>ΣΑΤΑ</c:v>
                </c:pt>
              </c:strCache>
            </c:strRef>
          </c:tx>
          <c:spPr>
            <a:solidFill>
              <a:srgbClr val="BF9000"/>
            </a:solidFill>
            <a:scene3d>
              <a:camera prst="orthographicFront"/>
              <a:lightRig rig="threePt" dir="t"/>
            </a:scene3d>
            <a:sp3d>
              <a:bevelT/>
              <a:bevelB/>
            </a:sp3d>
          </c:spPr>
          <c:invertIfNegative val="1"/>
          <c:cat>
            <c:numRef>
              <c:f>Φύλλο1!$B$15:$B$20</c:f>
              <c:numCache>
                <c:formatCode>General</c:formatCode>
                <c:ptCount val="6"/>
                <c:pt idx="0">
                  <c:v>2009</c:v>
                </c:pt>
                <c:pt idx="1">
                  <c:v>2010</c:v>
                </c:pt>
                <c:pt idx="2">
                  <c:v>2011</c:v>
                </c:pt>
                <c:pt idx="3">
                  <c:v>2012</c:v>
                </c:pt>
                <c:pt idx="4">
                  <c:v>2013</c:v>
                </c:pt>
                <c:pt idx="5">
                  <c:v>2014</c:v>
                </c:pt>
              </c:numCache>
            </c:numRef>
          </c:cat>
          <c:val>
            <c:numRef>
              <c:f>Φύλλο1!$C$15:$C$20</c:f>
              <c:numCache>
                <c:formatCode>#,##0</c:formatCode>
                <c:ptCount val="6"/>
                <c:pt idx="0">
                  <c:v>1107500000</c:v>
                </c:pt>
                <c:pt idx="1">
                  <c:v>800000000</c:v>
                </c:pt>
                <c:pt idx="2">
                  <c:v>540305100</c:v>
                </c:pt>
                <c:pt idx="3">
                  <c:v>367500000</c:v>
                </c:pt>
                <c:pt idx="4">
                  <c:v>290000000</c:v>
                </c:pt>
                <c:pt idx="5">
                  <c:v>180000000</c:v>
                </c:pt>
              </c:numCache>
            </c:numRef>
          </c:val>
          <c:extLst>
            <c:ext xmlns:c14="http://schemas.microsoft.com/office/drawing/2007/8/2/chart" uri="{6F2FDCE9-48DA-4B69-8628-5D25D57E5C99}">
              <c14:invertSolidFillFmt>
                <c14:spPr xmlns:c14="http://schemas.microsoft.com/office/drawing/2007/8/2/chart">
                  <a:solidFill>
                    <a:srgbClr val="FFFFFF"/>
                  </a:solidFill>
                  <a:scene3d>
                    <a:camera prst="orthographicFront"/>
                    <a:lightRig rig="threePt" dir="t"/>
                  </a:scene3d>
                  <a:sp3d>
                    <a:bevelT/>
                    <a:bevelB/>
                  </a:sp3d>
                </c14:spPr>
              </c14:invertSolidFillFmt>
            </c:ext>
          </c:extLst>
        </c:ser>
        <c:gapWidth val="50"/>
        <c:gapDepth val="54"/>
        <c:shape val="box"/>
        <c:axId val="197309568"/>
        <c:axId val="197311488"/>
        <c:axId val="0"/>
      </c:bar3DChart>
      <c:catAx>
        <c:axId val="197309568"/>
        <c:scaling>
          <c:orientation val="minMax"/>
        </c:scaling>
        <c:delete val="1"/>
        <c:axPos val="b"/>
        <c:numFmt formatCode="General" sourceLinked="1"/>
        <c:majorTickMark val="cross"/>
        <c:minorTickMark val="cross"/>
        <c:tickLblPos val="none"/>
        <c:crossAx val="197311488"/>
        <c:crosses val="autoZero"/>
        <c:auto val="1"/>
        <c:lblAlgn val="ctr"/>
        <c:lblOffset val="100"/>
        <c:noMultiLvlLbl val="1"/>
      </c:catAx>
      <c:valAx>
        <c:axId val="197311488"/>
        <c:scaling>
          <c:orientation val="minMax"/>
        </c:scaling>
        <c:delete val="1"/>
        <c:axPos val="l"/>
        <c:majorGridlines/>
        <c:numFmt formatCode="#,##0" sourceLinked="1"/>
        <c:majorTickMark val="cross"/>
        <c:minorTickMark val="cross"/>
        <c:tickLblPos val="none"/>
        <c:crossAx val="197309568"/>
        <c:crosses val="autoZero"/>
        <c:crossBetween val="between"/>
      </c:valAx>
    </c:plotArea>
    <c:plotVisOnly val="1"/>
    <c:dispBlanksAs val="zero"/>
    <c:showDLblsOverMax val="1"/>
  </c:chart>
  <c:spPr>
    <a:noFill/>
    <a:ln>
      <a:noFill/>
    </a:ln>
    <a:scene3d>
      <a:camera prst="orthographicFront"/>
      <a:lightRig rig="threePt" dir="t"/>
    </a:scene3d>
    <a:sp3d>
      <a:bevelB/>
    </a:sp3d>
  </c:spPr>
  <c:txPr>
    <a:bodyPr/>
    <a:lstStyle/>
    <a:p>
      <a:pPr>
        <a:defRPr>
          <a:latin typeface="Arial" pitchFamily="34" charset="0"/>
          <a:cs typeface="Arial" pitchFamily="34" charset="0"/>
        </a:defRPr>
      </a:pPr>
      <a:endParaRPr lang="el-GR"/>
    </a:p>
  </c:txPr>
  <c:externalData r:id="rId1">
    <c:autoUpdate val="1"/>
  </c:externalData>
</c:chartSpac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15</Pages>
  <Words>2822</Words>
  <Characters>15239</Characters>
  <Application>Microsoft Office Word</Application>
  <DocSecurity>0</DocSecurity>
  <Lines>126</Lines>
  <Paragraphs>36</Paragraphs>
  <ScaleCrop>false</ScaleCrop>
  <Company/>
  <LinksUpToDate>false</LinksUpToDate>
  <CharactersWithSpaces>18025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kedke</dc:creator>
  <cp:keywords/>
  <dc:description/>
  <cp:lastModifiedBy>kedke</cp:lastModifiedBy>
  <cp:revision>6</cp:revision>
  <dcterms:created xsi:type="dcterms:W3CDTF">2015-03-02T07:23:00Z</dcterms:created>
  <dcterms:modified xsi:type="dcterms:W3CDTF">2015-03-02T07:33:00Z</dcterms:modified>
</cp:coreProperties>
</file>