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59" w:lineRule="auto"/>
        <w:ind w:right="26"/>
        <w:jc w:val="both"/>
        <w:rPr>
          <w:sz w:val="24"/>
          <w:szCs w:val="24"/>
        </w:rPr>
      </w:pPr>
      <w:bookmarkStart w:colFirst="0" w:colLast="0" w:name="_ffbhew81pexv" w:id="0"/>
      <w:bookmarkEnd w:id="0"/>
      <w:r w:rsidDel="00000000" w:rsidR="00000000" w:rsidRPr="00000000">
        <w:rPr>
          <w:sz w:val="24"/>
          <w:szCs w:val="24"/>
        </w:rPr>
        <w:drawing>
          <wp:inline distB="0" distT="0" distL="0" distR="0">
            <wp:extent cx="850900" cy="819150"/>
            <wp:effectExtent b="0" l="0" r="0" t="0"/>
            <wp:docPr descr="Εικόνα που περιέχει κείμενο, γραμματοσειρά, γραφικά, λογότυπο&#10;&#10;Το περιεχόμενο που δημιουργείται από AI ενδέχεται να είναι εσφαλμένο." id="1" name="image1.jpg"/>
            <a:graphic>
              <a:graphicData uri="http://schemas.openxmlformats.org/drawingml/2006/picture">
                <pic:pic>
                  <pic:nvPicPr>
                    <pic:cNvPr descr="Εικόνα που περιέχει κείμενο, γραμματοσειρά, γραφικά, λογότυπο&#10;&#10;Το περιεχόμενο που δημιουργείται από AI ενδέχεται να είναι εσφαλμένο." id="0" name="image1.jpg"/>
                    <pic:cNvPicPr preferRelativeResize="0"/>
                  </pic:nvPicPr>
                  <pic:blipFill>
                    <a:blip r:embed="rId6"/>
                    <a:srcRect b="0" l="0" r="0" t="0"/>
                    <a:stretch>
                      <a:fillRect/>
                    </a:stretch>
                  </pic:blipFill>
                  <pic:spPr>
                    <a:xfrm>
                      <a:off x="0" y="0"/>
                      <a:ext cx="850900" cy="8191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line="259" w:lineRule="auto"/>
        <w:ind w:right="26"/>
        <w:jc w:val="both"/>
        <w:rPr>
          <w:b w:val="1"/>
          <w:bCs w:val="1"/>
          <w:sz w:val="24"/>
          <w:szCs w:val="24"/>
        </w:rPr>
      </w:pPr>
      <w:r w:rsidDel="00000000" w:rsidR="00000000" w:rsidRPr="00000000">
        <w:rPr>
          <w:b w:val="1"/>
          <w:bCs w:val="1"/>
          <w:sz w:val="24"/>
          <w:szCs w:val="24"/>
          <w:rtl w:val="0"/>
        </w:rPr>
        <w:t xml:space="preserve">ΚΕΝΤΡΙΚΗ ΕΝΩΣΗ </w:t>
        <w:tab/>
        <w:tab/>
        <w:tab/>
        <w:tab/>
        <w:tab/>
        <w:tab/>
        <w:tab/>
        <w:t xml:space="preserve">Αθήνα, 28/6/2026</w:t>
      </w:r>
    </w:p>
    <w:p w:rsidR="00000000" w:rsidDel="00000000" w:rsidP="00000000" w:rsidRDefault="00000000" w:rsidRPr="00000000" w14:paraId="00000003">
      <w:pPr>
        <w:spacing w:after="120" w:line="259" w:lineRule="auto"/>
        <w:ind w:right="26"/>
        <w:jc w:val="both"/>
        <w:rPr>
          <w:b w:val="1"/>
          <w:bCs w:val="1"/>
          <w:sz w:val="24"/>
          <w:szCs w:val="24"/>
        </w:rPr>
      </w:pPr>
      <w:r w:rsidDel="00000000" w:rsidR="00000000" w:rsidRPr="00000000">
        <w:rPr>
          <w:b w:val="1"/>
          <w:bCs w:val="1"/>
          <w:sz w:val="24"/>
          <w:szCs w:val="24"/>
          <w:rtl w:val="0"/>
        </w:rPr>
        <w:t xml:space="preserve">ΔΗΜΩΝ ΕΛΛΑΔΑΣ</w:t>
      </w:r>
    </w:p>
    <w:p w:rsidR="00000000" w:rsidDel="00000000" w:rsidP="00000000" w:rsidRDefault="00000000" w:rsidRPr="00000000" w14:paraId="00000004">
      <w:pPr>
        <w:spacing w:after="160" w:line="259" w:lineRule="auto"/>
        <w:jc w:val="center"/>
        <w:rPr>
          <w:b w:val="1"/>
          <w:bCs w:val="1"/>
          <w:sz w:val="24"/>
          <w:szCs w:val="24"/>
        </w:rPr>
      </w:pPr>
      <w:r w:rsidDel="00000000" w:rsidR="00000000" w:rsidRPr="00000000">
        <w:rPr>
          <w:rtl w:val="0"/>
        </w:rPr>
      </w:r>
    </w:p>
    <w:p w:rsidR="00000000" w:rsidDel="00000000" w:rsidP="00000000" w:rsidRDefault="00000000" w:rsidRPr="00000000" w14:paraId="00000005">
      <w:pPr>
        <w:spacing w:after="160" w:line="259" w:lineRule="auto"/>
        <w:jc w:val="center"/>
        <w:rPr>
          <w:b w:val="1"/>
          <w:bCs w:val="1"/>
          <w:sz w:val="24"/>
          <w:szCs w:val="24"/>
        </w:rPr>
      </w:pPr>
      <w:r w:rsidDel="00000000" w:rsidR="00000000" w:rsidRPr="00000000">
        <w:rPr>
          <w:b w:val="1"/>
          <w:bCs w:val="1"/>
          <w:sz w:val="24"/>
          <w:szCs w:val="24"/>
          <w:rtl w:val="0"/>
        </w:rPr>
        <w:t xml:space="preserve">ΔΕΛΤΙΟ ΤΥΠΟΥ</w:t>
      </w:r>
    </w:p>
    <w:p w:rsidR="00000000" w:rsidDel="00000000" w:rsidP="00000000" w:rsidRDefault="00000000" w:rsidRPr="00000000" w14:paraId="00000006">
      <w:pPr>
        <w:spacing w:after="160" w:line="259" w:lineRule="auto"/>
        <w:jc w:val="center"/>
        <w:rPr>
          <w:b w:val="1"/>
          <w:bCs w:val="1"/>
          <w:sz w:val="24"/>
          <w:szCs w:val="24"/>
        </w:rPr>
      </w:pPr>
      <w:r w:rsidDel="00000000" w:rsidR="00000000" w:rsidRPr="00000000">
        <w:rPr>
          <w:rtl w:val="0"/>
        </w:rPr>
      </w:r>
    </w:p>
    <w:p w:rsidR="00000000" w:rsidDel="00000000" w:rsidP="00000000" w:rsidRDefault="00000000" w:rsidRPr="00000000" w14:paraId="00000007">
      <w:pPr>
        <w:spacing w:after="200" w:lineRule="auto"/>
        <w:jc w:val="both"/>
        <w:rPr>
          <w:b w:val="1"/>
          <w:bCs w:val="1"/>
          <w:sz w:val="24"/>
          <w:szCs w:val="24"/>
        </w:rPr>
      </w:pPr>
      <w:r w:rsidDel="00000000" w:rsidR="00000000" w:rsidRPr="00000000">
        <w:rPr>
          <w:b w:val="1"/>
          <w:bCs w:val="1"/>
          <w:sz w:val="24"/>
          <w:szCs w:val="24"/>
          <w:rtl w:val="0"/>
        </w:rPr>
        <w:t xml:space="preserve">Δ. Καφαντάρης: «Κεντρικός ο ρόλος της Τοπικής Αυτοδιοίκησης στην ευρωπαϊκή ανθεκτικότητα απέναντι στις δασικές πυρκαγιές»</w:t>
      </w:r>
    </w:p>
    <w:p w:rsidR="00000000" w:rsidDel="00000000" w:rsidP="00000000" w:rsidRDefault="00000000" w:rsidRPr="00000000" w14:paraId="00000008">
      <w:pPr>
        <w:spacing w:after="200" w:lineRule="auto"/>
        <w:jc w:val="both"/>
        <w:rPr>
          <w:b w:val="1"/>
          <w:bCs w:val="1"/>
          <w:sz w:val="24"/>
          <w:szCs w:val="24"/>
        </w:rPr>
      </w:pPr>
      <w:r w:rsidDel="00000000" w:rsidR="00000000" w:rsidRPr="00000000">
        <w:rPr>
          <w:b w:val="1"/>
          <w:bCs w:val="1"/>
          <w:sz w:val="24"/>
          <w:szCs w:val="24"/>
          <w:rtl w:val="0"/>
        </w:rPr>
        <w:t xml:space="preserve">Παρέμβαση του Γενικού Γραμματέα της ΚΕΔΕ, ως εισηγητή της γνωμοδότησης της Ευρωπαϊκής Επιτροπής των Περιφερειών για την Ολοκληρωμένη Διαχείριση Κινδύνων Δασικών Πυρκαγιών.</w:t>
      </w:r>
    </w:p>
    <w:p w:rsidR="00000000" w:rsidDel="00000000" w:rsidP="00000000" w:rsidRDefault="00000000" w:rsidRPr="00000000" w14:paraId="00000009">
      <w:pPr>
        <w:spacing w:after="200" w:lineRule="auto"/>
        <w:jc w:val="both"/>
        <w:rPr/>
      </w:pPr>
      <w:r w:rsidDel="00000000" w:rsidR="00000000" w:rsidRPr="00000000">
        <w:rPr>
          <w:rtl w:val="0"/>
        </w:rPr>
        <w:t xml:space="preserve">Ο Γενικός Γραμματέας της ΚΕΔΕ κ. Δημήτρης Καφαντάρης, με την ιδιότητά του ως εισηγητής της γνωμοδότησης της Ευρωπαϊκής Επιτροπής των Περιφερειών για την Ολοκληρωμένη Διαχείριση Κινδύνων Δασικών Πυρκαγιών, ανέδειξε την ανάγκη η Ευρώπη να μετακινηθεί από τη λογική της αντίδρασης στη στρατηγική της πρόληψης απέναντι στις δασικές πυρκαγιές.</w:t>
      </w:r>
    </w:p>
    <w:p w:rsidR="00000000" w:rsidDel="00000000" w:rsidP="00000000" w:rsidRDefault="00000000" w:rsidRPr="00000000" w14:paraId="0000000A">
      <w:pPr>
        <w:spacing w:after="200" w:lineRule="auto"/>
        <w:jc w:val="both"/>
        <w:rPr/>
      </w:pPr>
      <w:r w:rsidDel="00000000" w:rsidR="00000000" w:rsidRPr="00000000">
        <w:rPr>
          <w:rtl w:val="0"/>
        </w:rPr>
        <w:t xml:space="preserve">Μιλώντας στη διαβούλευση ενδιαφερόμενων φορέων σχετικά με την Ανακοίνωση της Ευρωπαϊκής Επιτροπής για την Ολοκληρωμένη Διαχείριση Κινδύνων Δασικών Πυρκαγιών, ο κ. Καφαντάρης τόνισε ότι οι τοπικές και περιφερειακές αρχές βρίσκονται στην πρώτη γραμμή της πρόληψης, της ετοιμότητας, της αντιμετώπισης και της αποκατάστασης μετά από δασικές πυρκαγιές.</w:t>
      </w:r>
    </w:p>
    <w:p w:rsidR="00000000" w:rsidDel="00000000" w:rsidP="00000000" w:rsidRDefault="00000000" w:rsidRPr="00000000" w14:paraId="0000000B">
      <w:pPr>
        <w:spacing w:after="200" w:lineRule="auto"/>
        <w:jc w:val="both"/>
        <w:rPr/>
      </w:pPr>
      <w:r w:rsidDel="00000000" w:rsidR="00000000" w:rsidRPr="00000000">
        <w:rPr>
          <w:rtl w:val="0"/>
        </w:rPr>
        <w:t xml:space="preserve">Όπως υπογράμμισε, η κλιματική αλλαγή αυξάνει τον κίνδυνο και την ένταση των πυρκαγιών σε ολόκληρη την Ευρώπη, καθιστώντας την ανθεκτικότητα βασική αρχή των ευρωπαϊκών πολιτικών. «Καθώς η κλιματική αλλαγή αυξάνει τον κίνδυνο δασικών πυρκαγιών σε όλη την Ευρώπη, η ανθεκτικότητα πρέπει να αποτελέσει την κατευθυντήρια αρχή των πολιτικών μας. Η επένδυση πριν από την καταστροφή είναι πάντα καλύτερη από το να πληρώνουμε το τίμημα εκ των υστέρων», ανέφερε χαρακτηριστικά.</w:t>
      </w:r>
    </w:p>
    <w:p w:rsidR="00000000" w:rsidDel="00000000" w:rsidP="00000000" w:rsidRDefault="00000000" w:rsidRPr="00000000" w14:paraId="0000000C">
      <w:pPr>
        <w:spacing w:after="200" w:lineRule="auto"/>
        <w:jc w:val="both"/>
        <w:rPr/>
      </w:pPr>
      <w:r w:rsidDel="00000000" w:rsidR="00000000" w:rsidRPr="00000000">
        <w:rPr>
          <w:rtl w:val="0"/>
        </w:rPr>
        <w:t xml:space="preserve">Στο πλαίσιο της παρέμβασής του, ο κ. Καφαντάρης έθεσε ως βασικές προτεραιότητες την αύξηση των επενδύσεων στην πρόληψη και την ετοιμότητα, την ευκολότερη πρόσβαση των Δήμων και των Περιφερειών σε δορυφορικά δεδομένα, ψηφιακά εργαλεία και εφαρμογές Τεχνητής Νοημοσύνης, καθώς και την ενίσχυση της εκπαίδευσης και της διοικητικής ικανότητας των τοπικών αρχών.</w:t>
      </w:r>
    </w:p>
    <w:p w:rsidR="00000000" w:rsidDel="00000000" w:rsidP="00000000" w:rsidRDefault="00000000" w:rsidRPr="00000000" w14:paraId="0000000D">
      <w:pPr>
        <w:spacing w:after="200" w:lineRule="auto"/>
        <w:jc w:val="both"/>
        <w:rPr/>
      </w:pPr>
      <w:r w:rsidDel="00000000" w:rsidR="00000000" w:rsidRPr="00000000">
        <w:rPr>
          <w:rtl w:val="0"/>
        </w:rPr>
        <w:t xml:space="preserve">Ιδιαίτερη έμφαση έδωσε και στην ανάγκη η ευρωπαϊκή χρηματοδότηση να μην περιορίζεται μόνο στην προμήθεια εξοπλισμού, αλλά να στηρίζει και τους ανθρώπους που διαχειρίζονται καθημερινά τους κινδύνους πυρκαγιάς στις τοπικές κοινωνίες.</w:t>
      </w:r>
    </w:p>
    <w:p w:rsidR="00000000" w:rsidDel="00000000" w:rsidP="00000000" w:rsidRDefault="00000000" w:rsidRPr="00000000" w14:paraId="0000000E">
      <w:pPr>
        <w:spacing w:after="200" w:lineRule="auto"/>
        <w:jc w:val="both"/>
        <w:rPr/>
      </w:pPr>
      <w:r w:rsidDel="00000000" w:rsidR="00000000" w:rsidRPr="00000000">
        <w:rPr>
          <w:rtl w:val="0"/>
        </w:rPr>
        <w:t xml:space="preserve">Η παρέμβαση του Γενικού Γραμματέα της ΚΕΔΕ αναδεικνύει τον κρίσιμο ρόλο της Τοπικής Αυτοδιοίκησης στην οικοδόμηση μιας πιο ανθεκτικής Ευρώπης, με πολιτικές που επενδύουν στην πρόληψη, στη γνώση, στη συνεργασία και στην ουσιαστική ενίσχυση της Τοπικής Αυτοδιοίκησης απέναντι στις φυσικές καταστροφές.</w:t>
      </w:r>
    </w:p>
    <w:p w:rsidR="00000000" w:rsidDel="00000000" w:rsidP="00000000" w:rsidRDefault="00000000" w:rsidRPr="00000000" w14:paraId="0000000F">
      <w:pPr>
        <w:spacing w:after="200" w:line="259" w:lineRule="auto"/>
        <w:jc w:val="right"/>
        <w:rPr/>
      </w:pPr>
      <w:r w:rsidDel="00000000" w:rsidR="00000000" w:rsidRPr="00000000">
        <w:rPr>
          <w:b w:val="1"/>
          <w:bCs w:val="1"/>
          <w:sz w:val="24"/>
          <w:szCs w:val="24"/>
          <w:rtl w:val="0"/>
        </w:rPr>
        <w:t xml:space="preserve">ΓΡΑΦΕΙΟ ΤΥΠΟΥ</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