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9BAC3" w14:textId="77777777" w:rsidR="00082605" w:rsidRPr="001825DD" w:rsidRDefault="00082605" w:rsidP="51F6A2C3">
      <w:pPr>
        <w:pStyle w:val="Heading1"/>
        <w:rPr>
          <w:rFonts w:eastAsia="Calibri"/>
        </w:rPr>
      </w:pPr>
      <w:bookmarkStart w:id="0" w:name="_Toc54356182"/>
      <w:bookmarkStart w:id="1" w:name="_Toc70938375"/>
      <w:bookmarkStart w:id="2" w:name="_Toc227846948"/>
      <w:bookmarkStart w:id="3" w:name="_Toc532940688"/>
      <w:bookmarkStart w:id="4" w:name="_Toc495508567"/>
      <w:r>
        <w:rPr>
          <w:rFonts w:eastAsia="Calibri"/>
        </w:rPr>
        <w:t>TECHNICAL</w:t>
      </w:r>
      <w:r w:rsidRPr="001825DD">
        <w:rPr>
          <w:rFonts w:eastAsia="Calibri"/>
        </w:rPr>
        <w:t xml:space="preserve"> REPORT</w:t>
      </w:r>
      <w:r w:rsidRPr="51F6A2C3">
        <w:rPr>
          <w:rFonts w:eastAsia="Calibri"/>
        </w:rPr>
        <w:t xml:space="preserve"> (PART</w:t>
      </w:r>
      <w:r w:rsidRPr="001825DD">
        <w:rPr>
          <w:rFonts w:eastAsia="Calibri"/>
        </w:rPr>
        <w:t xml:space="preserve"> B</w:t>
      </w:r>
      <w:r w:rsidRPr="51F6A2C3">
        <w:rPr>
          <w:rFonts w:eastAsia="Calibri"/>
        </w:rPr>
        <w:t>)</w:t>
      </w:r>
      <w:bookmarkEnd w:id="0"/>
      <w:bookmarkEnd w:id="1"/>
      <w:bookmarkEnd w:id="2"/>
    </w:p>
    <w:p w14:paraId="178E8583" w14:textId="77777777" w:rsidR="006C5BA2" w:rsidRPr="006C5BA2" w:rsidRDefault="006C5BA2" w:rsidP="00ED267E">
      <w:pPr>
        <w:pStyle w:val="Heading2"/>
        <w:rPr>
          <w:rFonts w:eastAsia="Calibri"/>
          <w:shd w:val="clear" w:color="auto" w:fill="FFFFFF"/>
        </w:rPr>
      </w:pPr>
      <w:bookmarkStart w:id="5" w:name="_Toc70938376"/>
      <w:bookmarkStart w:id="6" w:name="_Toc227846949"/>
      <w:r w:rsidRPr="0089331A">
        <w:rPr>
          <w:rFonts w:eastAsia="Calibri"/>
          <w:shd w:val="clear" w:color="auto" w:fill="FFFFFF"/>
        </w:rPr>
        <w:t>COVER PAGE</w:t>
      </w:r>
      <w:bookmarkEnd w:id="3"/>
      <w:bookmarkEnd w:id="5"/>
      <w:bookmarkEnd w:id="6"/>
    </w:p>
    <w:p w14:paraId="51A4AEAE" w14:textId="77777777" w:rsidR="007B62D1" w:rsidRPr="007B62D1" w:rsidRDefault="00FD60F2" w:rsidP="51F6A2C3">
      <w:pPr>
        <w:jc w:val="both"/>
        <w:rPr>
          <w:i/>
          <w:iCs/>
          <w:sz w:val="16"/>
          <w:szCs w:val="16"/>
          <w:lang w:eastAsia="it-IT"/>
        </w:rPr>
      </w:pPr>
      <w:r w:rsidRPr="00285552">
        <w:rPr>
          <w:rFonts w:eastAsia="Times New Roman" w:cs="Arial"/>
          <w:bCs/>
          <w:i/>
          <w:kern w:val="32"/>
          <w:sz w:val="16"/>
          <w:szCs w:val="24"/>
          <w:lang w:eastAsia="en-GB"/>
        </w:rPr>
        <w:t xml:space="preserve">Part </w:t>
      </w:r>
      <w:r>
        <w:rPr>
          <w:rFonts w:eastAsia="Times New Roman" w:cs="Arial"/>
          <w:bCs/>
          <w:i/>
          <w:kern w:val="32"/>
          <w:sz w:val="16"/>
          <w:szCs w:val="24"/>
          <w:lang w:eastAsia="en-GB"/>
        </w:rPr>
        <w:t>B</w:t>
      </w:r>
      <w:r w:rsidRPr="00285552">
        <w:rPr>
          <w:rFonts w:eastAsia="Times New Roman" w:cs="Arial"/>
          <w:bCs/>
          <w:i/>
          <w:kern w:val="32"/>
          <w:sz w:val="16"/>
          <w:szCs w:val="24"/>
          <w:lang w:eastAsia="en-GB"/>
        </w:rPr>
        <w:t xml:space="preserve"> of the </w:t>
      </w:r>
      <w:r>
        <w:rPr>
          <w:rFonts w:eastAsia="Times New Roman" w:cs="Arial"/>
          <w:bCs/>
          <w:i/>
          <w:kern w:val="32"/>
          <w:sz w:val="16"/>
          <w:szCs w:val="24"/>
          <w:lang w:eastAsia="en-GB"/>
        </w:rPr>
        <w:t>T</w:t>
      </w:r>
      <w:r w:rsidRPr="00285552">
        <w:rPr>
          <w:rFonts w:eastAsia="Times New Roman" w:cs="Arial"/>
          <w:bCs/>
          <w:i/>
          <w:kern w:val="32"/>
          <w:sz w:val="16"/>
          <w:szCs w:val="24"/>
          <w:lang w:eastAsia="en-GB"/>
        </w:rPr>
        <w:t xml:space="preserve">echnical </w:t>
      </w:r>
      <w:r>
        <w:rPr>
          <w:rFonts w:eastAsia="Times New Roman" w:cs="Arial"/>
          <w:bCs/>
          <w:i/>
          <w:kern w:val="32"/>
          <w:sz w:val="16"/>
          <w:szCs w:val="24"/>
          <w:lang w:eastAsia="en-GB"/>
        </w:rPr>
        <w:t>R</w:t>
      </w:r>
      <w:r w:rsidRPr="00285552">
        <w:rPr>
          <w:rFonts w:eastAsia="Times New Roman" w:cs="Arial"/>
          <w:bCs/>
          <w:i/>
          <w:kern w:val="32"/>
          <w:sz w:val="16"/>
          <w:szCs w:val="24"/>
          <w:lang w:eastAsia="en-GB"/>
        </w:rPr>
        <w:t>e</w:t>
      </w:r>
      <w:r>
        <w:rPr>
          <w:rFonts w:eastAsia="Times New Roman" w:cs="Arial"/>
          <w:bCs/>
          <w:i/>
          <w:kern w:val="32"/>
          <w:sz w:val="16"/>
          <w:szCs w:val="24"/>
          <w:lang w:eastAsia="en-GB"/>
        </w:rPr>
        <w:t>port must be downloaded from the Portal Technical Report (</w:t>
      </w:r>
      <w:r w:rsidRPr="006657EC">
        <w:rPr>
          <w:rFonts w:eastAsia="Times New Roman" w:cs="Arial"/>
          <w:bCs/>
          <w:i/>
          <w:kern w:val="32"/>
          <w:sz w:val="16"/>
          <w:szCs w:val="24"/>
          <w:lang w:eastAsia="en-GB"/>
        </w:rPr>
        <w:t>Part B)/Termination Report screen,</w:t>
      </w:r>
      <w:r>
        <w:rPr>
          <w:rFonts w:eastAsia="Times New Roman" w:cs="Arial"/>
          <w:bCs/>
          <w:i/>
          <w:kern w:val="32"/>
          <w:sz w:val="16"/>
          <w:szCs w:val="24"/>
          <w:lang w:eastAsia="en-GB"/>
        </w:rPr>
        <w:t xml:space="preserve"> completed and then </w:t>
      </w:r>
      <w:r w:rsidRPr="00B42CC7">
        <w:rPr>
          <w:rFonts w:eastAsia="Times New Roman" w:cs="Arial"/>
          <w:bCs/>
          <w:i/>
          <w:kern w:val="32"/>
          <w:sz w:val="16"/>
          <w:szCs w:val="24"/>
          <w:lang w:eastAsia="en-GB"/>
        </w:rPr>
        <w:t xml:space="preserve">assembled and </w:t>
      </w:r>
      <w:r>
        <w:rPr>
          <w:rFonts w:eastAsia="Times New Roman" w:cs="Arial"/>
          <w:bCs/>
          <w:i/>
          <w:kern w:val="32"/>
          <w:sz w:val="16"/>
          <w:szCs w:val="24"/>
          <w:lang w:eastAsia="en-GB"/>
        </w:rPr>
        <w:t>re-</w:t>
      </w:r>
      <w:r w:rsidRPr="00B42CC7">
        <w:rPr>
          <w:rFonts w:eastAsia="Times New Roman" w:cs="Arial"/>
          <w:bCs/>
          <w:i/>
          <w:kern w:val="32"/>
          <w:sz w:val="16"/>
          <w:szCs w:val="24"/>
          <w:lang w:eastAsia="en-GB"/>
        </w:rPr>
        <w:t>uploaded as PDF</w:t>
      </w:r>
      <w:r w:rsidRPr="00B42CC7">
        <w:rPr>
          <w:rFonts w:eastAsia="Calibri" w:cs="Arial"/>
          <w:i/>
          <w:sz w:val="16"/>
          <w:szCs w:val="16"/>
        </w:rPr>
        <w:t xml:space="preserve"> o</w:t>
      </w:r>
      <w:r w:rsidRPr="00B42CC7">
        <w:rPr>
          <w:rFonts w:eastAsia="Calibri" w:cs="Arial"/>
          <w:i/>
          <w:color w:val="595959"/>
          <w:sz w:val="16"/>
          <w:szCs w:val="16"/>
        </w:rPr>
        <w:t>n th</w:t>
      </w:r>
      <w:r>
        <w:rPr>
          <w:rFonts w:eastAsia="Calibri" w:cs="Arial"/>
          <w:i/>
          <w:color w:val="595959"/>
          <w:sz w:val="16"/>
          <w:szCs w:val="16"/>
        </w:rPr>
        <w:t>at screen</w:t>
      </w:r>
      <w:r w:rsidRPr="00B42CC7">
        <w:rPr>
          <w:rFonts w:eastAsia="Times New Roman" w:cs="Arial"/>
          <w:bCs/>
          <w:i/>
          <w:kern w:val="32"/>
          <w:sz w:val="16"/>
          <w:szCs w:val="24"/>
          <w:lang w:eastAsia="en-GB"/>
        </w:rPr>
        <w:t>.</w:t>
      </w:r>
      <w:r w:rsidR="00285552" w:rsidRPr="51F6A2C3">
        <w:rPr>
          <w:rFonts w:eastAsia="Times New Roman" w:cs="Arial"/>
          <w:i/>
          <w:iCs/>
          <w:kern w:val="32"/>
          <w:sz w:val="16"/>
          <w:szCs w:val="16"/>
          <w:lang w:eastAsia="en-GB"/>
        </w:rPr>
        <w:t xml:space="preserve"> </w:t>
      </w:r>
    </w:p>
    <w:tbl>
      <w:tblPr>
        <w:tblW w:w="8527" w:type="dxa"/>
        <w:tblInd w:w="228"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3601"/>
        <w:gridCol w:w="4926"/>
      </w:tblGrid>
      <w:tr w:rsidR="00D955F0" w:rsidRPr="005E6571" w14:paraId="44060EA6" w14:textId="77777777" w:rsidTr="51F6A2C3">
        <w:trPr>
          <w:trHeight w:val="413"/>
        </w:trPr>
        <w:tc>
          <w:tcPr>
            <w:tcW w:w="8527" w:type="dxa"/>
            <w:gridSpan w:val="2"/>
            <w:shd w:val="clear" w:color="auto" w:fill="D9D9D9" w:themeFill="background1" w:themeFillShade="D9"/>
            <w:vAlign w:val="center"/>
          </w:tcPr>
          <w:p w14:paraId="35CE3CFA" w14:textId="77777777" w:rsidR="00D955F0" w:rsidRPr="00A20FDC" w:rsidRDefault="00893A08" w:rsidP="00893A08">
            <w:pPr>
              <w:spacing w:before="120" w:after="120" w:line="240" w:lineRule="auto"/>
              <w:ind w:right="4"/>
              <w:rPr>
                <w:rFonts w:eastAsia="Calibri" w:cs="Arial"/>
                <w:sz w:val="18"/>
                <w:szCs w:val="18"/>
              </w:rPr>
            </w:pPr>
            <w:r w:rsidRPr="51F6A2C3">
              <w:rPr>
                <w:rFonts w:eastAsia="Calibri" w:cs="Arial"/>
                <w:b/>
                <w:bCs/>
              </w:rPr>
              <w:t>PROJECT</w:t>
            </w:r>
          </w:p>
        </w:tc>
      </w:tr>
      <w:tr w:rsidR="00740D31" w:rsidRPr="001A45E4" w14:paraId="133C3CFD" w14:textId="77777777" w:rsidTr="51F6A2C3">
        <w:trPr>
          <w:trHeight w:val="413"/>
        </w:trPr>
        <w:tc>
          <w:tcPr>
            <w:tcW w:w="3601" w:type="dxa"/>
            <w:shd w:val="clear" w:color="auto" w:fill="D9D9D9" w:themeFill="background1" w:themeFillShade="D9"/>
            <w:vAlign w:val="center"/>
          </w:tcPr>
          <w:p w14:paraId="376CC940" w14:textId="77777777" w:rsidR="00740D31" w:rsidRPr="00837BBB" w:rsidRDefault="00740D31" w:rsidP="00740D31">
            <w:pPr>
              <w:spacing w:before="120" w:after="120" w:line="240" w:lineRule="auto"/>
              <w:ind w:right="4"/>
              <w:rPr>
                <w:rFonts w:eastAsia="Calibri" w:cs="Arial"/>
                <w:sz w:val="18"/>
                <w:szCs w:val="18"/>
              </w:rPr>
            </w:pPr>
            <w:r w:rsidRPr="51F6A2C3">
              <w:rPr>
                <w:rFonts w:eastAsia="Calibri" w:cs="Arial"/>
                <w:b/>
                <w:bCs/>
                <w:sz w:val="18"/>
                <w:szCs w:val="18"/>
              </w:rPr>
              <w:t>Project number:</w:t>
            </w:r>
          </w:p>
        </w:tc>
        <w:tc>
          <w:tcPr>
            <w:tcW w:w="4926" w:type="dxa"/>
            <w:vAlign w:val="center"/>
          </w:tcPr>
          <w:p w14:paraId="63717902" w14:textId="7203EA27" w:rsidR="00740D31" w:rsidRPr="00B41F58" w:rsidRDefault="00740D31" w:rsidP="00740D31">
            <w:pPr>
              <w:spacing w:before="120" w:after="120" w:line="240" w:lineRule="auto"/>
              <w:ind w:right="4"/>
              <w:rPr>
                <w:rFonts w:eastAsia="Calibri" w:cs="Arial"/>
                <w:sz w:val="18"/>
                <w:szCs w:val="18"/>
              </w:rPr>
            </w:pPr>
            <w:r>
              <w:rPr>
                <w:rFonts w:eastAsia="Calibri" w:cs="Arial"/>
                <w:sz w:val="18"/>
                <w:szCs w:val="18"/>
                <w:lang w:val="en-US"/>
              </w:rPr>
              <w:t>101167654</w:t>
            </w:r>
          </w:p>
        </w:tc>
      </w:tr>
      <w:tr w:rsidR="00740D31" w:rsidRPr="001A45E4" w14:paraId="6F59C7DD" w14:textId="77777777" w:rsidTr="51F6A2C3">
        <w:trPr>
          <w:trHeight w:val="461"/>
        </w:trPr>
        <w:tc>
          <w:tcPr>
            <w:tcW w:w="3601" w:type="dxa"/>
            <w:shd w:val="clear" w:color="auto" w:fill="D9D9D9" w:themeFill="background1" w:themeFillShade="D9"/>
            <w:vAlign w:val="center"/>
          </w:tcPr>
          <w:p w14:paraId="08FC61AC" w14:textId="77777777" w:rsidR="00740D31" w:rsidRPr="00837BBB" w:rsidRDefault="00740D31" w:rsidP="00740D31">
            <w:pPr>
              <w:spacing w:before="120" w:after="120" w:line="240" w:lineRule="auto"/>
              <w:ind w:right="4"/>
              <w:rPr>
                <w:rFonts w:eastAsia="Calibri" w:cs="Arial"/>
                <w:sz w:val="18"/>
                <w:szCs w:val="18"/>
              </w:rPr>
            </w:pPr>
            <w:r w:rsidRPr="51F6A2C3">
              <w:rPr>
                <w:rFonts w:eastAsia="Calibri" w:cs="Arial"/>
                <w:b/>
                <w:bCs/>
                <w:sz w:val="18"/>
                <w:szCs w:val="18"/>
              </w:rPr>
              <w:t>Project name:</w:t>
            </w:r>
          </w:p>
        </w:tc>
        <w:tc>
          <w:tcPr>
            <w:tcW w:w="4926" w:type="dxa"/>
            <w:vAlign w:val="center"/>
          </w:tcPr>
          <w:p w14:paraId="553BB9F5" w14:textId="3CEC33D8" w:rsidR="00740D31" w:rsidRPr="00B41F58" w:rsidRDefault="00740D31" w:rsidP="00740D31">
            <w:pPr>
              <w:spacing w:before="120" w:after="120" w:line="240" w:lineRule="auto"/>
              <w:ind w:right="4"/>
              <w:rPr>
                <w:rFonts w:eastAsia="Calibri" w:cs="Arial"/>
                <w:sz w:val="18"/>
                <w:szCs w:val="18"/>
              </w:rPr>
            </w:pPr>
            <w:r>
              <w:rPr>
                <w:rFonts w:eastAsia="Calibri" w:cs="Arial"/>
                <w:sz w:val="18"/>
                <w:szCs w:val="18"/>
                <w:lang w:val="en-US"/>
              </w:rPr>
              <w:t>Integrated services for clean energy transition in Greek municipal building renovations</w:t>
            </w:r>
          </w:p>
        </w:tc>
      </w:tr>
      <w:tr w:rsidR="00740D31" w:rsidRPr="001A45E4" w14:paraId="2F962E2A" w14:textId="77777777" w:rsidTr="51F6A2C3">
        <w:trPr>
          <w:trHeight w:val="437"/>
        </w:trPr>
        <w:tc>
          <w:tcPr>
            <w:tcW w:w="3601" w:type="dxa"/>
            <w:shd w:val="clear" w:color="auto" w:fill="D9D9D9" w:themeFill="background1" w:themeFillShade="D9"/>
            <w:vAlign w:val="center"/>
          </w:tcPr>
          <w:p w14:paraId="62555DA6" w14:textId="77777777" w:rsidR="00740D31" w:rsidRPr="00837BBB" w:rsidRDefault="00740D31" w:rsidP="00740D31">
            <w:pPr>
              <w:spacing w:before="120" w:after="120" w:line="240" w:lineRule="auto"/>
              <w:ind w:right="4"/>
              <w:rPr>
                <w:rFonts w:eastAsia="Calibri" w:cs="Arial"/>
                <w:sz w:val="18"/>
                <w:szCs w:val="18"/>
              </w:rPr>
            </w:pPr>
            <w:r w:rsidRPr="51F6A2C3">
              <w:rPr>
                <w:rFonts w:eastAsia="Calibri" w:cs="Arial"/>
                <w:b/>
                <w:bCs/>
                <w:sz w:val="18"/>
                <w:szCs w:val="18"/>
              </w:rPr>
              <w:t>Project acronym:</w:t>
            </w:r>
          </w:p>
        </w:tc>
        <w:tc>
          <w:tcPr>
            <w:tcW w:w="4926" w:type="dxa"/>
            <w:vAlign w:val="center"/>
          </w:tcPr>
          <w:p w14:paraId="7FF68696" w14:textId="741F34CF" w:rsidR="00740D31" w:rsidRPr="00B41F58" w:rsidRDefault="00740D31" w:rsidP="00740D31">
            <w:pPr>
              <w:spacing w:before="120" w:after="120" w:line="240" w:lineRule="auto"/>
              <w:ind w:right="4"/>
              <w:rPr>
                <w:rFonts w:eastAsia="Calibri" w:cs="Arial"/>
                <w:sz w:val="18"/>
                <w:szCs w:val="18"/>
              </w:rPr>
            </w:pPr>
            <w:r>
              <w:rPr>
                <w:rFonts w:eastAsia="Calibri" w:cs="Arial"/>
                <w:sz w:val="18"/>
                <w:szCs w:val="18"/>
                <w:lang w:val="en-US"/>
              </w:rPr>
              <w:t>LIFE23-CET-RenoInGR</w:t>
            </w:r>
          </w:p>
        </w:tc>
      </w:tr>
    </w:tbl>
    <w:p w14:paraId="2F75DCE5" w14:textId="77777777" w:rsidR="006C5BA2" w:rsidRPr="000525BE" w:rsidRDefault="006C5BA2" w:rsidP="00117DA4"/>
    <w:tbl>
      <w:tblPr>
        <w:tblW w:w="0" w:type="auto"/>
        <w:tblInd w:w="233"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3539"/>
        <w:gridCol w:w="4928"/>
      </w:tblGrid>
      <w:tr w:rsidR="006C5BA2" w:rsidRPr="00C0464B" w14:paraId="67688FF4" w14:textId="77777777" w:rsidTr="00740D31">
        <w:trPr>
          <w:trHeight w:val="425"/>
        </w:trPr>
        <w:tc>
          <w:tcPr>
            <w:tcW w:w="8467" w:type="dxa"/>
            <w:gridSpan w:val="2"/>
            <w:shd w:val="clear" w:color="auto" w:fill="D9D9D9" w:themeFill="background1" w:themeFillShade="D9"/>
            <w:vAlign w:val="center"/>
          </w:tcPr>
          <w:p w14:paraId="57A81CA6" w14:textId="77777777" w:rsidR="006C5BA2" w:rsidRDefault="006C5BA2" w:rsidP="51F6A2C3">
            <w:pPr>
              <w:spacing w:before="120" w:after="120" w:line="240" w:lineRule="auto"/>
              <w:ind w:right="4"/>
              <w:rPr>
                <w:rFonts w:eastAsia="Calibri" w:cs="Arial"/>
                <w:b/>
                <w:bCs/>
              </w:rPr>
            </w:pPr>
            <w:r w:rsidRPr="51F6A2C3">
              <w:rPr>
                <w:rFonts w:eastAsia="Calibri" w:cs="Arial"/>
                <w:b/>
                <w:bCs/>
              </w:rPr>
              <w:t>REPORTING PERIOD</w:t>
            </w:r>
          </w:p>
          <w:p w14:paraId="675FF5E0" w14:textId="77777777" w:rsidR="006C5BA2" w:rsidRPr="00C0464B" w:rsidRDefault="006C5BA2" w:rsidP="00BF61B4">
            <w:pPr>
              <w:spacing w:before="120" w:after="120" w:line="240" w:lineRule="auto"/>
              <w:ind w:right="6"/>
              <w:jc w:val="both"/>
              <w:rPr>
                <w:rFonts w:eastAsia="Calibri" w:cs="Arial"/>
                <w:b/>
                <w:szCs w:val="18"/>
              </w:rPr>
            </w:pPr>
            <w:r w:rsidRPr="003F2924">
              <w:rPr>
                <w:noProof/>
                <w:color w:val="0088CC"/>
                <w:sz w:val="18"/>
                <w:szCs w:val="18"/>
                <w:lang w:eastAsia="en-GB"/>
              </w:rPr>
              <w:drawing>
                <wp:inline distT="0" distB="0" distL="0" distR="0" wp14:anchorId="6CC322F0" wp14:editId="15204E2C">
                  <wp:extent cx="117475" cy="117475"/>
                  <wp:effectExtent l="0" t="0" r="0" b="0"/>
                  <wp:docPr id="8" name="Picture 8" descr="cid:image001.png@01D0B99B.7C10A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0B99B.7C10A74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475" cy="117475"/>
                          </a:xfrm>
                          <a:prstGeom prst="rect">
                            <a:avLst/>
                          </a:prstGeom>
                          <a:noFill/>
                          <a:ln>
                            <a:noFill/>
                          </a:ln>
                        </pic:spPr>
                      </pic:pic>
                    </a:graphicData>
                  </a:graphic>
                </wp:inline>
              </w:drawing>
            </w:r>
            <w:r w:rsidRPr="00F05977">
              <w:rPr>
                <w:rFonts w:eastAsia="Times New Roman" w:cs="Times New Roman"/>
                <w:noProof/>
                <w:sz w:val="18"/>
                <w:szCs w:val="21"/>
                <w:lang w:eastAsia="en-GB"/>
              </w:rPr>
              <w:t xml:space="preserve"> </w:t>
            </w:r>
            <w:r w:rsidRPr="003A1398">
              <w:rPr>
                <w:rFonts w:eastAsia="Times New Roman" w:cs="Times New Roman"/>
                <w:i/>
                <w:noProof/>
                <w:sz w:val="16"/>
                <w:szCs w:val="21"/>
                <w:lang w:eastAsia="en-GB"/>
              </w:rPr>
              <w:t>Please note</w:t>
            </w:r>
            <w:r>
              <w:rPr>
                <w:rFonts w:eastAsia="Times New Roman" w:cs="Times New Roman"/>
                <w:i/>
                <w:noProof/>
                <w:sz w:val="16"/>
                <w:szCs w:val="21"/>
                <w:lang w:eastAsia="en-GB"/>
              </w:rPr>
              <w:t xml:space="preserve"> that you must report on the entire reporting period</w:t>
            </w:r>
            <w:r w:rsidRPr="00BC7975">
              <w:rPr>
                <w:rFonts w:eastAsia="Times New Roman" w:cs="Times New Roman"/>
                <w:i/>
                <w:noProof/>
                <w:sz w:val="16"/>
                <w:szCs w:val="21"/>
                <w:lang w:eastAsia="en-GB"/>
              </w:rPr>
              <w:t>.</w:t>
            </w:r>
          </w:p>
        </w:tc>
      </w:tr>
      <w:tr w:rsidR="00740D31" w:rsidRPr="001A45E4" w14:paraId="5A48C165" w14:textId="77777777" w:rsidTr="00740D31">
        <w:trPr>
          <w:trHeight w:val="425"/>
        </w:trPr>
        <w:tc>
          <w:tcPr>
            <w:tcW w:w="3539" w:type="dxa"/>
            <w:shd w:val="clear" w:color="auto" w:fill="D9D9D9" w:themeFill="background1" w:themeFillShade="D9"/>
            <w:vAlign w:val="center"/>
          </w:tcPr>
          <w:p w14:paraId="31676DF7" w14:textId="77777777" w:rsidR="00740D31" w:rsidRPr="00837BBB" w:rsidRDefault="00740D31" w:rsidP="00740D31">
            <w:pPr>
              <w:spacing w:before="120" w:after="120" w:line="240" w:lineRule="auto"/>
              <w:ind w:right="4"/>
              <w:rPr>
                <w:rFonts w:eastAsia="Calibri" w:cs="Arial"/>
                <w:sz w:val="18"/>
                <w:szCs w:val="18"/>
              </w:rPr>
            </w:pPr>
            <w:r w:rsidRPr="51F6A2C3">
              <w:rPr>
                <w:rFonts w:eastAsia="Calibri" w:cs="Arial"/>
                <w:b/>
                <w:bCs/>
                <w:sz w:val="18"/>
                <w:szCs w:val="18"/>
              </w:rPr>
              <w:t>RP number:</w:t>
            </w:r>
            <w:r w:rsidRPr="00837BBB">
              <w:rPr>
                <w:rFonts w:eastAsia="Calibri" w:cs="Arial"/>
                <w:sz w:val="18"/>
                <w:szCs w:val="18"/>
              </w:rPr>
              <w:t xml:space="preserve">  </w:t>
            </w:r>
          </w:p>
        </w:tc>
        <w:tc>
          <w:tcPr>
            <w:tcW w:w="4928" w:type="dxa"/>
            <w:vAlign w:val="center"/>
          </w:tcPr>
          <w:p w14:paraId="67F26CE7" w14:textId="6313599F" w:rsidR="00740D31" w:rsidRPr="00837BBB" w:rsidRDefault="00740D31" w:rsidP="00740D31">
            <w:pPr>
              <w:spacing w:before="120" w:after="120" w:line="240" w:lineRule="auto"/>
              <w:ind w:right="4"/>
              <w:rPr>
                <w:rFonts w:eastAsia="Calibri" w:cs="Arial"/>
                <w:sz w:val="18"/>
                <w:szCs w:val="18"/>
              </w:rPr>
            </w:pPr>
            <w:r>
              <w:rPr>
                <w:rFonts w:eastAsia="Calibri" w:cs="Arial"/>
                <w:sz w:val="18"/>
                <w:szCs w:val="18"/>
              </w:rPr>
              <w:t>1</w:t>
            </w:r>
          </w:p>
        </w:tc>
      </w:tr>
      <w:tr w:rsidR="00740D31" w:rsidRPr="00415717" w14:paraId="7F2F534A" w14:textId="77777777" w:rsidTr="00740D31">
        <w:trPr>
          <w:trHeight w:val="449"/>
        </w:trPr>
        <w:tc>
          <w:tcPr>
            <w:tcW w:w="3539" w:type="dxa"/>
            <w:shd w:val="clear" w:color="auto" w:fill="D9D9D9" w:themeFill="background1" w:themeFillShade="D9"/>
            <w:vAlign w:val="center"/>
          </w:tcPr>
          <w:p w14:paraId="3430139D" w14:textId="77777777" w:rsidR="00740D31" w:rsidRPr="00837BBB" w:rsidRDefault="00740D31" w:rsidP="00740D31">
            <w:pPr>
              <w:spacing w:before="120" w:after="120" w:line="240" w:lineRule="auto"/>
              <w:ind w:right="4"/>
              <w:rPr>
                <w:rFonts w:eastAsia="Calibri" w:cs="Arial"/>
                <w:sz w:val="18"/>
                <w:szCs w:val="18"/>
              </w:rPr>
            </w:pPr>
            <w:r w:rsidRPr="51F6A2C3">
              <w:rPr>
                <w:rFonts w:eastAsia="Calibri" w:cs="Arial"/>
                <w:b/>
                <w:bCs/>
                <w:sz w:val="18"/>
                <w:szCs w:val="18"/>
              </w:rPr>
              <w:t>Duration</w:t>
            </w:r>
            <w:r w:rsidRPr="00837BBB">
              <w:rPr>
                <w:rFonts w:eastAsia="Calibri" w:cs="Arial"/>
                <w:sz w:val="18"/>
                <w:szCs w:val="18"/>
              </w:rPr>
              <w:t>:</w:t>
            </w:r>
          </w:p>
        </w:tc>
        <w:tc>
          <w:tcPr>
            <w:tcW w:w="4928" w:type="dxa"/>
            <w:vAlign w:val="center"/>
          </w:tcPr>
          <w:p w14:paraId="336D324C" w14:textId="66381B04" w:rsidR="00740D31" w:rsidRPr="00837BBB" w:rsidRDefault="00740D31" w:rsidP="00740D31">
            <w:pPr>
              <w:spacing w:before="120" w:after="120" w:line="240" w:lineRule="auto"/>
              <w:ind w:right="4"/>
              <w:rPr>
                <w:rFonts w:eastAsia="Calibri" w:cs="Arial"/>
                <w:sz w:val="18"/>
                <w:szCs w:val="18"/>
              </w:rPr>
            </w:pPr>
            <w:r>
              <w:rPr>
                <w:rFonts w:eastAsia="Calibri" w:cs="Arial"/>
                <w:sz w:val="18"/>
                <w:szCs w:val="18"/>
              </w:rPr>
              <w:t>from 01/09/2024 to 28/02/2026</w:t>
            </w:r>
          </w:p>
        </w:tc>
      </w:tr>
    </w:tbl>
    <w:p w14:paraId="559B3B3D" w14:textId="77777777" w:rsidR="00732478" w:rsidRDefault="00732478" w:rsidP="00117DA4"/>
    <w:p w14:paraId="3F3C68A7" w14:textId="77777777" w:rsidR="00117DA4" w:rsidRDefault="00117DA4" w:rsidP="00117DA4"/>
    <w:p w14:paraId="0B87B22D" w14:textId="77777777" w:rsidR="007F03A1" w:rsidRDefault="007F03A1" w:rsidP="51F6A2C3">
      <w:pPr>
        <w:tabs>
          <w:tab w:val="left" w:pos="4536"/>
        </w:tabs>
        <w:spacing w:line="240" w:lineRule="auto"/>
        <w:rPr>
          <w:rFonts w:eastAsia="Times New Roman" w:cs="Arial"/>
          <w:b/>
          <w:bCs/>
          <w:color w:val="A50021"/>
          <w:shd w:val="clear" w:color="auto" w:fill="FFFFFF"/>
        </w:rPr>
      </w:pPr>
      <w:r w:rsidRPr="51F6A2C3">
        <w:rPr>
          <w:rFonts w:eastAsia="Times New Roman" w:cs="Arial"/>
          <w:b/>
          <w:bCs/>
          <w:color w:val="A50021"/>
          <w:shd w:val="clear" w:color="auto" w:fill="FFFFFF"/>
        </w:rPr>
        <w:t>TABLE OF CONTENTS</w:t>
      </w:r>
    </w:p>
    <w:p w14:paraId="1885D209" w14:textId="4478174D" w:rsidR="0005083B" w:rsidRDefault="00ED267E">
      <w:pPr>
        <w:pStyle w:val="TOC1"/>
        <w:rPr>
          <w:rFonts w:asciiTheme="minorHAnsi" w:eastAsiaTheme="minorEastAsia" w:hAnsiTheme="minorHAnsi"/>
          <w:b w:val="0"/>
          <w:caps w:val="0"/>
          <w:color w:val="auto"/>
          <w:kern w:val="2"/>
          <w:sz w:val="22"/>
          <w:shd w:val="clear" w:color="auto" w:fill="auto"/>
          <w:lang w:val="el-GR" w:eastAsia="el-GR"/>
          <w14:ligatures w14:val="standardContextual"/>
        </w:rPr>
      </w:pPr>
      <w:r w:rsidRPr="51F6A2C3">
        <w:fldChar w:fldCharType="begin"/>
      </w:r>
      <w:r>
        <w:rPr>
          <w:snapToGrid w:val="0"/>
          <w:szCs w:val="18"/>
          <w:lang w:eastAsia="zh-CN"/>
        </w:rPr>
        <w:instrText xml:space="preserve"> TOC \o "1-5" \h \z \u </w:instrText>
      </w:r>
      <w:r w:rsidRPr="51F6A2C3">
        <w:rPr>
          <w:snapToGrid w:val="0"/>
          <w:szCs w:val="18"/>
          <w:lang w:eastAsia="zh-CN"/>
        </w:rPr>
        <w:fldChar w:fldCharType="separate"/>
      </w:r>
      <w:hyperlink w:anchor="_Toc227846948" w:history="1">
        <w:r w:rsidR="0005083B" w:rsidRPr="00D30CA7">
          <w:rPr>
            <w:rStyle w:val="Hyperlink"/>
          </w:rPr>
          <w:t>TECHNICAL REPORT (PART B)</w:t>
        </w:r>
        <w:r w:rsidR="0005083B">
          <w:rPr>
            <w:webHidden/>
          </w:rPr>
          <w:tab/>
        </w:r>
        <w:r w:rsidR="0005083B">
          <w:rPr>
            <w:webHidden/>
          </w:rPr>
          <w:fldChar w:fldCharType="begin"/>
        </w:r>
        <w:r w:rsidR="0005083B">
          <w:rPr>
            <w:webHidden/>
          </w:rPr>
          <w:instrText xml:space="preserve"> PAGEREF _Toc227846948 \h </w:instrText>
        </w:r>
        <w:r w:rsidR="0005083B">
          <w:rPr>
            <w:webHidden/>
          </w:rPr>
        </w:r>
        <w:r w:rsidR="0005083B">
          <w:rPr>
            <w:webHidden/>
          </w:rPr>
          <w:fldChar w:fldCharType="separate"/>
        </w:r>
        <w:r w:rsidR="0005083B">
          <w:rPr>
            <w:webHidden/>
          </w:rPr>
          <w:t>1</w:t>
        </w:r>
        <w:r w:rsidR="0005083B">
          <w:rPr>
            <w:webHidden/>
          </w:rPr>
          <w:fldChar w:fldCharType="end"/>
        </w:r>
      </w:hyperlink>
    </w:p>
    <w:p w14:paraId="60D75193" w14:textId="258C8B45" w:rsidR="0005083B" w:rsidRDefault="0005083B">
      <w:pPr>
        <w:pStyle w:val="TOC2"/>
        <w:rPr>
          <w:rFonts w:asciiTheme="minorHAnsi" w:eastAsiaTheme="minorEastAsia" w:hAnsiTheme="minorHAnsi"/>
          <w:b w:val="0"/>
          <w:color w:val="auto"/>
          <w:kern w:val="2"/>
          <w:sz w:val="22"/>
          <w:lang w:val="el-GR" w:eastAsia="el-GR"/>
          <w14:ligatures w14:val="standardContextual"/>
        </w:rPr>
      </w:pPr>
      <w:hyperlink w:anchor="_Toc227846949" w:history="1">
        <w:r w:rsidRPr="00D30CA7">
          <w:rPr>
            <w:rStyle w:val="Hyperlink"/>
            <w:rFonts w:eastAsia="Calibri"/>
            <w:shd w:val="clear" w:color="auto" w:fill="FFFFFF"/>
          </w:rPr>
          <w:t>COVER PAGE</w:t>
        </w:r>
        <w:r>
          <w:rPr>
            <w:webHidden/>
          </w:rPr>
          <w:tab/>
        </w:r>
        <w:r>
          <w:rPr>
            <w:webHidden/>
          </w:rPr>
          <w:fldChar w:fldCharType="begin"/>
        </w:r>
        <w:r>
          <w:rPr>
            <w:webHidden/>
          </w:rPr>
          <w:instrText xml:space="preserve"> PAGEREF _Toc227846949 \h </w:instrText>
        </w:r>
        <w:r>
          <w:rPr>
            <w:webHidden/>
          </w:rPr>
        </w:r>
        <w:r>
          <w:rPr>
            <w:webHidden/>
          </w:rPr>
          <w:fldChar w:fldCharType="separate"/>
        </w:r>
        <w:r>
          <w:rPr>
            <w:webHidden/>
          </w:rPr>
          <w:t>1</w:t>
        </w:r>
        <w:r>
          <w:rPr>
            <w:webHidden/>
          </w:rPr>
          <w:fldChar w:fldCharType="end"/>
        </w:r>
      </w:hyperlink>
    </w:p>
    <w:p w14:paraId="3F6157FB" w14:textId="73011E5B" w:rsidR="0005083B" w:rsidRDefault="0005083B">
      <w:pPr>
        <w:pStyle w:val="TOC2"/>
        <w:rPr>
          <w:rFonts w:asciiTheme="minorHAnsi" w:eastAsiaTheme="minorEastAsia" w:hAnsiTheme="minorHAnsi"/>
          <w:b w:val="0"/>
          <w:color w:val="auto"/>
          <w:kern w:val="2"/>
          <w:sz w:val="22"/>
          <w:lang w:val="el-GR" w:eastAsia="el-GR"/>
          <w14:ligatures w14:val="standardContextual"/>
        </w:rPr>
      </w:pPr>
      <w:hyperlink w:anchor="_Toc227846950" w:history="1">
        <w:r w:rsidRPr="00D30CA7">
          <w:rPr>
            <w:rStyle w:val="Hyperlink"/>
          </w:rPr>
          <w:t>1. OVERVIEW OF THE PROGRESS</w:t>
        </w:r>
        <w:r>
          <w:rPr>
            <w:webHidden/>
          </w:rPr>
          <w:tab/>
        </w:r>
        <w:r>
          <w:rPr>
            <w:webHidden/>
          </w:rPr>
          <w:fldChar w:fldCharType="begin"/>
        </w:r>
        <w:r>
          <w:rPr>
            <w:webHidden/>
          </w:rPr>
          <w:instrText xml:space="preserve"> PAGEREF _Toc227846950 \h </w:instrText>
        </w:r>
        <w:r>
          <w:rPr>
            <w:webHidden/>
          </w:rPr>
        </w:r>
        <w:r>
          <w:rPr>
            <w:webHidden/>
          </w:rPr>
          <w:fldChar w:fldCharType="separate"/>
        </w:r>
        <w:r>
          <w:rPr>
            <w:webHidden/>
          </w:rPr>
          <w:t>2</w:t>
        </w:r>
        <w:r>
          <w:rPr>
            <w:webHidden/>
          </w:rPr>
          <w:fldChar w:fldCharType="end"/>
        </w:r>
      </w:hyperlink>
    </w:p>
    <w:p w14:paraId="14792163" w14:textId="318E69E2" w:rsidR="0005083B" w:rsidRDefault="0005083B">
      <w:pPr>
        <w:pStyle w:val="TOC3"/>
        <w:rPr>
          <w:rFonts w:asciiTheme="minorHAnsi" w:eastAsiaTheme="minorEastAsia" w:hAnsiTheme="minorHAnsi"/>
          <w:color w:val="auto"/>
          <w:kern w:val="2"/>
          <w:sz w:val="22"/>
          <w:lang w:val="el-GR" w:eastAsia="el-GR"/>
          <w14:ligatures w14:val="standardContextual"/>
        </w:rPr>
      </w:pPr>
      <w:hyperlink w:anchor="_Toc227846951" w:history="1">
        <w:r w:rsidRPr="00D30CA7">
          <w:rPr>
            <w:rStyle w:val="Hyperlink"/>
          </w:rPr>
          <w:t>1.1 Summary of work performed and achievements, results and impacts</w:t>
        </w:r>
        <w:r>
          <w:rPr>
            <w:webHidden/>
          </w:rPr>
          <w:tab/>
        </w:r>
        <w:r>
          <w:rPr>
            <w:webHidden/>
          </w:rPr>
          <w:fldChar w:fldCharType="begin"/>
        </w:r>
        <w:r>
          <w:rPr>
            <w:webHidden/>
          </w:rPr>
          <w:instrText xml:space="preserve"> PAGEREF _Toc227846951 \h </w:instrText>
        </w:r>
        <w:r>
          <w:rPr>
            <w:webHidden/>
          </w:rPr>
        </w:r>
        <w:r>
          <w:rPr>
            <w:webHidden/>
          </w:rPr>
          <w:fldChar w:fldCharType="separate"/>
        </w:r>
        <w:r>
          <w:rPr>
            <w:webHidden/>
          </w:rPr>
          <w:t>2</w:t>
        </w:r>
        <w:r>
          <w:rPr>
            <w:webHidden/>
          </w:rPr>
          <w:fldChar w:fldCharType="end"/>
        </w:r>
      </w:hyperlink>
    </w:p>
    <w:p w14:paraId="06028758" w14:textId="1F91116E" w:rsidR="0005083B" w:rsidRDefault="0005083B">
      <w:pPr>
        <w:pStyle w:val="TOC4"/>
        <w:rPr>
          <w:rFonts w:asciiTheme="minorHAnsi" w:eastAsiaTheme="minorEastAsia" w:hAnsiTheme="minorHAnsi"/>
          <w:i w:val="0"/>
          <w:noProof/>
          <w:color w:val="auto"/>
          <w:kern w:val="2"/>
          <w:sz w:val="22"/>
          <w:lang w:val="el-GR" w:eastAsia="el-GR"/>
          <w14:ligatures w14:val="standardContextual"/>
        </w:rPr>
      </w:pPr>
      <w:hyperlink w:anchor="_Toc227846952" w:history="1">
        <w:r w:rsidRPr="00D30CA7">
          <w:rPr>
            <w:rStyle w:val="Hyperlink"/>
            <w:noProof/>
            <w:lang w:val="en-US"/>
          </w:rPr>
          <w:t xml:space="preserve">1.1.1 </w:t>
        </w:r>
        <w:r w:rsidRPr="00D30CA7">
          <w:rPr>
            <w:rStyle w:val="Hyperlink"/>
            <w:noProof/>
          </w:rPr>
          <w:t>Introduction – Overall progress of the project</w:t>
        </w:r>
        <w:r>
          <w:rPr>
            <w:noProof/>
            <w:webHidden/>
          </w:rPr>
          <w:tab/>
        </w:r>
        <w:r>
          <w:rPr>
            <w:noProof/>
            <w:webHidden/>
          </w:rPr>
          <w:fldChar w:fldCharType="begin"/>
        </w:r>
        <w:r>
          <w:rPr>
            <w:noProof/>
            <w:webHidden/>
          </w:rPr>
          <w:instrText xml:space="preserve"> PAGEREF _Toc227846952 \h </w:instrText>
        </w:r>
        <w:r>
          <w:rPr>
            <w:noProof/>
            <w:webHidden/>
          </w:rPr>
        </w:r>
        <w:r>
          <w:rPr>
            <w:noProof/>
            <w:webHidden/>
          </w:rPr>
          <w:fldChar w:fldCharType="separate"/>
        </w:r>
        <w:r>
          <w:rPr>
            <w:noProof/>
            <w:webHidden/>
          </w:rPr>
          <w:t>2</w:t>
        </w:r>
        <w:r>
          <w:rPr>
            <w:noProof/>
            <w:webHidden/>
          </w:rPr>
          <w:fldChar w:fldCharType="end"/>
        </w:r>
      </w:hyperlink>
    </w:p>
    <w:p w14:paraId="2A0EED2C" w14:textId="59496B7F" w:rsidR="0005083B" w:rsidRDefault="0005083B">
      <w:pPr>
        <w:pStyle w:val="TOC4"/>
        <w:rPr>
          <w:rFonts w:asciiTheme="minorHAnsi" w:eastAsiaTheme="minorEastAsia" w:hAnsiTheme="minorHAnsi"/>
          <w:i w:val="0"/>
          <w:noProof/>
          <w:color w:val="auto"/>
          <w:kern w:val="2"/>
          <w:sz w:val="22"/>
          <w:lang w:val="el-GR" w:eastAsia="el-GR"/>
          <w14:ligatures w14:val="standardContextual"/>
        </w:rPr>
      </w:pPr>
      <w:hyperlink w:anchor="_Toc227846953" w:history="1">
        <w:r w:rsidRPr="00D30CA7">
          <w:rPr>
            <w:rStyle w:val="Hyperlink"/>
            <w:rFonts w:eastAsia="Calibri"/>
            <w:noProof/>
            <w:lang w:val="en-US"/>
          </w:rPr>
          <w:t>1.1.2 Main work performed during the reporting period</w:t>
        </w:r>
        <w:r>
          <w:rPr>
            <w:noProof/>
            <w:webHidden/>
          </w:rPr>
          <w:tab/>
        </w:r>
        <w:r>
          <w:rPr>
            <w:noProof/>
            <w:webHidden/>
          </w:rPr>
          <w:fldChar w:fldCharType="begin"/>
        </w:r>
        <w:r>
          <w:rPr>
            <w:noProof/>
            <w:webHidden/>
          </w:rPr>
          <w:instrText xml:space="preserve"> PAGEREF _Toc227846953 \h </w:instrText>
        </w:r>
        <w:r>
          <w:rPr>
            <w:noProof/>
            <w:webHidden/>
          </w:rPr>
        </w:r>
        <w:r>
          <w:rPr>
            <w:noProof/>
            <w:webHidden/>
          </w:rPr>
          <w:fldChar w:fldCharType="separate"/>
        </w:r>
        <w:r>
          <w:rPr>
            <w:noProof/>
            <w:webHidden/>
          </w:rPr>
          <w:t>2</w:t>
        </w:r>
        <w:r>
          <w:rPr>
            <w:noProof/>
            <w:webHidden/>
          </w:rPr>
          <w:fldChar w:fldCharType="end"/>
        </w:r>
      </w:hyperlink>
    </w:p>
    <w:p w14:paraId="19AD7F49" w14:textId="355833A0" w:rsidR="0005083B" w:rsidRDefault="0005083B">
      <w:pPr>
        <w:pStyle w:val="TOC4"/>
        <w:rPr>
          <w:rFonts w:asciiTheme="minorHAnsi" w:eastAsiaTheme="minorEastAsia" w:hAnsiTheme="minorHAnsi"/>
          <w:i w:val="0"/>
          <w:noProof/>
          <w:color w:val="auto"/>
          <w:kern w:val="2"/>
          <w:sz w:val="22"/>
          <w:lang w:val="el-GR" w:eastAsia="el-GR"/>
          <w14:ligatures w14:val="standardContextual"/>
        </w:rPr>
      </w:pPr>
      <w:hyperlink w:anchor="_Toc227846954" w:history="1">
        <w:r w:rsidRPr="00D30CA7">
          <w:rPr>
            <w:rStyle w:val="Hyperlink"/>
            <w:rFonts w:eastAsia="Calibri"/>
            <w:noProof/>
            <w:lang w:val="en-US"/>
          </w:rPr>
          <w:t>1.1.3 Key achievements of the project so far (</w:t>
        </w:r>
        <w:r w:rsidRPr="00D30CA7">
          <w:rPr>
            <w:rStyle w:val="Hyperlink"/>
            <w:rFonts w:eastAsia="Calibri"/>
            <w:noProof/>
            <w:lang w:val="el-GR"/>
          </w:rPr>
          <w:t>π</w:t>
        </w:r>
        <w:r w:rsidRPr="00D30CA7">
          <w:rPr>
            <w:rStyle w:val="Hyperlink"/>
            <w:rFonts w:eastAsia="Calibri"/>
            <w:noProof/>
            <w:lang w:val="en-US"/>
          </w:rPr>
          <w:t>.</w:t>
        </w:r>
        <w:r w:rsidRPr="00D30CA7">
          <w:rPr>
            <w:rStyle w:val="Hyperlink"/>
            <w:rFonts w:eastAsia="Calibri"/>
            <w:noProof/>
            <w:lang w:val="el-GR"/>
          </w:rPr>
          <w:t>χ</w:t>
        </w:r>
        <w:r w:rsidRPr="00D30CA7">
          <w:rPr>
            <w:rStyle w:val="Hyperlink"/>
            <w:rFonts w:eastAsia="Calibri"/>
            <w:noProof/>
            <w:lang w:val="en-US"/>
          </w:rPr>
          <w:t>. bullets)</w:t>
        </w:r>
        <w:r>
          <w:rPr>
            <w:noProof/>
            <w:webHidden/>
          </w:rPr>
          <w:tab/>
        </w:r>
        <w:r>
          <w:rPr>
            <w:noProof/>
            <w:webHidden/>
          </w:rPr>
          <w:fldChar w:fldCharType="begin"/>
        </w:r>
        <w:r>
          <w:rPr>
            <w:noProof/>
            <w:webHidden/>
          </w:rPr>
          <w:instrText xml:space="preserve"> PAGEREF _Toc227846954 \h </w:instrText>
        </w:r>
        <w:r>
          <w:rPr>
            <w:noProof/>
            <w:webHidden/>
          </w:rPr>
        </w:r>
        <w:r>
          <w:rPr>
            <w:noProof/>
            <w:webHidden/>
          </w:rPr>
          <w:fldChar w:fldCharType="separate"/>
        </w:r>
        <w:r>
          <w:rPr>
            <w:noProof/>
            <w:webHidden/>
          </w:rPr>
          <w:t>3</w:t>
        </w:r>
        <w:r>
          <w:rPr>
            <w:noProof/>
            <w:webHidden/>
          </w:rPr>
          <w:fldChar w:fldCharType="end"/>
        </w:r>
      </w:hyperlink>
    </w:p>
    <w:p w14:paraId="2FF8E63E" w14:textId="7417F7F7" w:rsidR="0005083B" w:rsidRDefault="0005083B">
      <w:pPr>
        <w:pStyle w:val="TOC4"/>
        <w:rPr>
          <w:rFonts w:asciiTheme="minorHAnsi" w:eastAsiaTheme="minorEastAsia" w:hAnsiTheme="minorHAnsi"/>
          <w:i w:val="0"/>
          <w:noProof/>
          <w:color w:val="auto"/>
          <w:kern w:val="2"/>
          <w:sz w:val="22"/>
          <w:lang w:val="el-GR" w:eastAsia="el-GR"/>
          <w14:ligatures w14:val="standardContextual"/>
        </w:rPr>
      </w:pPr>
      <w:hyperlink w:anchor="_Toc227846955" w:history="1">
        <w:r w:rsidRPr="00D30CA7">
          <w:rPr>
            <w:rStyle w:val="Hyperlink"/>
            <w:rFonts w:eastAsia="Calibri"/>
            <w:noProof/>
            <w:lang w:val="en-US"/>
          </w:rPr>
          <w:t>1.1.4 Impact generated so far</w:t>
        </w:r>
        <w:r>
          <w:rPr>
            <w:noProof/>
            <w:webHidden/>
          </w:rPr>
          <w:tab/>
        </w:r>
        <w:r>
          <w:rPr>
            <w:noProof/>
            <w:webHidden/>
          </w:rPr>
          <w:fldChar w:fldCharType="begin"/>
        </w:r>
        <w:r>
          <w:rPr>
            <w:noProof/>
            <w:webHidden/>
          </w:rPr>
          <w:instrText xml:space="preserve"> PAGEREF _Toc227846955 \h </w:instrText>
        </w:r>
        <w:r>
          <w:rPr>
            <w:noProof/>
            <w:webHidden/>
          </w:rPr>
        </w:r>
        <w:r>
          <w:rPr>
            <w:noProof/>
            <w:webHidden/>
          </w:rPr>
          <w:fldChar w:fldCharType="separate"/>
        </w:r>
        <w:r>
          <w:rPr>
            <w:noProof/>
            <w:webHidden/>
          </w:rPr>
          <w:t>3</w:t>
        </w:r>
        <w:r>
          <w:rPr>
            <w:noProof/>
            <w:webHidden/>
          </w:rPr>
          <w:fldChar w:fldCharType="end"/>
        </w:r>
      </w:hyperlink>
    </w:p>
    <w:p w14:paraId="7AA5A060" w14:textId="7DA63931" w:rsidR="0005083B" w:rsidRDefault="0005083B">
      <w:pPr>
        <w:pStyle w:val="TOC4"/>
        <w:rPr>
          <w:rFonts w:asciiTheme="minorHAnsi" w:eastAsiaTheme="minorEastAsia" w:hAnsiTheme="minorHAnsi"/>
          <w:i w:val="0"/>
          <w:noProof/>
          <w:color w:val="auto"/>
          <w:kern w:val="2"/>
          <w:sz w:val="22"/>
          <w:lang w:val="el-GR" w:eastAsia="el-GR"/>
          <w14:ligatures w14:val="standardContextual"/>
        </w:rPr>
      </w:pPr>
      <w:hyperlink w:anchor="_Toc227846956" w:history="1">
        <w:r w:rsidRPr="00D30CA7">
          <w:rPr>
            <w:rStyle w:val="Hyperlink"/>
            <w:rFonts w:eastAsia="Calibri"/>
            <w:noProof/>
            <w:lang w:val="en-US"/>
          </w:rPr>
          <w:t>1.1.5 Challenges and delays encountered</w:t>
        </w:r>
        <w:r>
          <w:rPr>
            <w:noProof/>
            <w:webHidden/>
          </w:rPr>
          <w:tab/>
        </w:r>
        <w:r>
          <w:rPr>
            <w:noProof/>
            <w:webHidden/>
          </w:rPr>
          <w:fldChar w:fldCharType="begin"/>
        </w:r>
        <w:r>
          <w:rPr>
            <w:noProof/>
            <w:webHidden/>
          </w:rPr>
          <w:instrText xml:space="preserve"> PAGEREF _Toc227846956 \h </w:instrText>
        </w:r>
        <w:r>
          <w:rPr>
            <w:noProof/>
            <w:webHidden/>
          </w:rPr>
        </w:r>
        <w:r>
          <w:rPr>
            <w:noProof/>
            <w:webHidden/>
          </w:rPr>
          <w:fldChar w:fldCharType="separate"/>
        </w:r>
        <w:r>
          <w:rPr>
            <w:noProof/>
            <w:webHidden/>
          </w:rPr>
          <w:t>3</w:t>
        </w:r>
        <w:r>
          <w:rPr>
            <w:noProof/>
            <w:webHidden/>
          </w:rPr>
          <w:fldChar w:fldCharType="end"/>
        </w:r>
      </w:hyperlink>
    </w:p>
    <w:p w14:paraId="3F068A7F" w14:textId="5842D1A3" w:rsidR="0005083B" w:rsidRDefault="0005083B">
      <w:pPr>
        <w:pStyle w:val="TOC4"/>
        <w:rPr>
          <w:rFonts w:asciiTheme="minorHAnsi" w:eastAsiaTheme="minorEastAsia" w:hAnsiTheme="minorHAnsi"/>
          <w:i w:val="0"/>
          <w:noProof/>
          <w:color w:val="auto"/>
          <w:kern w:val="2"/>
          <w:sz w:val="22"/>
          <w:lang w:val="el-GR" w:eastAsia="el-GR"/>
          <w14:ligatures w14:val="standardContextual"/>
        </w:rPr>
      </w:pPr>
      <w:hyperlink w:anchor="_Toc227846957" w:history="1">
        <w:r w:rsidRPr="00D30CA7">
          <w:rPr>
            <w:rStyle w:val="Hyperlink"/>
            <w:noProof/>
            <w:lang w:val="el-GR"/>
          </w:rPr>
          <w:t xml:space="preserve">1.1.6 </w:t>
        </w:r>
        <w:r w:rsidRPr="00D30CA7">
          <w:rPr>
            <w:rStyle w:val="Hyperlink"/>
            <w:noProof/>
          </w:rPr>
          <w:t>Lessons learned</w:t>
        </w:r>
        <w:r>
          <w:rPr>
            <w:noProof/>
            <w:webHidden/>
          </w:rPr>
          <w:tab/>
        </w:r>
        <w:r>
          <w:rPr>
            <w:noProof/>
            <w:webHidden/>
          </w:rPr>
          <w:fldChar w:fldCharType="begin"/>
        </w:r>
        <w:r>
          <w:rPr>
            <w:noProof/>
            <w:webHidden/>
          </w:rPr>
          <w:instrText xml:space="preserve"> PAGEREF _Toc227846957 \h </w:instrText>
        </w:r>
        <w:r>
          <w:rPr>
            <w:noProof/>
            <w:webHidden/>
          </w:rPr>
        </w:r>
        <w:r>
          <w:rPr>
            <w:noProof/>
            <w:webHidden/>
          </w:rPr>
          <w:fldChar w:fldCharType="separate"/>
        </w:r>
        <w:r>
          <w:rPr>
            <w:noProof/>
            <w:webHidden/>
          </w:rPr>
          <w:t>4</w:t>
        </w:r>
        <w:r>
          <w:rPr>
            <w:noProof/>
            <w:webHidden/>
          </w:rPr>
          <w:fldChar w:fldCharType="end"/>
        </w:r>
      </w:hyperlink>
    </w:p>
    <w:p w14:paraId="78FBFB48" w14:textId="032996D2" w:rsidR="0005083B" w:rsidRDefault="0005083B">
      <w:pPr>
        <w:pStyle w:val="TOC2"/>
        <w:rPr>
          <w:rFonts w:asciiTheme="minorHAnsi" w:eastAsiaTheme="minorEastAsia" w:hAnsiTheme="minorHAnsi"/>
          <w:b w:val="0"/>
          <w:color w:val="auto"/>
          <w:kern w:val="2"/>
          <w:sz w:val="22"/>
          <w:lang w:val="el-GR" w:eastAsia="el-GR"/>
          <w14:ligatures w14:val="standardContextual"/>
        </w:rPr>
      </w:pPr>
      <w:hyperlink w:anchor="_Toc227846958" w:history="1">
        <w:r w:rsidRPr="00D30CA7">
          <w:rPr>
            <w:rStyle w:val="Hyperlink"/>
          </w:rPr>
          <w:t>2. IMPACT</w:t>
        </w:r>
        <w:r>
          <w:rPr>
            <w:webHidden/>
          </w:rPr>
          <w:tab/>
        </w:r>
        <w:r>
          <w:rPr>
            <w:webHidden/>
          </w:rPr>
          <w:fldChar w:fldCharType="begin"/>
        </w:r>
        <w:r>
          <w:rPr>
            <w:webHidden/>
          </w:rPr>
          <w:instrText xml:space="preserve"> PAGEREF _Toc227846958 \h </w:instrText>
        </w:r>
        <w:r>
          <w:rPr>
            <w:webHidden/>
          </w:rPr>
        </w:r>
        <w:r>
          <w:rPr>
            <w:webHidden/>
          </w:rPr>
          <w:fldChar w:fldCharType="separate"/>
        </w:r>
        <w:r>
          <w:rPr>
            <w:webHidden/>
          </w:rPr>
          <w:t>5</w:t>
        </w:r>
        <w:r>
          <w:rPr>
            <w:webHidden/>
          </w:rPr>
          <w:fldChar w:fldCharType="end"/>
        </w:r>
      </w:hyperlink>
    </w:p>
    <w:p w14:paraId="75E3EE7E" w14:textId="131E7693" w:rsidR="0005083B" w:rsidRDefault="0005083B">
      <w:pPr>
        <w:pStyle w:val="TOC3"/>
        <w:rPr>
          <w:rFonts w:asciiTheme="minorHAnsi" w:eastAsiaTheme="minorEastAsia" w:hAnsiTheme="minorHAnsi"/>
          <w:color w:val="auto"/>
          <w:kern w:val="2"/>
          <w:sz w:val="22"/>
          <w:lang w:val="el-GR" w:eastAsia="el-GR"/>
          <w14:ligatures w14:val="standardContextual"/>
        </w:rPr>
      </w:pPr>
      <w:hyperlink w:anchor="_Toc227846959" w:history="1">
        <w:r w:rsidRPr="00D30CA7">
          <w:rPr>
            <w:rStyle w:val="Hyperlink"/>
          </w:rPr>
          <w:t>2.1 Expected impacts</w:t>
        </w:r>
        <w:r>
          <w:rPr>
            <w:webHidden/>
          </w:rPr>
          <w:tab/>
        </w:r>
        <w:r>
          <w:rPr>
            <w:webHidden/>
          </w:rPr>
          <w:fldChar w:fldCharType="begin"/>
        </w:r>
        <w:r>
          <w:rPr>
            <w:webHidden/>
          </w:rPr>
          <w:instrText xml:space="preserve"> PAGEREF _Toc227846959 \h </w:instrText>
        </w:r>
        <w:r>
          <w:rPr>
            <w:webHidden/>
          </w:rPr>
        </w:r>
        <w:r>
          <w:rPr>
            <w:webHidden/>
          </w:rPr>
          <w:fldChar w:fldCharType="separate"/>
        </w:r>
        <w:r>
          <w:rPr>
            <w:webHidden/>
          </w:rPr>
          <w:t>5</w:t>
        </w:r>
        <w:r>
          <w:rPr>
            <w:webHidden/>
          </w:rPr>
          <w:fldChar w:fldCharType="end"/>
        </w:r>
      </w:hyperlink>
    </w:p>
    <w:p w14:paraId="444142FF" w14:textId="400A9324" w:rsidR="0005083B" w:rsidRDefault="0005083B">
      <w:pPr>
        <w:pStyle w:val="TOC3"/>
        <w:rPr>
          <w:rFonts w:asciiTheme="minorHAnsi" w:eastAsiaTheme="minorEastAsia" w:hAnsiTheme="minorHAnsi"/>
          <w:color w:val="auto"/>
          <w:kern w:val="2"/>
          <w:sz w:val="22"/>
          <w:lang w:val="el-GR" w:eastAsia="el-GR"/>
          <w14:ligatures w14:val="standardContextual"/>
        </w:rPr>
      </w:pPr>
      <w:hyperlink w:anchor="_Toc227846960" w:history="1">
        <w:r w:rsidRPr="00D30CA7">
          <w:rPr>
            <w:rStyle w:val="Hyperlink"/>
          </w:rPr>
          <w:t>2.2 Sustainability, replication and exploitation</w:t>
        </w:r>
        <w:r>
          <w:rPr>
            <w:webHidden/>
          </w:rPr>
          <w:tab/>
        </w:r>
        <w:r>
          <w:rPr>
            <w:webHidden/>
          </w:rPr>
          <w:fldChar w:fldCharType="begin"/>
        </w:r>
        <w:r>
          <w:rPr>
            <w:webHidden/>
          </w:rPr>
          <w:instrText xml:space="preserve"> PAGEREF _Toc227846960 \h </w:instrText>
        </w:r>
        <w:r>
          <w:rPr>
            <w:webHidden/>
          </w:rPr>
        </w:r>
        <w:r>
          <w:rPr>
            <w:webHidden/>
          </w:rPr>
          <w:fldChar w:fldCharType="separate"/>
        </w:r>
        <w:r>
          <w:rPr>
            <w:webHidden/>
          </w:rPr>
          <w:t>7</w:t>
        </w:r>
        <w:r>
          <w:rPr>
            <w:webHidden/>
          </w:rPr>
          <w:fldChar w:fldCharType="end"/>
        </w:r>
      </w:hyperlink>
    </w:p>
    <w:p w14:paraId="16B407C8" w14:textId="20C85F88" w:rsidR="0005083B" w:rsidRDefault="0005083B">
      <w:pPr>
        <w:pStyle w:val="TOC4"/>
        <w:rPr>
          <w:rFonts w:asciiTheme="minorHAnsi" w:eastAsiaTheme="minorEastAsia" w:hAnsiTheme="minorHAnsi"/>
          <w:i w:val="0"/>
          <w:noProof/>
          <w:color w:val="auto"/>
          <w:kern w:val="2"/>
          <w:sz w:val="22"/>
          <w:lang w:val="el-GR" w:eastAsia="el-GR"/>
          <w14:ligatures w14:val="standardContextual"/>
        </w:rPr>
      </w:pPr>
      <w:hyperlink w:anchor="_Toc227846961" w:history="1">
        <w:r w:rsidRPr="00D30CA7">
          <w:rPr>
            <w:rStyle w:val="Hyperlink"/>
            <w:noProof/>
            <w:lang w:val="en-US"/>
          </w:rPr>
          <w:t xml:space="preserve">2.2.1 </w:t>
        </w:r>
        <w:r w:rsidRPr="00D30CA7">
          <w:rPr>
            <w:rStyle w:val="Hyperlink"/>
            <w:noProof/>
          </w:rPr>
          <w:t>Changes in strategy</w:t>
        </w:r>
        <w:r>
          <w:rPr>
            <w:noProof/>
            <w:webHidden/>
          </w:rPr>
          <w:tab/>
        </w:r>
        <w:r>
          <w:rPr>
            <w:noProof/>
            <w:webHidden/>
          </w:rPr>
          <w:fldChar w:fldCharType="begin"/>
        </w:r>
        <w:r>
          <w:rPr>
            <w:noProof/>
            <w:webHidden/>
          </w:rPr>
          <w:instrText xml:space="preserve"> PAGEREF _Toc227846961 \h </w:instrText>
        </w:r>
        <w:r>
          <w:rPr>
            <w:noProof/>
            <w:webHidden/>
          </w:rPr>
        </w:r>
        <w:r>
          <w:rPr>
            <w:noProof/>
            <w:webHidden/>
          </w:rPr>
          <w:fldChar w:fldCharType="separate"/>
        </w:r>
        <w:r>
          <w:rPr>
            <w:noProof/>
            <w:webHidden/>
          </w:rPr>
          <w:t>8</w:t>
        </w:r>
        <w:r>
          <w:rPr>
            <w:noProof/>
            <w:webHidden/>
          </w:rPr>
          <w:fldChar w:fldCharType="end"/>
        </w:r>
      </w:hyperlink>
    </w:p>
    <w:p w14:paraId="139B40A7" w14:textId="4D1E4FF2" w:rsidR="0005083B" w:rsidRDefault="0005083B">
      <w:pPr>
        <w:pStyle w:val="TOC4"/>
        <w:rPr>
          <w:rFonts w:asciiTheme="minorHAnsi" w:eastAsiaTheme="minorEastAsia" w:hAnsiTheme="minorHAnsi"/>
          <w:i w:val="0"/>
          <w:noProof/>
          <w:color w:val="auto"/>
          <w:kern w:val="2"/>
          <w:sz w:val="22"/>
          <w:lang w:val="el-GR" w:eastAsia="el-GR"/>
          <w14:ligatures w14:val="standardContextual"/>
        </w:rPr>
      </w:pPr>
      <w:hyperlink w:anchor="_Toc227846962" w:history="1">
        <w:r w:rsidRPr="00D30CA7">
          <w:rPr>
            <w:rStyle w:val="Hyperlink"/>
            <w:rFonts w:eastAsia="Calibri"/>
            <w:noProof/>
          </w:rPr>
          <w:t>2.2.2 Sustainability</w:t>
        </w:r>
        <w:r w:rsidRPr="00D30CA7">
          <w:rPr>
            <w:rStyle w:val="Hyperlink"/>
            <w:rFonts w:eastAsia="Calibri"/>
            <w:noProof/>
            <w:lang w:val="en-US"/>
          </w:rPr>
          <w:t xml:space="preserve"> </w:t>
        </w:r>
        <w:r w:rsidRPr="00D30CA7">
          <w:rPr>
            <w:rStyle w:val="Hyperlink"/>
            <w:rFonts w:eastAsia="Calibri"/>
            <w:noProof/>
          </w:rPr>
          <w:t>of</w:t>
        </w:r>
        <w:r w:rsidRPr="00D30CA7">
          <w:rPr>
            <w:rStyle w:val="Hyperlink"/>
            <w:rFonts w:eastAsia="Calibri"/>
            <w:noProof/>
            <w:lang w:val="en-US"/>
          </w:rPr>
          <w:t xml:space="preserve"> </w:t>
        </w:r>
        <w:r w:rsidRPr="00D30CA7">
          <w:rPr>
            <w:rStyle w:val="Hyperlink"/>
            <w:rFonts w:eastAsia="Calibri"/>
            <w:noProof/>
          </w:rPr>
          <w:t>project</w:t>
        </w:r>
        <w:r w:rsidRPr="00D30CA7">
          <w:rPr>
            <w:rStyle w:val="Hyperlink"/>
            <w:rFonts w:eastAsia="Calibri"/>
            <w:noProof/>
            <w:lang w:val="en-US"/>
          </w:rPr>
          <w:t xml:space="preserve"> </w:t>
        </w:r>
        <w:r w:rsidRPr="00D30CA7">
          <w:rPr>
            <w:rStyle w:val="Hyperlink"/>
            <w:rFonts w:eastAsia="Calibri"/>
            <w:noProof/>
          </w:rPr>
          <w:t>results</w:t>
        </w:r>
        <w:r>
          <w:rPr>
            <w:noProof/>
            <w:webHidden/>
          </w:rPr>
          <w:tab/>
        </w:r>
        <w:r>
          <w:rPr>
            <w:noProof/>
            <w:webHidden/>
          </w:rPr>
          <w:fldChar w:fldCharType="begin"/>
        </w:r>
        <w:r>
          <w:rPr>
            <w:noProof/>
            <w:webHidden/>
          </w:rPr>
          <w:instrText xml:space="preserve"> PAGEREF _Toc227846962 \h </w:instrText>
        </w:r>
        <w:r>
          <w:rPr>
            <w:noProof/>
            <w:webHidden/>
          </w:rPr>
        </w:r>
        <w:r>
          <w:rPr>
            <w:noProof/>
            <w:webHidden/>
          </w:rPr>
          <w:fldChar w:fldCharType="separate"/>
        </w:r>
        <w:r>
          <w:rPr>
            <w:noProof/>
            <w:webHidden/>
          </w:rPr>
          <w:t>8</w:t>
        </w:r>
        <w:r>
          <w:rPr>
            <w:noProof/>
            <w:webHidden/>
          </w:rPr>
          <w:fldChar w:fldCharType="end"/>
        </w:r>
      </w:hyperlink>
    </w:p>
    <w:p w14:paraId="460BF499" w14:textId="1375FF68" w:rsidR="0005083B" w:rsidRDefault="0005083B">
      <w:pPr>
        <w:pStyle w:val="TOC4"/>
        <w:rPr>
          <w:rFonts w:asciiTheme="minorHAnsi" w:eastAsiaTheme="minorEastAsia" w:hAnsiTheme="minorHAnsi"/>
          <w:i w:val="0"/>
          <w:noProof/>
          <w:color w:val="auto"/>
          <w:kern w:val="2"/>
          <w:sz w:val="22"/>
          <w:lang w:val="el-GR" w:eastAsia="el-GR"/>
          <w14:ligatures w14:val="standardContextual"/>
        </w:rPr>
      </w:pPr>
      <w:hyperlink w:anchor="_Toc227846963" w:history="1">
        <w:r w:rsidRPr="00D30CA7">
          <w:rPr>
            <w:rStyle w:val="Hyperlink"/>
            <w:noProof/>
          </w:rPr>
          <w:t>2.2.3 Replication</w:t>
        </w:r>
        <w:r w:rsidRPr="00D30CA7">
          <w:rPr>
            <w:rStyle w:val="Hyperlink"/>
            <w:noProof/>
            <w:lang w:val="en-US"/>
          </w:rPr>
          <w:t xml:space="preserve"> potential</w:t>
        </w:r>
        <w:r>
          <w:rPr>
            <w:noProof/>
            <w:webHidden/>
          </w:rPr>
          <w:tab/>
        </w:r>
        <w:r>
          <w:rPr>
            <w:noProof/>
            <w:webHidden/>
          </w:rPr>
          <w:fldChar w:fldCharType="begin"/>
        </w:r>
        <w:r>
          <w:rPr>
            <w:noProof/>
            <w:webHidden/>
          </w:rPr>
          <w:instrText xml:space="preserve"> PAGEREF _Toc227846963 \h </w:instrText>
        </w:r>
        <w:r>
          <w:rPr>
            <w:noProof/>
            <w:webHidden/>
          </w:rPr>
        </w:r>
        <w:r>
          <w:rPr>
            <w:noProof/>
            <w:webHidden/>
          </w:rPr>
          <w:fldChar w:fldCharType="separate"/>
        </w:r>
        <w:r>
          <w:rPr>
            <w:noProof/>
            <w:webHidden/>
          </w:rPr>
          <w:t>9</w:t>
        </w:r>
        <w:r>
          <w:rPr>
            <w:noProof/>
            <w:webHidden/>
          </w:rPr>
          <w:fldChar w:fldCharType="end"/>
        </w:r>
      </w:hyperlink>
    </w:p>
    <w:p w14:paraId="53B378AF" w14:textId="55E07FA8" w:rsidR="0005083B" w:rsidRDefault="0005083B">
      <w:pPr>
        <w:pStyle w:val="TOC4"/>
        <w:rPr>
          <w:rFonts w:asciiTheme="minorHAnsi" w:eastAsiaTheme="minorEastAsia" w:hAnsiTheme="minorHAnsi"/>
          <w:i w:val="0"/>
          <w:noProof/>
          <w:color w:val="auto"/>
          <w:kern w:val="2"/>
          <w:sz w:val="22"/>
          <w:lang w:val="el-GR" w:eastAsia="el-GR"/>
          <w14:ligatures w14:val="standardContextual"/>
        </w:rPr>
      </w:pPr>
      <w:hyperlink w:anchor="_Toc227846964" w:history="1">
        <w:r w:rsidRPr="00D30CA7">
          <w:rPr>
            <w:rStyle w:val="Hyperlink"/>
            <w:noProof/>
            <w:lang w:val="en-US"/>
          </w:rPr>
          <w:t>2.2.4 Exploitation of project results</w:t>
        </w:r>
        <w:r>
          <w:rPr>
            <w:noProof/>
            <w:webHidden/>
          </w:rPr>
          <w:tab/>
        </w:r>
        <w:r>
          <w:rPr>
            <w:noProof/>
            <w:webHidden/>
          </w:rPr>
          <w:fldChar w:fldCharType="begin"/>
        </w:r>
        <w:r>
          <w:rPr>
            <w:noProof/>
            <w:webHidden/>
          </w:rPr>
          <w:instrText xml:space="preserve"> PAGEREF _Toc227846964 \h </w:instrText>
        </w:r>
        <w:r>
          <w:rPr>
            <w:noProof/>
            <w:webHidden/>
          </w:rPr>
        </w:r>
        <w:r>
          <w:rPr>
            <w:noProof/>
            <w:webHidden/>
          </w:rPr>
          <w:fldChar w:fldCharType="separate"/>
        </w:r>
        <w:r>
          <w:rPr>
            <w:noProof/>
            <w:webHidden/>
          </w:rPr>
          <w:t>9</w:t>
        </w:r>
        <w:r>
          <w:rPr>
            <w:noProof/>
            <w:webHidden/>
          </w:rPr>
          <w:fldChar w:fldCharType="end"/>
        </w:r>
      </w:hyperlink>
    </w:p>
    <w:p w14:paraId="2729A904" w14:textId="4D63FFAE" w:rsidR="0005083B" w:rsidRDefault="0005083B">
      <w:pPr>
        <w:pStyle w:val="TOC4"/>
        <w:rPr>
          <w:rFonts w:asciiTheme="minorHAnsi" w:eastAsiaTheme="minorEastAsia" w:hAnsiTheme="minorHAnsi"/>
          <w:i w:val="0"/>
          <w:noProof/>
          <w:color w:val="auto"/>
          <w:kern w:val="2"/>
          <w:sz w:val="22"/>
          <w:lang w:val="el-GR" w:eastAsia="el-GR"/>
          <w14:ligatures w14:val="standardContextual"/>
        </w:rPr>
      </w:pPr>
      <w:hyperlink w:anchor="_Toc227846965" w:history="1">
        <w:r w:rsidRPr="00D30CA7">
          <w:rPr>
            <w:rStyle w:val="Hyperlink"/>
            <w:noProof/>
            <w:lang w:val="en-US"/>
          </w:rPr>
          <w:t>2.2.5 Potential market uptake / scaling</w:t>
        </w:r>
        <w:r>
          <w:rPr>
            <w:noProof/>
            <w:webHidden/>
          </w:rPr>
          <w:tab/>
        </w:r>
        <w:r>
          <w:rPr>
            <w:noProof/>
            <w:webHidden/>
          </w:rPr>
          <w:fldChar w:fldCharType="begin"/>
        </w:r>
        <w:r>
          <w:rPr>
            <w:noProof/>
            <w:webHidden/>
          </w:rPr>
          <w:instrText xml:space="preserve"> PAGEREF _Toc227846965 \h </w:instrText>
        </w:r>
        <w:r>
          <w:rPr>
            <w:noProof/>
            <w:webHidden/>
          </w:rPr>
        </w:r>
        <w:r>
          <w:rPr>
            <w:noProof/>
            <w:webHidden/>
          </w:rPr>
          <w:fldChar w:fldCharType="separate"/>
        </w:r>
        <w:r>
          <w:rPr>
            <w:noProof/>
            <w:webHidden/>
          </w:rPr>
          <w:t>10</w:t>
        </w:r>
        <w:r>
          <w:rPr>
            <w:noProof/>
            <w:webHidden/>
          </w:rPr>
          <w:fldChar w:fldCharType="end"/>
        </w:r>
      </w:hyperlink>
    </w:p>
    <w:p w14:paraId="0445D752" w14:textId="5EB599A2" w:rsidR="0005083B" w:rsidRDefault="0005083B">
      <w:pPr>
        <w:pStyle w:val="TOC3"/>
        <w:rPr>
          <w:rFonts w:asciiTheme="minorHAnsi" w:eastAsiaTheme="minorEastAsia" w:hAnsiTheme="minorHAnsi"/>
          <w:color w:val="auto"/>
          <w:kern w:val="2"/>
          <w:sz w:val="22"/>
          <w:lang w:val="el-GR" w:eastAsia="el-GR"/>
          <w14:ligatures w14:val="standardContextual"/>
        </w:rPr>
      </w:pPr>
      <w:hyperlink w:anchor="_Toc227846966" w:history="1">
        <w:r w:rsidRPr="00D30CA7">
          <w:rPr>
            <w:rStyle w:val="Hyperlink"/>
          </w:rPr>
          <w:t>2.3 Complementary measures</w:t>
        </w:r>
        <w:r>
          <w:rPr>
            <w:webHidden/>
          </w:rPr>
          <w:tab/>
        </w:r>
        <w:r>
          <w:rPr>
            <w:webHidden/>
          </w:rPr>
          <w:fldChar w:fldCharType="begin"/>
        </w:r>
        <w:r>
          <w:rPr>
            <w:webHidden/>
          </w:rPr>
          <w:instrText xml:space="preserve"> PAGEREF _Toc227846966 \h </w:instrText>
        </w:r>
        <w:r>
          <w:rPr>
            <w:webHidden/>
          </w:rPr>
        </w:r>
        <w:r>
          <w:rPr>
            <w:webHidden/>
          </w:rPr>
          <w:fldChar w:fldCharType="separate"/>
        </w:r>
        <w:r>
          <w:rPr>
            <w:webHidden/>
          </w:rPr>
          <w:t>11</w:t>
        </w:r>
        <w:r>
          <w:rPr>
            <w:webHidden/>
          </w:rPr>
          <w:fldChar w:fldCharType="end"/>
        </w:r>
      </w:hyperlink>
    </w:p>
    <w:p w14:paraId="0662289A" w14:textId="2DF7BCB2" w:rsidR="0005083B" w:rsidRDefault="0005083B">
      <w:pPr>
        <w:pStyle w:val="TOC2"/>
        <w:rPr>
          <w:rFonts w:asciiTheme="minorHAnsi" w:eastAsiaTheme="minorEastAsia" w:hAnsiTheme="minorHAnsi"/>
          <w:b w:val="0"/>
          <w:color w:val="auto"/>
          <w:kern w:val="2"/>
          <w:sz w:val="22"/>
          <w:lang w:val="el-GR" w:eastAsia="el-GR"/>
          <w14:ligatures w14:val="standardContextual"/>
        </w:rPr>
      </w:pPr>
      <w:hyperlink w:anchor="_Toc227846967" w:history="1">
        <w:r w:rsidRPr="00D30CA7">
          <w:rPr>
            <w:rStyle w:val="Hyperlink"/>
          </w:rPr>
          <w:t>3. IMPLEMENTATION</w:t>
        </w:r>
        <w:r>
          <w:rPr>
            <w:webHidden/>
          </w:rPr>
          <w:tab/>
        </w:r>
        <w:r>
          <w:rPr>
            <w:webHidden/>
          </w:rPr>
          <w:fldChar w:fldCharType="begin"/>
        </w:r>
        <w:r>
          <w:rPr>
            <w:webHidden/>
          </w:rPr>
          <w:instrText xml:space="preserve"> PAGEREF _Toc227846967 \h </w:instrText>
        </w:r>
        <w:r>
          <w:rPr>
            <w:webHidden/>
          </w:rPr>
        </w:r>
        <w:r>
          <w:rPr>
            <w:webHidden/>
          </w:rPr>
          <w:fldChar w:fldCharType="separate"/>
        </w:r>
        <w:r>
          <w:rPr>
            <w:webHidden/>
          </w:rPr>
          <w:t>13</w:t>
        </w:r>
        <w:r>
          <w:rPr>
            <w:webHidden/>
          </w:rPr>
          <w:fldChar w:fldCharType="end"/>
        </w:r>
      </w:hyperlink>
    </w:p>
    <w:p w14:paraId="7EBC5E2E" w14:textId="06BDD134" w:rsidR="0005083B" w:rsidRDefault="0005083B">
      <w:pPr>
        <w:pStyle w:val="TOC3"/>
        <w:rPr>
          <w:rFonts w:asciiTheme="minorHAnsi" w:eastAsiaTheme="minorEastAsia" w:hAnsiTheme="minorHAnsi"/>
          <w:color w:val="auto"/>
          <w:kern w:val="2"/>
          <w:sz w:val="22"/>
          <w:lang w:val="el-GR" w:eastAsia="el-GR"/>
          <w14:ligatures w14:val="standardContextual"/>
        </w:rPr>
      </w:pPr>
      <w:hyperlink w:anchor="_Toc227846968" w:history="1">
        <w:r w:rsidRPr="00D30CA7">
          <w:rPr>
            <w:rStyle w:val="Hyperlink"/>
          </w:rPr>
          <w:t>3.1 Work packages, activities, resources and timing</w:t>
        </w:r>
        <w:r>
          <w:rPr>
            <w:webHidden/>
          </w:rPr>
          <w:tab/>
        </w:r>
        <w:r>
          <w:rPr>
            <w:webHidden/>
          </w:rPr>
          <w:fldChar w:fldCharType="begin"/>
        </w:r>
        <w:r>
          <w:rPr>
            <w:webHidden/>
          </w:rPr>
          <w:instrText xml:space="preserve"> PAGEREF _Toc227846968 \h </w:instrText>
        </w:r>
        <w:r>
          <w:rPr>
            <w:webHidden/>
          </w:rPr>
        </w:r>
        <w:r>
          <w:rPr>
            <w:webHidden/>
          </w:rPr>
          <w:fldChar w:fldCharType="separate"/>
        </w:r>
        <w:r>
          <w:rPr>
            <w:webHidden/>
          </w:rPr>
          <w:t>13</w:t>
        </w:r>
        <w:r>
          <w:rPr>
            <w:webHidden/>
          </w:rPr>
          <w:fldChar w:fldCharType="end"/>
        </w:r>
      </w:hyperlink>
    </w:p>
    <w:p w14:paraId="1B75FA6E" w14:textId="7C7072DD" w:rsidR="0005083B" w:rsidRDefault="0005083B">
      <w:pPr>
        <w:pStyle w:val="TOC4"/>
        <w:rPr>
          <w:rFonts w:asciiTheme="minorHAnsi" w:eastAsiaTheme="minorEastAsia" w:hAnsiTheme="minorHAnsi"/>
          <w:i w:val="0"/>
          <w:noProof/>
          <w:color w:val="auto"/>
          <w:kern w:val="2"/>
          <w:sz w:val="22"/>
          <w:lang w:val="el-GR" w:eastAsia="el-GR"/>
          <w14:ligatures w14:val="standardContextual"/>
        </w:rPr>
      </w:pPr>
      <w:hyperlink w:anchor="_Toc227846969" w:history="1">
        <w:r w:rsidRPr="00D30CA7">
          <w:rPr>
            <w:rStyle w:val="Hyperlink"/>
            <w:noProof/>
          </w:rPr>
          <w:t>Work Package 1</w:t>
        </w:r>
        <w:r>
          <w:rPr>
            <w:noProof/>
            <w:webHidden/>
          </w:rPr>
          <w:tab/>
        </w:r>
        <w:r>
          <w:rPr>
            <w:noProof/>
            <w:webHidden/>
          </w:rPr>
          <w:fldChar w:fldCharType="begin"/>
        </w:r>
        <w:r>
          <w:rPr>
            <w:noProof/>
            <w:webHidden/>
          </w:rPr>
          <w:instrText xml:space="preserve"> PAGEREF _Toc227846969 \h </w:instrText>
        </w:r>
        <w:r>
          <w:rPr>
            <w:noProof/>
            <w:webHidden/>
          </w:rPr>
        </w:r>
        <w:r>
          <w:rPr>
            <w:noProof/>
            <w:webHidden/>
          </w:rPr>
          <w:fldChar w:fldCharType="separate"/>
        </w:r>
        <w:r>
          <w:rPr>
            <w:noProof/>
            <w:webHidden/>
          </w:rPr>
          <w:t>13</w:t>
        </w:r>
        <w:r>
          <w:rPr>
            <w:noProof/>
            <w:webHidden/>
          </w:rPr>
          <w:fldChar w:fldCharType="end"/>
        </w:r>
      </w:hyperlink>
    </w:p>
    <w:p w14:paraId="18152136" w14:textId="26F2E2EA" w:rsidR="0005083B" w:rsidRDefault="0005083B">
      <w:pPr>
        <w:pStyle w:val="TOC4"/>
        <w:rPr>
          <w:rFonts w:asciiTheme="minorHAnsi" w:eastAsiaTheme="minorEastAsia" w:hAnsiTheme="minorHAnsi"/>
          <w:i w:val="0"/>
          <w:noProof/>
          <w:color w:val="auto"/>
          <w:kern w:val="2"/>
          <w:sz w:val="22"/>
          <w:lang w:val="el-GR" w:eastAsia="el-GR"/>
          <w14:ligatures w14:val="standardContextual"/>
        </w:rPr>
      </w:pPr>
      <w:hyperlink w:anchor="_Toc227846970" w:history="1">
        <w:r w:rsidRPr="00D30CA7">
          <w:rPr>
            <w:rStyle w:val="Hyperlink"/>
            <w:noProof/>
          </w:rPr>
          <w:t>Work Package 2</w:t>
        </w:r>
        <w:r>
          <w:rPr>
            <w:noProof/>
            <w:webHidden/>
          </w:rPr>
          <w:tab/>
        </w:r>
        <w:r>
          <w:rPr>
            <w:noProof/>
            <w:webHidden/>
          </w:rPr>
          <w:fldChar w:fldCharType="begin"/>
        </w:r>
        <w:r>
          <w:rPr>
            <w:noProof/>
            <w:webHidden/>
          </w:rPr>
          <w:instrText xml:space="preserve"> PAGEREF _Toc227846970 \h </w:instrText>
        </w:r>
        <w:r>
          <w:rPr>
            <w:noProof/>
            <w:webHidden/>
          </w:rPr>
        </w:r>
        <w:r>
          <w:rPr>
            <w:noProof/>
            <w:webHidden/>
          </w:rPr>
          <w:fldChar w:fldCharType="separate"/>
        </w:r>
        <w:r>
          <w:rPr>
            <w:noProof/>
            <w:webHidden/>
          </w:rPr>
          <w:t>19</w:t>
        </w:r>
        <w:r>
          <w:rPr>
            <w:noProof/>
            <w:webHidden/>
          </w:rPr>
          <w:fldChar w:fldCharType="end"/>
        </w:r>
      </w:hyperlink>
    </w:p>
    <w:p w14:paraId="7DA7C086" w14:textId="1A3297D4" w:rsidR="0005083B" w:rsidRDefault="0005083B">
      <w:pPr>
        <w:pStyle w:val="TOC4"/>
        <w:rPr>
          <w:rFonts w:asciiTheme="minorHAnsi" w:eastAsiaTheme="minorEastAsia" w:hAnsiTheme="minorHAnsi"/>
          <w:i w:val="0"/>
          <w:noProof/>
          <w:color w:val="auto"/>
          <w:kern w:val="2"/>
          <w:sz w:val="22"/>
          <w:lang w:val="el-GR" w:eastAsia="el-GR"/>
          <w14:ligatures w14:val="standardContextual"/>
        </w:rPr>
      </w:pPr>
      <w:hyperlink w:anchor="_Toc227846971" w:history="1">
        <w:r w:rsidRPr="00D30CA7">
          <w:rPr>
            <w:rStyle w:val="Hyperlink"/>
            <w:noProof/>
          </w:rPr>
          <w:t>Work Package 3</w:t>
        </w:r>
        <w:r>
          <w:rPr>
            <w:noProof/>
            <w:webHidden/>
          </w:rPr>
          <w:tab/>
        </w:r>
        <w:r>
          <w:rPr>
            <w:noProof/>
            <w:webHidden/>
          </w:rPr>
          <w:fldChar w:fldCharType="begin"/>
        </w:r>
        <w:r>
          <w:rPr>
            <w:noProof/>
            <w:webHidden/>
          </w:rPr>
          <w:instrText xml:space="preserve"> PAGEREF _Toc227846971 \h </w:instrText>
        </w:r>
        <w:r>
          <w:rPr>
            <w:noProof/>
            <w:webHidden/>
          </w:rPr>
        </w:r>
        <w:r>
          <w:rPr>
            <w:noProof/>
            <w:webHidden/>
          </w:rPr>
          <w:fldChar w:fldCharType="separate"/>
        </w:r>
        <w:r>
          <w:rPr>
            <w:noProof/>
            <w:webHidden/>
          </w:rPr>
          <w:t>22</w:t>
        </w:r>
        <w:r>
          <w:rPr>
            <w:noProof/>
            <w:webHidden/>
          </w:rPr>
          <w:fldChar w:fldCharType="end"/>
        </w:r>
      </w:hyperlink>
    </w:p>
    <w:p w14:paraId="2791BF74" w14:textId="701361EE" w:rsidR="0005083B" w:rsidRDefault="0005083B">
      <w:pPr>
        <w:pStyle w:val="TOC4"/>
        <w:rPr>
          <w:rFonts w:asciiTheme="minorHAnsi" w:eastAsiaTheme="minorEastAsia" w:hAnsiTheme="minorHAnsi"/>
          <w:i w:val="0"/>
          <w:noProof/>
          <w:color w:val="auto"/>
          <w:kern w:val="2"/>
          <w:sz w:val="22"/>
          <w:lang w:val="el-GR" w:eastAsia="el-GR"/>
          <w14:ligatures w14:val="standardContextual"/>
        </w:rPr>
      </w:pPr>
      <w:hyperlink w:anchor="_Toc227846972" w:history="1">
        <w:r w:rsidRPr="00D30CA7">
          <w:rPr>
            <w:rStyle w:val="Hyperlink"/>
            <w:noProof/>
          </w:rPr>
          <w:t>Work Package 4</w:t>
        </w:r>
        <w:r>
          <w:rPr>
            <w:noProof/>
            <w:webHidden/>
          </w:rPr>
          <w:tab/>
        </w:r>
        <w:r>
          <w:rPr>
            <w:noProof/>
            <w:webHidden/>
          </w:rPr>
          <w:fldChar w:fldCharType="begin"/>
        </w:r>
        <w:r>
          <w:rPr>
            <w:noProof/>
            <w:webHidden/>
          </w:rPr>
          <w:instrText xml:space="preserve"> PAGEREF _Toc227846972 \h </w:instrText>
        </w:r>
        <w:r>
          <w:rPr>
            <w:noProof/>
            <w:webHidden/>
          </w:rPr>
        </w:r>
        <w:r>
          <w:rPr>
            <w:noProof/>
            <w:webHidden/>
          </w:rPr>
          <w:fldChar w:fldCharType="separate"/>
        </w:r>
        <w:r>
          <w:rPr>
            <w:noProof/>
            <w:webHidden/>
          </w:rPr>
          <w:t>28</w:t>
        </w:r>
        <w:r>
          <w:rPr>
            <w:noProof/>
            <w:webHidden/>
          </w:rPr>
          <w:fldChar w:fldCharType="end"/>
        </w:r>
      </w:hyperlink>
    </w:p>
    <w:p w14:paraId="1D6A98D7" w14:textId="249C53EE" w:rsidR="0005083B" w:rsidRDefault="0005083B">
      <w:pPr>
        <w:pStyle w:val="TOC4"/>
        <w:rPr>
          <w:rFonts w:asciiTheme="minorHAnsi" w:eastAsiaTheme="minorEastAsia" w:hAnsiTheme="minorHAnsi"/>
          <w:i w:val="0"/>
          <w:noProof/>
          <w:color w:val="auto"/>
          <w:kern w:val="2"/>
          <w:sz w:val="22"/>
          <w:lang w:val="el-GR" w:eastAsia="el-GR"/>
          <w14:ligatures w14:val="standardContextual"/>
        </w:rPr>
      </w:pPr>
      <w:hyperlink w:anchor="_Toc227846973" w:history="1">
        <w:r w:rsidRPr="00D30CA7">
          <w:rPr>
            <w:rStyle w:val="Hyperlink"/>
            <w:noProof/>
          </w:rPr>
          <w:t>Work Package 5</w:t>
        </w:r>
        <w:r>
          <w:rPr>
            <w:noProof/>
            <w:webHidden/>
          </w:rPr>
          <w:tab/>
        </w:r>
        <w:r>
          <w:rPr>
            <w:noProof/>
            <w:webHidden/>
          </w:rPr>
          <w:fldChar w:fldCharType="begin"/>
        </w:r>
        <w:r>
          <w:rPr>
            <w:noProof/>
            <w:webHidden/>
          </w:rPr>
          <w:instrText xml:space="preserve"> PAGEREF _Toc227846973 \h </w:instrText>
        </w:r>
        <w:r>
          <w:rPr>
            <w:noProof/>
            <w:webHidden/>
          </w:rPr>
        </w:r>
        <w:r>
          <w:rPr>
            <w:noProof/>
            <w:webHidden/>
          </w:rPr>
          <w:fldChar w:fldCharType="separate"/>
        </w:r>
        <w:r>
          <w:rPr>
            <w:noProof/>
            <w:webHidden/>
          </w:rPr>
          <w:t>32</w:t>
        </w:r>
        <w:r>
          <w:rPr>
            <w:noProof/>
            <w:webHidden/>
          </w:rPr>
          <w:fldChar w:fldCharType="end"/>
        </w:r>
      </w:hyperlink>
    </w:p>
    <w:p w14:paraId="1D761F76" w14:textId="3330AB2C" w:rsidR="0005083B" w:rsidRDefault="0005083B">
      <w:pPr>
        <w:pStyle w:val="TOC4"/>
        <w:rPr>
          <w:rFonts w:asciiTheme="minorHAnsi" w:eastAsiaTheme="minorEastAsia" w:hAnsiTheme="minorHAnsi"/>
          <w:i w:val="0"/>
          <w:noProof/>
          <w:color w:val="auto"/>
          <w:kern w:val="2"/>
          <w:sz w:val="22"/>
          <w:lang w:val="el-GR" w:eastAsia="el-GR"/>
          <w14:ligatures w14:val="standardContextual"/>
        </w:rPr>
      </w:pPr>
      <w:hyperlink w:anchor="_Toc227846974" w:history="1">
        <w:r w:rsidRPr="00D30CA7">
          <w:rPr>
            <w:rStyle w:val="Hyperlink"/>
            <w:noProof/>
          </w:rPr>
          <w:t>Work Package 6</w:t>
        </w:r>
        <w:r>
          <w:rPr>
            <w:noProof/>
            <w:webHidden/>
          </w:rPr>
          <w:tab/>
        </w:r>
        <w:r>
          <w:rPr>
            <w:noProof/>
            <w:webHidden/>
          </w:rPr>
          <w:fldChar w:fldCharType="begin"/>
        </w:r>
        <w:r>
          <w:rPr>
            <w:noProof/>
            <w:webHidden/>
          </w:rPr>
          <w:instrText xml:space="preserve"> PAGEREF _Toc227846974 \h </w:instrText>
        </w:r>
        <w:r>
          <w:rPr>
            <w:noProof/>
            <w:webHidden/>
          </w:rPr>
        </w:r>
        <w:r>
          <w:rPr>
            <w:noProof/>
            <w:webHidden/>
          </w:rPr>
          <w:fldChar w:fldCharType="separate"/>
        </w:r>
        <w:r>
          <w:rPr>
            <w:noProof/>
            <w:webHidden/>
          </w:rPr>
          <w:t>34</w:t>
        </w:r>
        <w:r>
          <w:rPr>
            <w:noProof/>
            <w:webHidden/>
          </w:rPr>
          <w:fldChar w:fldCharType="end"/>
        </w:r>
      </w:hyperlink>
    </w:p>
    <w:p w14:paraId="57A1C3EA" w14:textId="658591C8" w:rsidR="0005083B" w:rsidRDefault="0005083B">
      <w:pPr>
        <w:pStyle w:val="TOC4"/>
        <w:rPr>
          <w:rFonts w:asciiTheme="minorHAnsi" w:eastAsiaTheme="minorEastAsia" w:hAnsiTheme="minorHAnsi"/>
          <w:i w:val="0"/>
          <w:noProof/>
          <w:color w:val="auto"/>
          <w:kern w:val="2"/>
          <w:sz w:val="22"/>
          <w:lang w:val="el-GR" w:eastAsia="el-GR"/>
          <w14:ligatures w14:val="standardContextual"/>
        </w:rPr>
      </w:pPr>
      <w:hyperlink w:anchor="_Toc227846975" w:history="1">
        <w:r w:rsidRPr="00D30CA7">
          <w:rPr>
            <w:rStyle w:val="Hyperlink"/>
            <w:noProof/>
          </w:rPr>
          <w:t>Work Package 7</w:t>
        </w:r>
        <w:r>
          <w:rPr>
            <w:noProof/>
            <w:webHidden/>
          </w:rPr>
          <w:tab/>
        </w:r>
        <w:r>
          <w:rPr>
            <w:noProof/>
            <w:webHidden/>
          </w:rPr>
          <w:fldChar w:fldCharType="begin"/>
        </w:r>
        <w:r>
          <w:rPr>
            <w:noProof/>
            <w:webHidden/>
          </w:rPr>
          <w:instrText xml:space="preserve"> PAGEREF _Toc227846975 \h </w:instrText>
        </w:r>
        <w:r>
          <w:rPr>
            <w:noProof/>
            <w:webHidden/>
          </w:rPr>
        </w:r>
        <w:r>
          <w:rPr>
            <w:noProof/>
            <w:webHidden/>
          </w:rPr>
          <w:fldChar w:fldCharType="separate"/>
        </w:r>
        <w:r>
          <w:rPr>
            <w:noProof/>
            <w:webHidden/>
          </w:rPr>
          <w:t>36</w:t>
        </w:r>
        <w:r>
          <w:rPr>
            <w:noProof/>
            <w:webHidden/>
          </w:rPr>
          <w:fldChar w:fldCharType="end"/>
        </w:r>
      </w:hyperlink>
    </w:p>
    <w:p w14:paraId="73E5BDDF" w14:textId="3E33FE40" w:rsidR="0005083B" w:rsidRDefault="0005083B">
      <w:pPr>
        <w:pStyle w:val="TOC4"/>
        <w:rPr>
          <w:rFonts w:asciiTheme="minorHAnsi" w:eastAsiaTheme="minorEastAsia" w:hAnsiTheme="minorHAnsi"/>
          <w:i w:val="0"/>
          <w:noProof/>
          <w:color w:val="auto"/>
          <w:kern w:val="2"/>
          <w:sz w:val="22"/>
          <w:lang w:val="el-GR" w:eastAsia="el-GR"/>
          <w14:ligatures w14:val="standardContextual"/>
        </w:rPr>
      </w:pPr>
      <w:hyperlink w:anchor="_Toc227846976" w:history="1">
        <w:r w:rsidRPr="00D30CA7">
          <w:rPr>
            <w:rStyle w:val="Hyperlink"/>
            <w:noProof/>
          </w:rPr>
          <w:t>Timetable</w:t>
        </w:r>
        <w:r>
          <w:rPr>
            <w:noProof/>
            <w:webHidden/>
          </w:rPr>
          <w:tab/>
        </w:r>
        <w:r>
          <w:rPr>
            <w:noProof/>
            <w:webHidden/>
          </w:rPr>
          <w:fldChar w:fldCharType="begin"/>
        </w:r>
        <w:r>
          <w:rPr>
            <w:noProof/>
            <w:webHidden/>
          </w:rPr>
          <w:instrText xml:space="preserve"> PAGEREF _Toc227846976 \h </w:instrText>
        </w:r>
        <w:r>
          <w:rPr>
            <w:noProof/>
            <w:webHidden/>
          </w:rPr>
        </w:r>
        <w:r>
          <w:rPr>
            <w:noProof/>
            <w:webHidden/>
          </w:rPr>
          <w:fldChar w:fldCharType="separate"/>
        </w:r>
        <w:r>
          <w:rPr>
            <w:noProof/>
            <w:webHidden/>
          </w:rPr>
          <w:t>40</w:t>
        </w:r>
        <w:r>
          <w:rPr>
            <w:noProof/>
            <w:webHidden/>
          </w:rPr>
          <w:fldChar w:fldCharType="end"/>
        </w:r>
      </w:hyperlink>
    </w:p>
    <w:p w14:paraId="4FB21A5C" w14:textId="1B4B2615" w:rsidR="0005083B" w:rsidRDefault="0005083B">
      <w:pPr>
        <w:pStyle w:val="TOC3"/>
        <w:rPr>
          <w:rFonts w:asciiTheme="minorHAnsi" w:eastAsiaTheme="minorEastAsia" w:hAnsiTheme="minorHAnsi"/>
          <w:color w:val="auto"/>
          <w:kern w:val="2"/>
          <w:sz w:val="22"/>
          <w:lang w:val="el-GR" w:eastAsia="el-GR"/>
          <w14:ligatures w14:val="standardContextual"/>
        </w:rPr>
      </w:pPr>
      <w:hyperlink w:anchor="_Toc227846977" w:history="1">
        <w:r w:rsidRPr="00D30CA7">
          <w:rPr>
            <w:rStyle w:val="Hyperlink"/>
          </w:rPr>
          <w:t>3.2 Impact monitoring and reporting</w:t>
        </w:r>
        <w:r>
          <w:rPr>
            <w:webHidden/>
          </w:rPr>
          <w:tab/>
        </w:r>
        <w:r>
          <w:rPr>
            <w:webHidden/>
          </w:rPr>
          <w:fldChar w:fldCharType="begin"/>
        </w:r>
        <w:r>
          <w:rPr>
            <w:webHidden/>
          </w:rPr>
          <w:instrText xml:space="preserve"> PAGEREF _Toc227846977 \h </w:instrText>
        </w:r>
        <w:r>
          <w:rPr>
            <w:webHidden/>
          </w:rPr>
        </w:r>
        <w:r>
          <w:rPr>
            <w:webHidden/>
          </w:rPr>
          <w:fldChar w:fldCharType="separate"/>
        </w:r>
        <w:r>
          <w:rPr>
            <w:webHidden/>
          </w:rPr>
          <w:t>41</w:t>
        </w:r>
        <w:r>
          <w:rPr>
            <w:webHidden/>
          </w:rPr>
          <w:fldChar w:fldCharType="end"/>
        </w:r>
      </w:hyperlink>
    </w:p>
    <w:p w14:paraId="7EAA091E" w14:textId="4AABA6B5" w:rsidR="0005083B" w:rsidRDefault="0005083B">
      <w:pPr>
        <w:pStyle w:val="TOC3"/>
        <w:rPr>
          <w:rFonts w:asciiTheme="minorHAnsi" w:eastAsiaTheme="minorEastAsia" w:hAnsiTheme="minorHAnsi"/>
          <w:color w:val="auto"/>
          <w:kern w:val="2"/>
          <w:sz w:val="22"/>
          <w:lang w:val="el-GR" w:eastAsia="el-GR"/>
          <w14:ligatures w14:val="standardContextual"/>
        </w:rPr>
      </w:pPr>
      <w:hyperlink w:anchor="_Toc227846978" w:history="1">
        <w:r w:rsidRPr="00D30CA7">
          <w:rPr>
            <w:rStyle w:val="Hyperlink"/>
          </w:rPr>
          <w:t>3.3 Communication, dissemination and visibility</w:t>
        </w:r>
        <w:r>
          <w:rPr>
            <w:webHidden/>
          </w:rPr>
          <w:tab/>
        </w:r>
        <w:r>
          <w:rPr>
            <w:webHidden/>
          </w:rPr>
          <w:fldChar w:fldCharType="begin"/>
        </w:r>
        <w:r>
          <w:rPr>
            <w:webHidden/>
          </w:rPr>
          <w:instrText xml:space="preserve"> PAGEREF _Toc227846978 \h </w:instrText>
        </w:r>
        <w:r>
          <w:rPr>
            <w:webHidden/>
          </w:rPr>
        </w:r>
        <w:r>
          <w:rPr>
            <w:webHidden/>
          </w:rPr>
          <w:fldChar w:fldCharType="separate"/>
        </w:r>
        <w:r>
          <w:rPr>
            <w:webHidden/>
          </w:rPr>
          <w:t>41</w:t>
        </w:r>
        <w:r>
          <w:rPr>
            <w:webHidden/>
          </w:rPr>
          <w:fldChar w:fldCharType="end"/>
        </w:r>
      </w:hyperlink>
    </w:p>
    <w:p w14:paraId="5C2CD1F6" w14:textId="0DB51F4C" w:rsidR="0005083B" w:rsidRDefault="0005083B">
      <w:pPr>
        <w:pStyle w:val="TOC2"/>
        <w:rPr>
          <w:rFonts w:asciiTheme="minorHAnsi" w:eastAsiaTheme="minorEastAsia" w:hAnsiTheme="minorHAnsi"/>
          <w:b w:val="0"/>
          <w:color w:val="auto"/>
          <w:kern w:val="2"/>
          <w:sz w:val="22"/>
          <w:lang w:val="el-GR" w:eastAsia="el-GR"/>
          <w14:ligatures w14:val="standardContextual"/>
        </w:rPr>
      </w:pPr>
      <w:hyperlink w:anchor="_Toc227846979" w:history="1">
        <w:r w:rsidRPr="00D30CA7">
          <w:rPr>
            <w:rStyle w:val="Hyperlink"/>
          </w:rPr>
          <w:t>4. RESOURCES</w:t>
        </w:r>
        <w:r>
          <w:rPr>
            <w:webHidden/>
          </w:rPr>
          <w:tab/>
        </w:r>
        <w:r>
          <w:rPr>
            <w:webHidden/>
          </w:rPr>
          <w:fldChar w:fldCharType="begin"/>
        </w:r>
        <w:r>
          <w:rPr>
            <w:webHidden/>
          </w:rPr>
          <w:instrText xml:space="preserve"> PAGEREF _Toc227846979 \h </w:instrText>
        </w:r>
        <w:r>
          <w:rPr>
            <w:webHidden/>
          </w:rPr>
        </w:r>
        <w:r>
          <w:rPr>
            <w:webHidden/>
          </w:rPr>
          <w:fldChar w:fldCharType="separate"/>
        </w:r>
        <w:r>
          <w:rPr>
            <w:webHidden/>
          </w:rPr>
          <w:t>41</w:t>
        </w:r>
        <w:r>
          <w:rPr>
            <w:webHidden/>
          </w:rPr>
          <w:fldChar w:fldCharType="end"/>
        </w:r>
      </w:hyperlink>
    </w:p>
    <w:p w14:paraId="3E7FB331" w14:textId="3A05E580" w:rsidR="0005083B" w:rsidRDefault="0005083B">
      <w:pPr>
        <w:pStyle w:val="TOC3"/>
        <w:rPr>
          <w:rFonts w:asciiTheme="minorHAnsi" w:eastAsiaTheme="minorEastAsia" w:hAnsiTheme="minorHAnsi"/>
          <w:color w:val="auto"/>
          <w:kern w:val="2"/>
          <w:sz w:val="22"/>
          <w:lang w:val="el-GR" w:eastAsia="el-GR"/>
          <w14:ligatures w14:val="standardContextual"/>
        </w:rPr>
      </w:pPr>
      <w:hyperlink w:anchor="_Toc227846980" w:history="1">
        <w:r w:rsidRPr="00D30CA7">
          <w:rPr>
            <w:rStyle w:val="Hyperlink"/>
          </w:rPr>
          <w:t>4.1 Consortium set-up</w:t>
        </w:r>
        <w:r>
          <w:rPr>
            <w:webHidden/>
          </w:rPr>
          <w:tab/>
        </w:r>
        <w:r>
          <w:rPr>
            <w:webHidden/>
          </w:rPr>
          <w:fldChar w:fldCharType="begin"/>
        </w:r>
        <w:r>
          <w:rPr>
            <w:webHidden/>
          </w:rPr>
          <w:instrText xml:space="preserve"> PAGEREF _Toc227846980 \h </w:instrText>
        </w:r>
        <w:r>
          <w:rPr>
            <w:webHidden/>
          </w:rPr>
        </w:r>
        <w:r>
          <w:rPr>
            <w:webHidden/>
          </w:rPr>
          <w:fldChar w:fldCharType="separate"/>
        </w:r>
        <w:r>
          <w:rPr>
            <w:webHidden/>
          </w:rPr>
          <w:t>41</w:t>
        </w:r>
        <w:r>
          <w:rPr>
            <w:webHidden/>
          </w:rPr>
          <w:fldChar w:fldCharType="end"/>
        </w:r>
      </w:hyperlink>
    </w:p>
    <w:p w14:paraId="440A3D10" w14:textId="1E19FCDD" w:rsidR="0005083B" w:rsidRDefault="0005083B">
      <w:pPr>
        <w:pStyle w:val="TOC3"/>
        <w:rPr>
          <w:rFonts w:asciiTheme="minorHAnsi" w:eastAsiaTheme="minorEastAsia" w:hAnsiTheme="minorHAnsi"/>
          <w:color w:val="auto"/>
          <w:kern w:val="2"/>
          <w:sz w:val="22"/>
          <w:lang w:val="el-GR" w:eastAsia="el-GR"/>
          <w14:ligatures w14:val="standardContextual"/>
        </w:rPr>
      </w:pPr>
      <w:hyperlink w:anchor="_Toc227846981" w:history="1">
        <w:r w:rsidRPr="00D30CA7">
          <w:rPr>
            <w:rStyle w:val="Hyperlink"/>
            <w:shd w:val="clear" w:color="auto" w:fill="FFFFFF"/>
          </w:rPr>
          <w:t>4.2 Project management</w:t>
        </w:r>
        <w:r>
          <w:rPr>
            <w:webHidden/>
          </w:rPr>
          <w:tab/>
        </w:r>
        <w:r>
          <w:rPr>
            <w:webHidden/>
          </w:rPr>
          <w:fldChar w:fldCharType="begin"/>
        </w:r>
        <w:r>
          <w:rPr>
            <w:webHidden/>
          </w:rPr>
          <w:instrText xml:space="preserve"> PAGEREF _Toc227846981 \h </w:instrText>
        </w:r>
        <w:r>
          <w:rPr>
            <w:webHidden/>
          </w:rPr>
        </w:r>
        <w:r>
          <w:rPr>
            <w:webHidden/>
          </w:rPr>
          <w:fldChar w:fldCharType="separate"/>
        </w:r>
        <w:r>
          <w:rPr>
            <w:webHidden/>
          </w:rPr>
          <w:t>42</w:t>
        </w:r>
        <w:r>
          <w:rPr>
            <w:webHidden/>
          </w:rPr>
          <w:fldChar w:fldCharType="end"/>
        </w:r>
      </w:hyperlink>
    </w:p>
    <w:p w14:paraId="57D5559E" w14:textId="3C3D2B4B" w:rsidR="0005083B" w:rsidRDefault="0005083B">
      <w:pPr>
        <w:pStyle w:val="TOC3"/>
        <w:rPr>
          <w:rFonts w:asciiTheme="minorHAnsi" w:eastAsiaTheme="minorEastAsia" w:hAnsiTheme="minorHAnsi"/>
          <w:color w:val="auto"/>
          <w:kern w:val="2"/>
          <w:sz w:val="22"/>
          <w:lang w:val="el-GR" w:eastAsia="el-GR"/>
          <w14:ligatures w14:val="standardContextual"/>
        </w:rPr>
      </w:pPr>
      <w:hyperlink w:anchor="_Toc227846982" w:history="1">
        <w:r w:rsidRPr="00D30CA7">
          <w:rPr>
            <w:rStyle w:val="Hyperlink"/>
          </w:rPr>
          <w:t>4.3 Budget</w:t>
        </w:r>
        <w:r>
          <w:rPr>
            <w:webHidden/>
          </w:rPr>
          <w:tab/>
        </w:r>
        <w:r>
          <w:rPr>
            <w:webHidden/>
          </w:rPr>
          <w:fldChar w:fldCharType="begin"/>
        </w:r>
        <w:r>
          <w:rPr>
            <w:webHidden/>
          </w:rPr>
          <w:instrText xml:space="preserve"> PAGEREF _Toc227846982 \h </w:instrText>
        </w:r>
        <w:r>
          <w:rPr>
            <w:webHidden/>
          </w:rPr>
        </w:r>
        <w:r>
          <w:rPr>
            <w:webHidden/>
          </w:rPr>
          <w:fldChar w:fldCharType="separate"/>
        </w:r>
        <w:r>
          <w:rPr>
            <w:webHidden/>
          </w:rPr>
          <w:t>42</w:t>
        </w:r>
        <w:r>
          <w:rPr>
            <w:webHidden/>
          </w:rPr>
          <w:fldChar w:fldCharType="end"/>
        </w:r>
      </w:hyperlink>
    </w:p>
    <w:p w14:paraId="2E428131" w14:textId="56DAD3A7" w:rsidR="0005083B" w:rsidRDefault="0005083B">
      <w:pPr>
        <w:pStyle w:val="TOC3"/>
        <w:rPr>
          <w:rFonts w:asciiTheme="minorHAnsi" w:eastAsiaTheme="minorEastAsia" w:hAnsiTheme="minorHAnsi"/>
          <w:color w:val="auto"/>
          <w:kern w:val="2"/>
          <w:sz w:val="22"/>
          <w:lang w:val="el-GR" w:eastAsia="el-GR"/>
          <w14:ligatures w14:val="standardContextual"/>
        </w:rPr>
      </w:pPr>
      <w:hyperlink w:anchor="_Toc227846983" w:history="1">
        <w:r w:rsidRPr="00D30CA7">
          <w:rPr>
            <w:rStyle w:val="Hyperlink"/>
          </w:rPr>
          <w:t>4.4</w:t>
        </w:r>
        <w:r w:rsidRPr="00D30CA7">
          <w:rPr>
            <w:rStyle w:val="Hyperlink"/>
            <w:shd w:val="clear" w:color="auto" w:fill="FFFFFF"/>
          </w:rPr>
          <w:t xml:space="preserve"> Risk management</w:t>
        </w:r>
        <w:r>
          <w:rPr>
            <w:webHidden/>
          </w:rPr>
          <w:tab/>
        </w:r>
        <w:r>
          <w:rPr>
            <w:webHidden/>
          </w:rPr>
          <w:fldChar w:fldCharType="begin"/>
        </w:r>
        <w:r>
          <w:rPr>
            <w:webHidden/>
          </w:rPr>
          <w:instrText xml:space="preserve"> PAGEREF _Toc227846983 \h </w:instrText>
        </w:r>
        <w:r>
          <w:rPr>
            <w:webHidden/>
          </w:rPr>
        </w:r>
        <w:r>
          <w:rPr>
            <w:webHidden/>
          </w:rPr>
          <w:fldChar w:fldCharType="separate"/>
        </w:r>
        <w:r>
          <w:rPr>
            <w:webHidden/>
          </w:rPr>
          <w:t>42</w:t>
        </w:r>
        <w:r>
          <w:rPr>
            <w:webHidden/>
          </w:rPr>
          <w:fldChar w:fldCharType="end"/>
        </w:r>
      </w:hyperlink>
    </w:p>
    <w:p w14:paraId="4862F2C4" w14:textId="08987E7E" w:rsidR="0005083B" w:rsidRDefault="0005083B">
      <w:pPr>
        <w:pStyle w:val="TOC3"/>
        <w:rPr>
          <w:rFonts w:asciiTheme="minorHAnsi" w:eastAsiaTheme="minorEastAsia" w:hAnsiTheme="minorHAnsi"/>
          <w:color w:val="auto"/>
          <w:kern w:val="2"/>
          <w:sz w:val="22"/>
          <w:lang w:val="el-GR" w:eastAsia="el-GR"/>
          <w14:ligatures w14:val="standardContextual"/>
        </w:rPr>
      </w:pPr>
      <w:hyperlink w:anchor="_Toc227846984" w:history="1">
        <w:r w:rsidRPr="00D30CA7">
          <w:rPr>
            <w:rStyle w:val="Hyperlink"/>
          </w:rPr>
          <w:t>4.5 Next phase: Changes/adjustments</w:t>
        </w:r>
        <w:r>
          <w:rPr>
            <w:webHidden/>
          </w:rPr>
          <w:tab/>
        </w:r>
        <w:r>
          <w:rPr>
            <w:webHidden/>
          </w:rPr>
          <w:fldChar w:fldCharType="begin"/>
        </w:r>
        <w:r>
          <w:rPr>
            <w:webHidden/>
          </w:rPr>
          <w:instrText xml:space="preserve"> PAGEREF _Toc227846984 \h </w:instrText>
        </w:r>
        <w:r>
          <w:rPr>
            <w:webHidden/>
          </w:rPr>
        </w:r>
        <w:r>
          <w:rPr>
            <w:webHidden/>
          </w:rPr>
          <w:fldChar w:fldCharType="separate"/>
        </w:r>
        <w:r>
          <w:rPr>
            <w:webHidden/>
          </w:rPr>
          <w:t>43</w:t>
        </w:r>
        <w:r>
          <w:rPr>
            <w:webHidden/>
          </w:rPr>
          <w:fldChar w:fldCharType="end"/>
        </w:r>
      </w:hyperlink>
    </w:p>
    <w:p w14:paraId="17082B5D" w14:textId="5AB2D9BA" w:rsidR="0005083B" w:rsidRDefault="0005083B">
      <w:pPr>
        <w:pStyle w:val="TOC2"/>
        <w:rPr>
          <w:rFonts w:asciiTheme="minorHAnsi" w:eastAsiaTheme="minorEastAsia" w:hAnsiTheme="minorHAnsi"/>
          <w:b w:val="0"/>
          <w:color w:val="auto"/>
          <w:kern w:val="2"/>
          <w:sz w:val="22"/>
          <w:lang w:val="el-GR" w:eastAsia="el-GR"/>
          <w14:ligatures w14:val="standardContextual"/>
        </w:rPr>
      </w:pPr>
      <w:hyperlink w:anchor="_Toc227846985" w:history="1">
        <w:r w:rsidRPr="00D30CA7">
          <w:rPr>
            <w:rStyle w:val="Hyperlink"/>
          </w:rPr>
          <w:t>5. FOLLOW-UP TO EU RECOMMENDATIONS</w:t>
        </w:r>
        <w:r>
          <w:rPr>
            <w:webHidden/>
          </w:rPr>
          <w:tab/>
        </w:r>
        <w:r>
          <w:rPr>
            <w:webHidden/>
          </w:rPr>
          <w:fldChar w:fldCharType="begin"/>
        </w:r>
        <w:r>
          <w:rPr>
            <w:webHidden/>
          </w:rPr>
          <w:instrText xml:space="preserve"> PAGEREF _Toc227846985 \h </w:instrText>
        </w:r>
        <w:r>
          <w:rPr>
            <w:webHidden/>
          </w:rPr>
        </w:r>
        <w:r>
          <w:rPr>
            <w:webHidden/>
          </w:rPr>
          <w:fldChar w:fldCharType="separate"/>
        </w:r>
        <w:r>
          <w:rPr>
            <w:webHidden/>
          </w:rPr>
          <w:t>43</w:t>
        </w:r>
        <w:r>
          <w:rPr>
            <w:webHidden/>
          </w:rPr>
          <w:fldChar w:fldCharType="end"/>
        </w:r>
      </w:hyperlink>
    </w:p>
    <w:p w14:paraId="2F744050" w14:textId="07A85B52" w:rsidR="0005083B" w:rsidRDefault="0005083B">
      <w:pPr>
        <w:pStyle w:val="TOC3"/>
        <w:rPr>
          <w:rFonts w:asciiTheme="minorHAnsi" w:eastAsiaTheme="minorEastAsia" w:hAnsiTheme="minorHAnsi"/>
          <w:color w:val="auto"/>
          <w:kern w:val="2"/>
          <w:sz w:val="22"/>
          <w:lang w:val="el-GR" w:eastAsia="el-GR"/>
          <w14:ligatures w14:val="standardContextual"/>
        </w:rPr>
      </w:pPr>
      <w:hyperlink w:anchor="_Toc227846986" w:history="1">
        <w:r w:rsidRPr="00D30CA7">
          <w:rPr>
            <w:rStyle w:val="Hyperlink"/>
          </w:rPr>
          <w:t>5.1 Follow-up to EU recommendations</w:t>
        </w:r>
        <w:r>
          <w:rPr>
            <w:webHidden/>
          </w:rPr>
          <w:tab/>
        </w:r>
        <w:r>
          <w:rPr>
            <w:webHidden/>
          </w:rPr>
          <w:fldChar w:fldCharType="begin"/>
        </w:r>
        <w:r>
          <w:rPr>
            <w:webHidden/>
          </w:rPr>
          <w:instrText xml:space="preserve"> PAGEREF _Toc227846986 \h </w:instrText>
        </w:r>
        <w:r>
          <w:rPr>
            <w:webHidden/>
          </w:rPr>
        </w:r>
        <w:r>
          <w:rPr>
            <w:webHidden/>
          </w:rPr>
          <w:fldChar w:fldCharType="separate"/>
        </w:r>
        <w:r>
          <w:rPr>
            <w:webHidden/>
          </w:rPr>
          <w:t>43</w:t>
        </w:r>
        <w:r>
          <w:rPr>
            <w:webHidden/>
          </w:rPr>
          <w:fldChar w:fldCharType="end"/>
        </w:r>
      </w:hyperlink>
    </w:p>
    <w:p w14:paraId="19D41960" w14:textId="1AEEA23A" w:rsidR="0005083B" w:rsidRDefault="0005083B">
      <w:pPr>
        <w:pStyle w:val="TOC2"/>
        <w:rPr>
          <w:rFonts w:asciiTheme="minorHAnsi" w:eastAsiaTheme="minorEastAsia" w:hAnsiTheme="minorHAnsi"/>
          <w:b w:val="0"/>
          <w:color w:val="auto"/>
          <w:kern w:val="2"/>
          <w:sz w:val="22"/>
          <w:lang w:val="el-GR" w:eastAsia="el-GR"/>
          <w14:ligatures w14:val="standardContextual"/>
        </w:rPr>
      </w:pPr>
      <w:hyperlink w:anchor="_Toc227846987" w:history="1">
        <w:r w:rsidRPr="00D30CA7">
          <w:rPr>
            <w:rStyle w:val="Hyperlink"/>
          </w:rPr>
          <w:t>6. OTHER</w:t>
        </w:r>
        <w:r>
          <w:rPr>
            <w:webHidden/>
          </w:rPr>
          <w:tab/>
        </w:r>
        <w:r>
          <w:rPr>
            <w:webHidden/>
          </w:rPr>
          <w:fldChar w:fldCharType="begin"/>
        </w:r>
        <w:r>
          <w:rPr>
            <w:webHidden/>
          </w:rPr>
          <w:instrText xml:space="preserve"> PAGEREF _Toc227846987 \h </w:instrText>
        </w:r>
        <w:r>
          <w:rPr>
            <w:webHidden/>
          </w:rPr>
        </w:r>
        <w:r>
          <w:rPr>
            <w:webHidden/>
          </w:rPr>
          <w:fldChar w:fldCharType="separate"/>
        </w:r>
        <w:r>
          <w:rPr>
            <w:webHidden/>
          </w:rPr>
          <w:t>44</w:t>
        </w:r>
        <w:r>
          <w:rPr>
            <w:webHidden/>
          </w:rPr>
          <w:fldChar w:fldCharType="end"/>
        </w:r>
      </w:hyperlink>
    </w:p>
    <w:p w14:paraId="78DE4952" w14:textId="2FFE5F86" w:rsidR="0005083B" w:rsidRDefault="0005083B">
      <w:pPr>
        <w:pStyle w:val="TOC3"/>
        <w:rPr>
          <w:rFonts w:asciiTheme="minorHAnsi" w:eastAsiaTheme="minorEastAsia" w:hAnsiTheme="minorHAnsi"/>
          <w:color w:val="auto"/>
          <w:kern w:val="2"/>
          <w:sz w:val="22"/>
          <w:lang w:val="el-GR" w:eastAsia="el-GR"/>
          <w14:ligatures w14:val="standardContextual"/>
        </w:rPr>
      </w:pPr>
      <w:hyperlink w:anchor="_Toc227846988" w:history="1">
        <w:r w:rsidRPr="00D30CA7">
          <w:rPr>
            <w:rStyle w:val="Hyperlink"/>
          </w:rPr>
          <w:t>6.1 Ethics</w:t>
        </w:r>
        <w:r>
          <w:rPr>
            <w:webHidden/>
          </w:rPr>
          <w:tab/>
        </w:r>
        <w:r>
          <w:rPr>
            <w:webHidden/>
          </w:rPr>
          <w:fldChar w:fldCharType="begin"/>
        </w:r>
        <w:r>
          <w:rPr>
            <w:webHidden/>
          </w:rPr>
          <w:instrText xml:space="preserve"> PAGEREF _Toc227846988 \h </w:instrText>
        </w:r>
        <w:r>
          <w:rPr>
            <w:webHidden/>
          </w:rPr>
        </w:r>
        <w:r>
          <w:rPr>
            <w:webHidden/>
          </w:rPr>
          <w:fldChar w:fldCharType="separate"/>
        </w:r>
        <w:r>
          <w:rPr>
            <w:webHidden/>
          </w:rPr>
          <w:t>44</w:t>
        </w:r>
        <w:r>
          <w:rPr>
            <w:webHidden/>
          </w:rPr>
          <w:fldChar w:fldCharType="end"/>
        </w:r>
      </w:hyperlink>
    </w:p>
    <w:p w14:paraId="02AFB9A4" w14:textId="6733F7D4" w:rsidR="0005083B" w:rsidRDefault="0005083B">
      <w:pPr>
        <w:pStyle w:val="TOC3"/>
        <w:rPr>
          <w:rFonts w:asciiTheme="minorHAnsi" w:eastAsiaTheme="minorEastAsia" w:hAnsiTheme="minorHAnsi"/>
          <w:color w:val="auto"/>
          <w:kern w:val="2"/>
          <w:sz w:val="22"/>
          <w:lang w:val="el-GR" w:eastAsia="el-GR"/>
          <w14:ligatures w14:val="standardContextual"/>
        </w:rPr>
      </w:pPr>
      <w:hyperlink w:anchor="_Toc227846989" w:history="1">
        <w:r w:rsidRPr="00D30CA7">
          <w:rPr>
            <w:rStyle w:val="Hyperlink"/>
          </w:rPr>
          <w:t>6.2 Security</w:t>
        </w:r>
        <w:r>
          <w:rPr>
            <w:webHidden/>
          </w:rPr>
          <w:tab/>
        </w:r>
        <w:r>
          <w:rPr>
            <w:webHidden/>
          </w:rPr>
          <w:fldChar w:fldCharType="begin"/>
        </w:r>
        <w:r>
          <w:rPr>
            <w:webHidden/>
          </w:rPr>
          <w:instrText xml:space="preserve"> PAGEREF _Toc227846989 \h </w:instrText>
        </w:r>
        <w:r>
          <w:rPr>
            <w:webHidden/>
          </w:rPr>
        </w:r>
        <w:r>
          <w:rPr>
            <w:webHidden/>
          </w:rPr>
          <w:fldChar w:fldCharType="separate"/>
        </w:r>
        <w:r>
          <w:rPr>
            <w:webHidden/>
          </w:rPr>
          <w:t>44</w:t>
        </w:r>
        <w:r>
          <w:rPr>
            <w:webHidden/>
          </w:rPr>
          <w:fldChar w:fldCharType="end"/>
        </w:r>
      </w:hyperlink>
    </w:p>
    <w:p w14:paraId="2A717CF4" w14:textId="420C0E87" w:rsidR="0005083B" w:rsidRDefault="0005083B">
      <w:pPr>
        <w:pStyle w:val="TOC2"/>
        <w:rPr>
          <w:rFonts w:asciiTheme="minorHAnsi" w:eastAsiaTheme="minorEastAsia" w:hAnsiTheme="minorHAnsi"/>
          <w:b w:val="0"/>
          <w:color w:val="auto"/>
          <w:kern w:val="2"/>
          <w:sz w:val="22"/>
          <w:lang w:val="el-GR" w:eastAsia="el-GR"/>
          <w14:ligatures w14:val="standardContextual"/>
        </w:rPr>
      </w:pPr>
      <w:hyperlink w:anchor="_Toc227846990" w:history="1">
        <w:r w:rsidRPr="00D30CA7">
          <w:rPr>
            <w:rStyle w:val="Hyperlink"/>
          </w:rPr>
          <w:t>7. DECLARATIONS</w:t>
        </w:r>
        <w:r>
          <w:rPr>
            <w:webHidden/>
          </w:rPr>
          <w:tab/>
        </w:r>
        <w:r>
          <w:rPr>
            <w:webHidden/>
          </w:rPr>
          <w:fldChar w:fldCharType="begin"/>
        </w:r>
        <w:r>
          <w:rPr>
            <w:webHidden/>
          </w:rPr>
          <w:instrText xml:space="preserve"> PAGEREF _Toc227846990 \h </w:instrText>
        </w:r>
        <w:r>
          <w:rPr>
            <w:webHidden/>
          </w:rPr>
        </w:r>
        <w:r>
          <w:rPr>
            <w:webHidden/>
          </w:rPr>
          <w:fldChar w:fldCharType="separate"/>
        </w:r>
        <w:r>
          <w:rPr>
            <w:webHidden/>
          </w:rPr>
          <w:t>44</w:t>
        </w:r>
        <w:r>
          <w:rPr>
            <w:webHidden/>
          </w:rPr>
          <w:fldChar w:fldCharType="end"/>
        </w:r>
      </w:hyperlink>
    </w:p>
    <w:p w14:paraId="19CD8DA0" w14:textId="5ED37535" w:rsidR="00ED267E" w:rsidRDefault="00ED267E" w:rsidP="00117DA4">
      <w:r w:rsidRPr="51F6A2C3">
        <w:fldChar w:fldCharType="end"/>
      </w:r>
    </w:p>
    <w:p w14:paraId="7DBEEF4A" w14:textId="77777777" w:rsidR="00DD4FCD" w:rsidRDefault="00DD4FCD" w:rsidP="00117DA4">
      <w:pPr>
        <w:rPr>
          <w:shd w:val="clear" w:color="auto" w:fill="FFFFFF"/>
        </w:rPr>
      </w:pPr>
    </w:p>
    <w:p w14:paraId="20EEE49E" w14:textId="77777777" w:rsidR="005C1C56" w:rsidRPr="005C1C56" w:rsidRDefault="005C1C56" w:rsidP="005C1C56">
      <w:pPr>
        <w:pStyle w:val="Tags"/>
      </w:pPr>
      <w:r w:rsidRPr="005C1C56">
        <w:t>#@PER-REP-LIFE@#</w:t>
      </w:r>
    </w:p>
    <w:p w14:paraId="07C54942" w14:textId="77777777" w:rsidR="00ED267E" w:rsidRDefault="00054D3E" w:rsidP="00117DA4">
      <w:pPr>
        <w:rPr>
          <w:shd w:val="clear" w:color="auto" w:fill="FFFFFF"/>
        </w:rPr>
      </w:pPr>
      <w:r w:rsidRPr="000E722D">
        <w:rPr>
          <w:rStyle w:val="TagChar"/>
          <w:rFonts w:eastAsia="Calibri"/>
        </w:rPr>
        <w:t>#</w:t>
      </w:r>
      <w:r w:rsidRPr="000E722D">
        <w:rPr>
          <w:rStyle w:val="TagChar"/>
          <w:rFonts w:eastAsiaTheme="minorHAnsi"/>
        </w:rPr>
        <w:t>@</w:t>
      </w:r>
      <w:r w:rsidRPr="00335361">
        <w:rPr>
          <w:rStyle w:val="TagChar"/>
          <w:rFonts w:eastAsia="Calibri"/>
        </w:rPr>
        <w:t>PRO-GRE-PG</w:t>
      </w:r>
      <w:r w:rsidRPr="000E722D">
        <w:rPr>
          <w:rStyle w:val="TagChar"/>
          <w:rFonts w:eastAsiaTheme="minorHAnsi"/>
        </w:rPr>
        <w:t>@</w:t>
      </w:r>
      <w:r w:rsidRPr="000E722D">
        <w:rPr>
          <w:rStyle w:val="TagChar"/>
          <w:rFonts w:eastAsia="Calibri"/>
        </w:rPr>
        <w:t>#</w:t>
      </w:r>
      <w:r w:rsidR="001778E7">
        <w:rPr>
          <w:rStyle w:val="TagChar"/>
          <w:rFonts w:eastAsia="Calibri"/>
        </w:rPr>
        <w:t xml:space="preserve"> </w:t>
      </w:r>
      <w:r w:rsidR="001778E7" w:rsidRPr="001778E7">
        <w:rPr>
          <w:rFonts w:eastAsia="Calibri" w:cs="Arial"/>
          <w:noProof/>
          <w:color w:val="808080" w:themeColor="background1" w:themeShade="80"/>
          <w:sz w:val="16"/>
          <w:szCs w:val="16"/>
          <w:lang w:val="en-US"/>
        </w:rPr>
        <w:t>[This document is tagged. Do not delete the tags; t</w:t>
      </w:r>
      <w:r w:rsidR="001778E7" w:rsidRPr="001778E7">
        <w:rPr>
          <w:color w:val="808080" w:themeColor="background1" w:themeShade="80"/>
          <w:sz w:val="16"/>
          <w:lang w:eastAsia="it-IT"/>
        </w:rPr>
        <w:t>hey are needed for the processing.]</w:t>
      </w:r>
    </w:p>
    <w:p w14:paraId="369823DF" w14:textId="77777777" w:rsidR="00200D1C" w:rsidRPr="00200D1C" w:rsidRDefault="00F05977" w:rsidP="00ED267E">
      <w:pPr>
        <w:pStyle w:val="Heading2"/>
      </w:pPr>
      <w:bookmarkStart w:id="7" w:name="_Toc495592681"/>
      <w:bookmarkStart w:id="8" w:name="_Toc227846950"/>
      <w:r>
        <w:t>1</w:t>
      </w:r>
      <w:r w:rsidR="00200D1C" w:rsidRPr="51F6A2C3">
        <w:t xml:space="preserve">. </w:t>
      </w:r>
      <w:bookmarkEnd w:id="7"/>
      <w:r w:rsidR="00F8157A" w:rsidRPr="00082605">
        <w:t>OVERVIEW OF THE PROGRESS</w:t>
      </w:r>
      <w:bookmarkEnd w:id="4"/>
      <w:bookmarkEnd w:id="8"/>
    </w:p>
    <w:p w14:paraId="05A4F303" w14:textId="77777777" w:rsidR="00200D1C" w:rsidRPr="00117DA4" w:rsidRDefault="009B25F0" w:rsidP="51F6A2C3">
      <w:pPr>
        <w:pStyle w:val="Heading3"/>
        <w:rPr>
          <w:i/>
          <w:iCs/>
        </w:rPr>
      </w:pPr>
      <w:bookmarkStart w:id="9" w:name="_Toc495508568"/>
      <w:bookmarkStart w:id="10" w:name="_Toc495592682"/>
      <w:bookmarkStart w:id="11" w:name="_Toc227846951"/>
      <w:r>
        <w:t>1</w:t>
      </w:r>
      <w:r w:rsidR="00200D1C" w:rsidRPr="00200D1C">
        <w:t xml:space="preserve">.1 </w:t>
      </w:r>
      <w:bookmarkEnd w:id="9"/>
      <w:bookmarkEnd w:id="10"/>
      <w:r w:rsidR="00082605">
        <w:t xml:space="preserve">Summary of work performed and achievements, results and </w:t>
      </w:r>
      <w:r w:rsidR="00082605" w:rsidRPr="00117DA4">
        <w:t>impacts</w:t>
      </w:r>
      <w:bookmarkEnd w:id="11"/>
    </w:p>
    <w:p w14:paraId="240B7B21" w14:textId="032D8B11" w:rsidR="009F2974" w:rsidRPr="00AF2ECC" w:rsidRDefault="009F2974" w:rsidP="009F2974">
      <w:pPr>
        <w:rPr>
          <w:i/>
          <w:iCs/>
          <w:color w:val="4AA55B"/>
        </w:rPr>
      </w:pPr>
    </w:p>
    <w:tbl>
      <w:tblPr>
        <w:tblW w:w="8669"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669"/>
      </w:tblGrid>
      <w:tr w:rsidR="00200D1C" w:rsidRPr="00200D1C" w14:paraId="748344CA" w14:textId="77777777" w:rsidTr="00054D3E">
        <w:trPr>
          <w:trHeight w:val="432"/>
        </w:trPr>
        <w:tc>
          <w:tcPr>
            <w:tcW w:w="8669" w:type="dxa"/>
            <w:shd w:val="clear" w:color="auto" w:fill="DDDDDD"/>
          </w:tcPr>
          <w:p w14:paraId="677F6DF0" w14:textId="77777777" w:rsidR="00200D1C" w:rsidRPr="00200D1C" w:rsidRDefault="001567F7" w:rsidP="4D76D3B0">
            <w:pPr>
              <w:spacing w:before="120" w:after="120" w:line="240" w:lineRule="auto"/>
              <w:jc w:val="both"/>
              <w:rPr>
                <w:rFonts w:eastAsia="Times New Roman" w:cs="Arial"/>
                <w:b/>
                <w:bCs/>
                <w:i/>
                <w:iCs/>
                <w:noProof/>
                <w:color w:val="595959"/>
                <w:sz w:val="18"/>
                <w:szCs w:val="18"/>
                <w:lang w:val="en-US" w:eastAsia="en-GB"/>
              </w:rPr>
            </w:pPr>
            <w:r>
              <w:rPr>
                <w:rFonts w:eastAsia="Times New Roman" w:cs="Arial"/>
                <w:b/>
                <w:bCs/>
                <w:noProof/>
                <w:color w:val="595959"/>
                <w:sz w:val="18"/>
                <w:szCs w:val="18"/>
                <w:lang w:val="en-US" w:eastAsia="en-GB"/>
              </w:rPr>
              <w:t xml:space="preserve">Work </w:t>
            </w:r>
            <w:r w:rsidR="000E32B4">
              <w:rPr>
                <w:rFonts w:eastAsia="Times New Roman" w:cs="Arial"/>
                <w:b/>
                <w:bCs/>
                <w:noProof/>
                <w:color w:val="595959"/>
                <w:sz w:val="18"/>
                <w:szCs w:val="18"/>
                <w:lang w:val="en-US" w:eastAsia="en-GB"/>
              </w:rPr>
              <w:t>performed</w:t>
            </w:r>
            <w:r>
              <w:rPr>
                <w:rFonts w:eastAsia="Times New Roman" w:cs="Arial"/>
                <w:b/>
                <w:bCs/>
                <w:noProof/>
                <w:color w:val="595959"/>
                <w:sz w:val="18"/>
                <w:szCs w:val="18"/>
                <w:lang w:val="en-US" w:eastAsia="en-GB"/>
              </w:rPr>
              <w:t xml:space="preserve"> </w:t>
            </w:r>
            <w:r w:rsidR="00082605">
              <w:rPr>
                <w:rFonts w:eastAsia="Times New Roman" w:cs="Arial"/>
                <w:b/>
                <w:bCs/>
                <w:noProof/>
                <w:color w:val="595959"/>
                <w:sz w:val="18"/>
                <w:szCs w:val="18"/>
                <w:lang w:val="en-US" w:eastAsia="en-GB"/>
              </w:rPr>
              <w:t>and</w:t>
            </w:r>
            <w:r>
              <w:rPr>
                <w:rFonts w:eastAsia="Times New Roman" w:cs="Arial"/>
                <w:b/>
                <w:bCs/>
                <w:noProof/>
                <w:color w:val="595959"/>
                <w:sz w:val="18"/>
                <w:szCs w:val="18"/>
                <w:lang w:val="en-US" w:eastAsia="en-GB"/>
              </w:rPr>
              <w:t xml:space="preserve"> </w:t>
            </w:r>
            <w:r w:rsidR="000E32B4">
              <w:rPr>
                <w:rFonts w:eastAsia="Times New Roman" w:cs="Arial"/>
                <w:b/>
                <w:bCs/>
                <w:noProof/>
                <w:color w:val="595959"/>
                <w:sz w:val="18"/>
                <w:szCs w:val="18"/>
                <w:lang w:val="en-US" w:eastAsia="en-GB"/>
              </w:rPr>
              <w:t>main achievements</w:t>
            </w:r>
          </w:p>
          <w:p w14:paraId="1EA97EEF" w14:textId="77777777" w:rsidR="00200D1C" w:rsidRDefault="009B25F0" w:rsidP="00915C46">
            <w:pPr>
              <w:spacing w:before="120" w:after="60" w:line="240" w:lineRule="auto"/>
              <w:jc w:val="both"/>
              <w:rPr>
                <w:rFonts w:eastAsia="Times New Roman" w:cs="Arial"/>
                <w:i/>
                <w:noProof/>
                <w:color w:val="595959"/>
                <w:sz w:val="16"/>
                <w:szCs w:val="18"/>
                <w:lang w:val="en-US"/>
              </w:rPr>
            </w:pPr>
            <w:r>
              <w:rPr>
                <w:rFonts w:eastAsia="Times New Roman" w:cs="Arial"/>
                <w:i/>
                <w:noProof/>
                <w:color w:val="595959"/>
                <w:sz w:val="16"/>
                <w:szCs w:val="18"/>
                <w:lang w:val="en-US"/>
              </w:rPr>
              <w:t xml:space="preserve">Short summary of progress towards </w:t>
            </w:r>
            <w:r w:rsidR="00144F10">
              <w:rPr>
                <w:rFonts w:eastAsia="Times New Roman" w:cs="Arial"/>
                <w:i/>
                <w:noProof/>
                <w:color w:val="595959"/>
                <w:sz w:val="16"/>
                <w:szCs w:val="18"/>
                <w:lang w:val="en-US"/>
              </w:rPr>
              <w:t xml:space="preserve">the project </w:t>
            </w:r>
            <w:r w:rsidR="009E60E3">
              <w:rPr>
                <w:rFonts w:eastAsia="Times New Roman" w:cs="Arial"/>
                <w:i/>
                <w:noProof/>
                <w:color w:val="595959"/>
                <w:sz w:val="16"/>
                <w:szCs w:val="18"/>
                <w:lang w:val="en-US"/>
              </w:rPr>
              <w:t>objectives. Hi</w:t>
            </w:r>
            <w:r w:rsidR="00144F10">
              <w:rPr>
                <w:rFonts w:eastAsia="Times New Roman" w:cs="Arial"/>
                <w:i/>
                <w:noProof/>
                <w:color w:val="595959"/>
                <w:sz w:val="16"/>
                <w:szCs w:val="18"/>
                <w:lang w:val="en-US"/>
              </w:rPr>
              <w:t>ghligh</w:t>
            </w:r>
            <w:r w:rsidR="009E60E3">
              <w:rPr>
                <w:rFonts w:eastAsia="Times New Roman" w:cs="Arial"/>
                <w:i/>
                <w:noProof/>
                <w:color w:val="595959"/>
                <w:sz w:val="16"/>
                <w:szCs w:val="18"/>
                <w:lang w:val="en-US"/>
              </w:rPr>
              <w:t>t</w:t>
            </w:r>
            <w:r w:rsidR="00144F10">
              <w:rPr>
                <w:rFonts w:eastAsia="Times New Roman" w:cs="Arial"/>
                <w:i/>
                <w:noProof/>
                <w:color w:val="595959"/>
                <w:sz w:val="16"/>
                <w:szCs w:val="18"/>
                <w:lang w:val="en-US"/>
              </w:rPr>
              <w:t xml:space="preserve"> significant activities and achievements</w:t>
            </w:r>
            <w:r w:rsidR="00200D1C" w:rsidRPr="00200D1C">
              <w:rPr>
                <w:rFonts w:eastAsia="Times New Roman" w:cs="Arial"/>
                <w:i/>
                <w:noProof/>
                <w:color w:val="595959"/>
                <w:sz w:val="16"/>
                <w:szCs w:val="18"/>
                <w:lang w:val="en-US"/>
              </w:rPr>
              <w:t>.</w:t>
            </w:r>
            <w:r w:rsidR="003124BA">
              <w:rPr>
                <w:rFonts w:eastAsia="Times New Roman" w:cs="Arial"/>
                <w:i/>
                <w:noProof/>
                <w:color w:val="595959"/>
                <w:sz w:val="16"/>
                <w:szCs w:val="18"/>
                <w:lang w:val="en-US"/>
              </w:rPr>
              <w:t xml:space="preserve"> Provide clear and measureable details</w:t>
            </w:r>
            <w:r w:rsidR="005D4A5E">
              <w:rPr>
                <w:rFonts w:eastAsia="Times New Roman" w:cs="Arial"/>
                <w:i/>
                <w:noProof/>
                <w:color w:val="595959"/>
                <w:sz w:val="16"/>
                <w:szCs w:val="18"/>
                <w:lang w:val="en-US"/>
              </w:rPr>
              <w:t>.</w:t>
            </w:r>
          </w:p>
          <w:p w14:paraId="67775C21" w14:textId="77777777" w:rsidR="004525CB" w:rsidRPr="00D14AA2" w:rsidRDefault="004525CB" w:rsidP="00915C46">
            <w:pPr>
              <w:spacing w:after="60" w:line="240" w:lineRule="auto"/>
              <w:jc w:val="both"/>
              <w:rPr>
                <w:rFonts w:eastAsia="Times New Roman" w:cs="Arial"/>
                <w:i/>
                <w:iCs/>
                <w:sz w:val="16"/>
                <w:szCs w:val="16"/>
              </w:rPr>
            </w:pPr>
            <w:r w:rsidRPr="51F6A2C3">
              <w:rPr>
                <w:rFonts w:eastAsia="Times New Roman" w:cs="Arial"/>
                <w:i/>
                <w:iCs/>
                <w:sz w:val="16"/>
                <w:szCs w:val="16"/>
              </w:rPr>
              <w:t xml:space="preserve">Analyse the outcome of the project (so far) and its (actual and expected) impact (on target groups, change, innovation etc.). For </w:t>
            </w:r>
            <w:r w:rsidR="009236BA" w:rsidRPr="51F6A2C3">
              <w:rPr>
                <w:rFonts w:eastAsia="Times New Roman" w:cs="Arial"/>
                <w:i/>
                <w:iCs/>
                <w:sz w:val="16"/>
                <w:szCs w:val="16"/>
              </w:rPr>
              <w:t>the Final R</w:t>
            </w:r>
            <w:r w:rsidRPr="51F6A2C3">
              <w:rPr>
                <w:rFonts w:eastAsia="Times New Roman" w:cs="Arial"/>
                <w:i/>
                <w:iCs/>
                <w:sz w:val="16"/>
                <w:szCs w:val="16"/>
              </w:rPr>
              <w:t>eport, include the conclusions of the action.</w:t>
            </w:r>
          </w:p>
          <w:p w14:paraId="69165EDD" w14:textId="77777777" w:rsidR="008247CF" w:rsidRDefault="003120F8" w:rsidP="00915C46">
            <w:pPr>
              <w:spacing w:after="60" w:line="240" w:lineRule="auto"/>
              <w:jc w:val="both"/>
              <w:rPr>
                <w:rFonts w:eastAsia="Times New Roman" w:cs="Arial"/>
                <w:i/>
                <w:iCs/>
                <w:noProof/>
                <w:color w:val="595959"/>
                <w:sz w:val="16"/>
                <w:szCs w:val="16"/>
                <w:lang w:val="en-US"/>
              </w:rPr>
            </w:pPr>
            <w:r w:rsidRPr="51F6A2C3">
              <w:rPr>
                <w:rFonts w:eastAsia="Times New Roman" w:cs="Arial"/>
                <w:i/>
                <w:iCs/>
                <w:noProof/>
                <w:color w:val="595959"/>
                <w:sz w:val="16"/>
                <w:szCs w:val="16"/>
                <w:lang w:val="en-US"/>
              </w:rPr>
              <w:t>Report on</w:t>
            </w:r>
            <w:r w:rsidR="008247CF" w:rsidRPr="51F6A2C3">
              <w:rPr>
                <w:rFonts w:eastAsia="Times New Roman" w:cs="Arial"/>
                <w:i/>
                <w:iCs/>
                <w:noProof/>
                <w:color w:val="595959"/>
                <w:sz w:val="16"/>
                <w:szCs w:val="16"/>
                <w:lang w:val="en-US"/>
              </w:rPr>
              <w:t xml:space="preserve"> </w:t>
            </w:r>
            <w:r w:rsidR="008247CF" w:rsidRPr="00707F6B">
              <w:rPr>
                <w:rFonts w:eastAsia="Times New Roman" w:cs="Arial"/>
                <w:i/>
                <w:iCs/>
                <w:noProof/>
                <w:color w:val="595959"/>
                <w:sz w:val="16"/>
                <w:szCs w:val="16"/>
                <w:highlight w:val="yellow"/>
                <w:lang w:val="en-US"/>
              </w:rPr>
              <w:t>objectives not fully achieved or not on schedule</w:t>
            </w:r>
            <w:r w:rsidR="003F4E7A">
              <w:rPr>
                <w:rFonts w:eastAsia="Times New Roman" w:cs="Arial"/>
                <w:i/>
                <w:iCs/>
                <w:noProof/>
                <w:color w:val="595959"/>
                <w:sz w:val="16"/>
                <w:szCs w:val="16"/>
                <w:lang w:val="en-US"/>
              </w:rPr>
              <w:t>,</w:t>
            </w:r>
            <w:r w:rsidR="00BF61B4" w:rsidRPr="51F6A2C3">
              <w:rPr>
                <w:rFonts w:eastAsia="Times New Roman" w:cs="Arial"/>
                <w:i/>
                <w:iCs/>
                <w:noProof/>
                <w:color w:val="595959"/>
                <w:sz w:val="16"/>
                <w:szCs w:val="16"/>
                <w:lang w:val="en-US"/>
              </w:rPr>
              <w:t xml:space="preserve"> as well as</w:t>
            </w:r>
            <w:r w:rsidR="00BF61B4" w:rsidRPr="51F6A2C3">
              <w:rPr>
                <w:i/>
                <w:iCs/>
                <w:sz w:val="16"/>
                <w:szCs w:val="16"/>
              </w:rPr>
              <w:t xml:space="preserve"> important problems and difficulties encountered during project implementation</w:t>
            </w:r>
            <w:r w:rsidR="008247CF" w:rsidRPr="51F6A2C3">
              <w:rPr>
                <w:rFonts w:eastAsia="Times New Roman" w:cs="Arial"/>
                <w:i/>
                <w:iCs/>
                <w:noProof/>
                <w:color w:val="595959"/>
                <w:sz w:val="16"/>
                <w:szCs w:val="16"/>
                <w:lang w:val="en-US"/>
              </w:rPr>
              <w:t xml:space="preserve">. </w:t>
            </w:r>
          </w:p>
          <w:p w14:paraId="1A422E50" w14:textId="77777777" w:rsidR="00BF61B4" w:rsidRPr="00604D98" w:rsidRDefault="00BF61B4" w:rsidP="00915C46">
            <w:pPr>
              <w:spacing w:after="60" w:line="240" w:lineRule="auto"/>
              <w:jc w:val="both"/>
              <w:rPr>
                <w:rFonts w:eastAsia="Times New Roman" w:cs="Arial"/>
                <w:i/>
                <w:iCs/>
                <w:noProof/>
                <w:color w:val="595959"/>
                <w:sz w:val="16"/>
                <w:szCs w:val="16"/>
                <w:lang w:val="en-US"/>
              </w:rPr>
            </w:pPr>
            <w:r w:rsidRPr="00E00E13">
              <w:rPr>
                <w:i/>
                <w:iCs/>
                <w:sz w:val="16"/>
                <w:szCs w:val="16"/>
                <w:highlight w:val="yellow"/>
              </w:rPr>
              <w:t>Summarise in one or two paragraphs important lessons learnt,</w:t>
            </w:r>
            <w:r w:rsidRPr="00604D98">
              <w:rPr>
                <w:i/>
                <w:iCs/>
                <w:sz w:val="16"/>
                <w:szCs w:val="16"/>
              </w:rPr>
              <w:t xml:space="preserve"> critical observations on laws, regulations and/or policies that you would like to feedback to the policy directorates of the European Commission.</w:t>
            </w:r>
          </w:p>
          <w:p w14:paraId="78306AEF" w14:textId="29B8E3BE" w:rsidR="003A659F" w:rsidRPr="003F4E7A" w:rsidRDefault="00915C46" w:rsidP="00915C46">
            <w:pPr>
              <w:spacing w:after="120" w:line="240" w:lineRule="auto"/>
              <w:jc w:val="both"/>
              <w:rPr>
                <w:rFonts w:eastAsia="Times New Roman" w:cs="Arial"/>
                <w:i/>
                <w:iCs/>
                <w:sz w:val="16"/>
                <w:szCs w:val="16"/>
              </w:rPr>
            </w:pPr>
            <w:r w:rsidRPr="008A32D5">
              <w:rPr>
                <w:rFonts w:eastAsia="Calibri"/>
                <w:noProof/>
                <w:color w:val="0088CC"/>
                <w:sz w:val="18"/>
                <w:szCs w:val="18"/>
                <w:lang w:eastAsia="en-GB"/>
              </w:rPr>
              <w:drawing>
                <wp:inline distT="0" distB="0" distL="0" distR="0" wp14:anchorId="1363A090" wp14:editId="70137F17">
                  <wp:extent cx="120015" cy="120015"/>
                  <wp:effectExtent l="0" t="0" r="0" b="0"/>
                  <wp:docPr id="4" name="Picture 4" descr="cid:image001.png@01D0B99B.7C10A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0B99B.7C10A74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5" cy="120015"/>
                          </a:xfrm>
                          <a:prstGeom prst="rect">
                            <a:avLst/>
                          </a:prstGeom>
                          <a:noFill/>
                          <a:ln>
                            <a:noFill/>
                          </a:ln>
                        </pic:spPr>
                      </pic:pic>
                    </a:graphicData>
                  </a:graphic>
                </wp:inline>
              </w:drawing>
            </w:r>
            <w:r>
              <w:rPr>
                <w:rFonts w:eastAsia="Times New Roman" w:cs="Arial"/>
                <w:i/>
                <w:iCs/>
                <w:noProof/>
                <w:color w:val="595959"/>
                <w:sz w:val="16"/>
                <w:szCs w:val="16"/>
                <w:lang w:val="en-US"/>
              </w:rPr>
              <w:t xml:space="preserve"> </w:t>
            </w:r>
            <w:r w:rsidR="003F4E7A" w:rsidRPr="51F6A2C3">
              <w:rPr>
                <w:rFonts w:eastAsia="Times New Roman" w:cs="Arial"/>
                <w:i/>
                <w:iCs/>
                <w:noProof/>
                <w:color w:val="595959"/>
                <w:sz w:val="16"/>
                <w:szCs w:val="16"/>
                <w:lang w:val="en-US"/>
              </w:rPr>
              <w:t>Do not simply cut and paste the project summary (filled in online on the Summary for Publication screen).</w:t>
            </w:r>
            <w:r w:rsidR="003F4E7A" w:rsidRPr="51F6A2C3">
              <w:rPr>
                <w:rFonts w:eastAsia="Times New Roman" w:cs="Arial"/>
                <w:i/>
                <w:iCs/>
                <w:sz w:val="16"/>
                <w:szCs w:val="16"/>
              </w:rPr>
              <w:t xml:space="preserve"> Contrary to the summary, this section is for reporting to the EU and will not be published.</w:t>
            </w:r>
          </w:p>
        </w:tc>
      </w:tr>
      <w:tr w:rsidR="00200D1C" w:rsidRPr="00707F6B" w14:paraId="2888AA46" w14:textId="77777777" w:rsidTr="00054D3E">
        <w:trPr>
          <w:trHeight w:val="851"/>
        </w:trPr>
        <w:tc>
          <w:tcPr>
            <w:tcW w:w="8669" w:type="dxa"/>
            <w:shd w:val="clear" w:color="auto" w:fill="FFFFFF" w:themeFill="background1"/>
          </w:tcPr>
          <w:p w14:paraId="6AF2DDDC" w14:textId="77777777" w:rsidR="00E16340" w:rsidRPr="003959CB" w:rsidRDefault="00E16340" w:rsidP="00843D0B">
            <w:pPr>
              <w:spacing w:before="120" w:after="120"/>
              <w:ind w:right="4"/>
              <w:jc w:val="both"/>
              <w:rPr>
                <w:rFonts w:eastAsia="Calibri" w:cs="Arial"/>
                <w:i/>
                <w:szCs w:val="20"/>
              </w:rPr>
            </w:pPr>
            <w:r w:rsidRPr="003959CB">
              <w:rPr>
                <w:rFonts w:eastAsia="Calibri" w:cs="Arial"/>
                <w:color w:val="595959"/>
                <w:szCs w:val="20"/>
              </w:rPr>
              <w:t>Insert text</w:t>
            </w:r>
            <w:r w:rsidR="00B47690" w:rsidRPr="003959CB">
              <w:rPr>
                <w:rFonts w:eastAsia="Calibri" w:cs="Arial"/>
                <w:color w:val="595959"/>
                <w:szCs w:val="20"/>
              </w:rPr>
              <w:t xml:space="preserve"> </w:t>
            </w:r>
            <w:r w:rsidR="00B47690" w:rsidRPr="003959CB">
              <w:rPr>
                <w:rFonts w:eastAsia="Calibri" w:cs="Arial"/>
                <w:i/>
                <w:szCs w:val="20"/>
              </w:rPr>
              <w:t xml:space="preserve">(max 5 pages) </w:t>
            </w:r>
          </w:p>
          <w:p w14:paraId="044E76A9" w14:textId="57D69118" w:rsidR="00707F6B" w:rsidRPr="00E00E13" w:rsidRDefault="001B6ADE" w:rsidP="008B7631">
            <w:pPr>
              <w:pStyle w:val="Heading4"/>
            </w:pPr>
            <w:bookmarkStart w:id="12" w:name="_Toc227846952"/>
            <w:r w:rsidRPr="001B6ADE">
              <w:rPr>
                <w:lang w:val="en-US"/>
              </w:rPr>
              <w:t xml:space="preserve">1.1.1 </w:t>
            </w:r>
            <w:r w:rsidR="00707F6B" w:rsidRPr="00E00E13">
              <w:t>Introduction – Overall progress of the project</w:t>
            </w:r>
            <w:bookmarkEnd w:id="12"/>
          </w:p>
          <w:p w14:paraId="73F4042A" w14:textId="7C607D17" w:rsidR="00EC4160" w:rsidRPr="00EC4160" w:rsidRDefault="00EC4160" w:rsidP="00EC4160">
            <w:pPr>
              <w:spacing w:before="120" w:after="120"/>
              <w:ind w:right="4"/>
              <w:jc w:val="both"/>
              <w:rPr>
                <w:rFonts w:eastAsia="Calibri" w:cs="Arial"/>
                <w:iCs/>
                <w:szCs w:val="20"/>
                <w:lang w:val="en-US"/>
              </w:rPr>
            </w:pPr>
            <w:r w:rsidRPr="00EC4160">
              <w:rPr>
                <w:rFonts w:eastAsia="Calibri" w:cs="Arial"/>
                <w:iCs/>
                <w:szCs w:val="20"/>
                <w:lang w:val="en-US"/>
              </w:rPr>
              <w:t>During the first reporting period, RenoInGR progressed broadly in line with the Description of the Action and established the main operational, technical and organisational foundations required for the implementation of its One-Stop-Shop model for the energy renovation of municipal buildings in Greece. By Month 18, substantial progress had been made in the development of the OSS services and support tools, the digital platform, the quality assurance and monitoring frameworks, the preparation of pilot activities, and the mobilisation of municipalities and stakeholders. In particular, the project moved beyond an initial conceptual phase by developing a more structured and stakeholder-informed OSS support model, supported by digital, procedural and technical tools. The project has therefore moved beyond the initial setup phase and into an active implementation stage, in which the tools, procedures and support structures developed during the first period are beginning to be applied and tested in practice.</w:t>
            </w:r>
          </w:p>
          <w:p w14:paraId="785FFD96" w14:textId="7350C347" w:rsidR="00350AD1" w:rsidRPr="00EC4160" w:rsidRDefault="00EC4160" w:rsidP="00EC4160">
            <w:pPr>
              <w:pStyle w:val="Heading4"/>
              <w:spacing w:line="276" w:lineRule="auto"/>
              <w:rPr>
                <w:rFonts w:eastAsia="Calibri"/>
                <w:i w:val="0"/>
                <w:iCs/>
                <w:color w:val="595959" w:themeColor="text1" w:themeTint="A6"/>
                <w:szCs w:val="20"/>
                <w:lang w:val="en-US"/>
              </w:rPr>
            </w:pPr>
            <w:r w:rsidRPr="00EC4160">
              <w:rPr>
                <w:rFonts w:eastAsia="Calibri"/>
                <w:i w:val="0"/>
                <w:iCs/>
                <w:color w:val="595959" w:themeColor="text1" w:themeTint="A6"/>
                <w:szCs w:val="20"/>
                <w:lang w:val="en-US"/>
              </w:rPr>
              <w:lastRenderedPageBreak/>
              <w:t>More specifically, the first reporting period focused on establishing the operational basis of the OSS under NTUA, developing the integrated support services and digital tools foreseen by the project, structuring the OSS support model across the different stages of municipal project development, initiating pilot building preparation in the participating municipalities and regions, and advancing the communication, dissemination, monitoring and governance-related actions necessary for the next implementation phase. At the same time, the project generated important early results in terms of municipal engagement, stakeholder participation, workshop activity, platform development and service structuring. While some activities linked to the long-term legal and governance consolidation of the OSS, as well as later-stage procurement and implementation steps, remain ongoing or have progressed more gradually than initially anticipated, the overall project trajectory remains solid and the work carried out so far provides a credible basis for the next phase of pilot implementation, scaling and long-term sustainability.</w:t>
            </w:r>
            <w:r w:rsidR="00350AD1" w:rsidRPr="00EC4160">
              <w:rPr>
                <w:rFonts w:eastAsia="Calibri"/>
                <w:i w:val="0"/>
                <w:iCs/>
                <w:color w:val="595959" w:themeColor="text1" w:themeTint="A6"/>
                <w:szCs w:val="20"/>
                <w:lang w:val="en-US"/>
              </w:rPr>
              <w:t>.</w:t>
            </w:r>
            <w:bookmarkStart w:id="13" w:name="_Toc227846953"/>
          </w:p>
          <w:p w14:paraId="4C620546" w14:textId="1B0A620B" w:rsidR="00E00E13" w:rsidRDefault="001B6ADE" w:rsidP="00350AD1">
            <w:pPr>
              <w:pStyle w:val="Heading4"/>
              <w:rPr>
                <w:rFonts w:eastAsia="Calibri"/>
                <w:lang w:val="en-US"/>
              </w:rPr>
            </w:pPr>
            <w:r w:rsidRPr="001B6ADE">
              <w:rPr>
                <w:rFonts w:eastAsia="Calibri"/>
                <w:lang w:val="en-US"/>
              </w:rPr>
              <w:t xml:space="preserve">1.1.2 </w:t>
            </w:r>
            <w:r w:rsidR="00E00E13" w:rsidRPr="00E00E13">
              <w:rPr>
                <w:rFonts w:eastAsia="Calibri"/>
                <w:lang w:val="en-US"/>
              </w:rPr>
              <w:t>Main work performed during the reporting period</w:t>
            </w:r>
            <w:bookmarkEnd w:id="13"/>
          </w:p>
          <w:p w14:paraId="1550014A" w14:textId="608AA0A1" w:rsidR="00EC4160" w:rsidRPr="00EC4160" w:rsidRDefault="00EC4160" w:rsidP="00EC4160">
            <w:pPr>
              <w:jc w:val="both"/>
              <w:rPr>
                <w:lang w:val="en-US" w:eastAsia="en-GB"/>
              </w:rPr>
            </w:pPr>
            <w:r w:rsidRPr="00EC4160">
              <w:rPr>
                <w:lang w:val="en-US" w:eastAsia="en-GB"/>
              </w:rPr>
              <w:t>During the reporting period, a substantial part of the work focused on establishing the operational basis of the RenoInGR One-Stop-Shop and putting in place the organisational, procedural and governance-related foundations required for its functioning. The OSS was established in operational terms under NTUA, the first core staff member of the structure was appointed, and the Advisory Board was formed. Work also progressed on the governance framework and on the examination of the most appropriate legal structure for the long-term institutional consolidation of the OSS. Although the final legal form and full governance structure were not yet finalised, the OSS was able to function as a service under NTUA, allowing the project to move forward while the legal and institutional questions continued to be explored. In support of this overall establishment process, the project also developed key internal management and control instruments, including the Quality Assurance Plan of the OSS, the project quality and green management framework, the risk management plan and the impact monitoring framework.</w:t>
            </w:r>
          </w:p>
          <w:p w14:paraId="05D00B87" w14:textId="41412950" w:rsidR="00EC4160" w:rsidRPr="00EC4160" w:rsidRDefault="00EC4160" w:rsidP="00EC4160">
            <w:pPr>
              <w:jc w:val="both"/>
              <w:rPr>
                <w:lang w:val="en-US" w:eastAsia="en-GB"/>
              </w:rPr>
            </w:pPr>
            <w:r w:rsidRPr="00EC4160">
              <w:rPr>
                <w:lang w:val="en-US" w:eastAsia="en-GB"/>
              </w:rPr>
              <w:t>A second major area of work concerned the development of the OSS services, supporting tools and digital environment. During this period, the project moved beyond an initial conceptual understanding of the OSS and developed a more structured, stakeholder-informed service architecture grounded in the actual needs of municipalities and the expectations of relevant market actors. Through co-creation workshops, questionnaires and comparative investigation of similar European initiatives, the project refined the support logic of the OSS across the main stages of municipal building renovation project maturation, including preparatory work, project definition, renovation design, financing planning, implementation support and post-renovation guidance. This process also led to the development of standardised support materials, service descriptions, readiness and screening tools, financing-related guidance, tender templates and Energy Performance Contracting support documents. In parallel, the RenoInGR platform was developed as the digital core of the virtual OSS office, hosted at oss.renoingr.gr. The platform integrates informational and guidance content, regulatory and financing material, FAQs, examples of nZEB-oriented renovations, provider-related registries, low-embodied-carbon materials information, forms for user interaction and an AI-supported smart assistant. This made it possible to translate a large part of the consortium’s work into a structured and usable digital support environment rather than keeping it only at the level of internal outputs and deliverables.</w:t>
            </w:r>
          </w:p>
          <w:p w14:paraId="39C2B7E2" w14:textId="7BDAC052" w:rsidR="00EC4160" w:rsidRPr="00EC4160" w:rsidRDefault="00EC4160" w:rsidP="00EC4160">
            <w:pPr>
              <w:jc w:val="both"/>
              <w:rPr>
                <w:lang w:val="en-US" w:eastAsia="en-GB"/>
              </w:rPr>
            </w:pPr>
            <w:r w:rsidRPr="00EC4160">
              <w:rPr>
                <w:lang w:val="en-US" w:eastAsia="en-GB"/>
              </w:rPr>
              <w:t xml:space="preserve">Another key workstream during the reporting period was the engagement of municipalities, regions and other relevant stakeholders. The project worked closely with the participating pilot municipalities and regions, while also broadening outreach through communication and stakeholder-mobilisation activities. In particular, the co-creation process under WP3 generated substantial interaction with municipalities and market actors through regional and national workshops and structured questionnaires, helping the project identify the main barriers municipalities face and the types of support most needed at different stages of project </w:t>
            </w:r>
            <w:r w:rsidRPr="00EC4160">
              <w:rPr>
                <w:lang w:val="en-US" w:eastAsia="en-GB"/>
              </w:rPr>
              <w:lastRenderedPageBreak/>
              <w:t>development. Workshops and dissemination actions were carried out, and national-level engagement was supported, including actions involving KEDE and wider municipal interest. These activities contributed to early awareness-raising, stakeholder participation and the creation of initial conditions for the wider uptake of OSS services beyond the core pilot entities. In addition, the project engaged with relevant stakeholders through consultative and networking processes, including the establishment of the Advisory Board and structured exchanges with similar European initiatives, thereby enriching the project’s operational and strategic learning environment.</w:t>
            </w:r>
          </w:p>
          <w:p w14:paraId="0B5EFB1C" w14:textId="1210F6F6" w:rsidR="00EC4160" w:rsidRPr="00EC4160" w:rsidRDefault="00EC4160" w:rsidP="00EC4160">
            <w:pPr>
              <w:jc w:val="both"/>
              <w:rPr>
                <w:lang w:val="en-US" w:eastAsia="en-GB"/>
              </w:rPr>
            </w:pPr>
            <w:r w:rsidRPr="00EC4160">
              <w:rPr>
                <w:lang w:val="en-US" w:eastAsia="en-GB"/>
              </w:rPr>
              <w:t>A particularly important part of the work performed during this period related to the preparation of the pilot buildings and the groundwork for pilot operation. Cooperation agreements were concluded between NTUA and the participating municipalities and regions, building-related technical and administrative data were collected through structured processes, and site visits were organised in the pilot areas in cooperation with engineering teams and local authorities. This work enabled the verification of building data, the screening and, where necessary, revision of candidate building lists, and the progressive preparation of Energy Performance Certificates and Energy Reports. These activities created the technical basis for the subsequent development of renovation design and procurement-related steps and also generated important practical knowledge about the challenges municipalities face in project preparation, data availability and technical readiness.</w:t>
            </w:r>
          </w:p>
          <w:p w14:paraId="44EC6D2F" w14:textId="2FDF07DF" w:rsidR="00EC4160" w:rsidRPr="00EC4160" w:rsidRDefault="00EC4160" w:rsidP="00EC4160">
            <w:pPr>
              <w:jc w:val="both"/>
              <w:rPr>
                <w:lang w:val="en-US" w:eastAsia="en-GB"/>
              </w:rPr>
            </w:pPr>
            <w:r w:rsidRPr="00EC4160">
              <w:rPr>
                <w:lang w:val="en-US" w:eastAsia="en-GB"/>
              </w:rPr>
              <w:t>The reporting period also included substantial work on project coordination, quality assurance, monitoring and dissemination. The project was managed through the coordination of NTUA, regular progress meetings, monthly Steering Committee follow-up and central collection of technical and financial partner inputs. At the same time, the consortium developed and applied frameworks for project quality control, green management, risk monitoring and impact evaluation. The PPI framework was established and updated, the KPI framework was defined and aligned with the LIFE KPI webtool, and the relevant KPIs were reported according to the agreed requirements. Communication and dissemination activities also progressed, including workshops, newsletters, online communication channels and project networking, thereby supporting both internal coordination and external visibility.</w:t>
            </w:r>
          </w:p>
          <w:p w14:paraId="4E48B195" w14:textId="3D2571C6" w:rsidR="00E230E5" w:rsidRPr="00E230E5" w:rsidRDefault="00EC4160" w:rsidP="00EC4160">
            <w:pPr>
              <w:jc w:val="both"/>
              <w:rPr>
                <w:lang w:val="en-US" w:eastAsia="en-GB"/>
              </w:rPr>
            </w:pPr>
            <w:r w:rsidRPr="00EC4160">
              <w:rPr>
                <w:lang w:val="en-US" w:eastAsia="en-GB"/>
              </w:rPr>
              <w:t>Finally, initial work was also undertaken in areas linked to the longer-term sustainability, exploitation and replication of the project results. Although these workstreams will become more prominent in the next reporting phase, the groundwork already started during the present period, including preliminary work related to the sustainability pathway of the OSS, the exploration of financing routes and blended-financing concepts, and the exploration of replication conditions in Cyprus through the participation of the Municipality of Limassol. Taken together, the work performed during the first reporting period provided not only the initial setup of the project, but also the substantive operational, technical and strategic basis for the next phase of implementation, during which the services, tools and frameworks developed so far will be applied more extensively in practice.</w:t>
            </w:r>
            <w:r w:rsidR="00E230E5" w:rsidRPr="00E230E5">
              <w:rPr>
                <w:lang w:val="en-US" w:eastAsia="en-GB"/>
              </w:rPr>
              <w:t>.</w:t>
            </w:r>
          </w:p>
          <w:p w14:paraId="6FFBD4FA" w14:textId="5282FCE9" w:rsidR="009B148A" w:rsidRPr="00E00E13" w:rsidRDefault="001B6ADE" w:rsidP="008B7631">
            <w:pPr>
              <w:pStyle w:val="Heading4"/>
              <w:rPr>
                <w:rFonts w:eastAsia="Calibri"/>
                <w:lang w:val="en-US"/>
              </w:rPr>
            </w:pPr>
            <w:bookmarkStart w:id="14" w:name="_Toc227846954"/>
            <w:r w:rsidRPr="001B6ADE">
              <w:rPr>
                <w:rFonts w:eastAsia="Calibri"/>
                <w:lang w:val="en-US"/>
              </w:rPr>
              <w:t xml:space="preserve">1.1.3 </w:t>
            </w:r>
            <w:r w:rsidR="009B148A" w:rsidRPr="00E00E13">
              <w:rPr>
                <w:rFonts w:eastAsia="Calibri"/>
                <w:lang w:val="en-US"/>
              </w:rPr>
              <w:t xml:space="preserve">Key achievements of the project so far </w:t>
            </w:r>
            <w:bookmarkEnd w:id="14"/>
          </w:p>
          <w:p w14:paraId="68537571" w14:textId="4E5D9E94" w:rsidR="00EC4160" w:rsidRPr="00EC4160" w:rsidRDefault="00EC4160" w:rsidP="00EC4160">
            <w:pPr>
              <w:spacing w:before="120" w:after="120"/>
              <w:ind w:right="4"/>
              <w:jc w:val="both"/>
            </w:pPr>
            <w:r w:rsidRPr="00EC4160">
              <w:t>Key achievements of the project so far include:</w:t>
            </w:r>
          </w:p>
          <w:p w14:paraId="64CD7053" w14:textId="77777777" w:rsidR="00EC4160" w:rsidRPr="00EC4160" w:rsidRDefault="00EC4160" w:rsidP="00EC4160">
            <w:pPr>
              <w:pStyle w:val="ListParagraph"/>
              <w:numPr>
                <w:ilvl w:val="0"/>
                <w:numId w:val="67"/>
              </w:numPr>
              <w:spacing w:before="120" w:after="120"/>
              <w:ind w:right="4"/>
              <w:jc w:val="both"/>
            </w:pPr>
            <w:r w:rsidRPr="00EC4160">
              <w:t>the operational establishment of the OSS under NTUA, including the appointment of the first core OSS staff member and the initiation of OSS operation while the final legal and governance structure remains under development;</w:t>
            </w:r>
          </w:p>
          <w:p w14:paraId="385B1F28" w14:textId="77777777" w:rsidR="00EC4160" w:rsidRPr="00EC4160" w:rsidRDefault="00EC4160" w:rsidP="00EC4160">
            <w:pPr>
              <w:pStyle w:val="ListParagraph"/>
              <w:numPr>
                <w:ilvl w:val="0"/>
                <w:numId w:val="67"/>
              </w:numPr>
              <w:spacing w:before="120" w:after="120"/>
              <w:ind w:right="4"/>
              <w:jc w:val="both"/>
            </w:pPr>
            <w:r w:rsidRPr="00EC4160">
              <w:t>the establishment of the Advisory Board as a consultative structure bringing together relevant institutional and market-oriented expertise to support the development and future operation of the OSS;</w:t>
            </w:r>
          </w:p>
          <w:p w14:paraId="1AC716CD" w14:textId="77777777" w:rsidR="00EC4160" w:rsidRPr="00EC4160" w:rsidRDefault="00EC4160" w:rsidP="00EC4160">
            <w:pPr>
              <w:pStyle w:val="ListParagraph"/>
              <w:numPr>
                <w:ilvl w:val="0"/>
                <w:numId w:val="67"/>
              </w:numPr>
              <w:spacing w:before="120" w:after="120"/>
              <w:ind w:right="4"/>
              <w:jc w:val="both"/>
            </w:pPr>
            <w:r w:rsidRPr="00EC4160">
              <w:lastRenderedPageBreak/>
              <w:t>the development of a structured and stakeholder-informed OSS service architecture, based on co-creation with municipalities and market actors and organised across the main stages of municipal renovation project development;</w:t>
            </w:r>
          </w:p>
          <w:p w14:paraId="62C28512" w14:textId="77777777" w:rsidR="00EC4160" w:rsidRPr="00EC4160" w:rsidRDefault="00EC4160" w:rsidP="00EC4160">
            <w:pPr>
              <w:pStyle w:val="ListParagraph"/>
              <w:numPr>
                <w:ilvl w:val="0"/>
                <w:numId w:val="67"/>
              </w:numPr>
              <w:spacing w:before="120" w:after="120"/>
              <w:ind w:right="4"/>
              <w:jc w:val="both"/>
            </w:pPr>
            <w:r w:rsidRPr="00EC4160">
              <w:t>the development of the RenoInGR digital platform as the virtual core of the OSS, integrating guidance content, regulatory and financing information, FAQs, examples, registries, support materials, user interaction forms and an AI-supported smart assistant;</w:t>
            </w:r>
          </w:p>
          <w:p w14:paraId="5B77F222" w14:textId="77777777" w:rsidR="00EC4160" w:rsidRPr="00EC4160" w:rsidRDefault="00EC4160" w:rsidP="00EC4160">
            <w:pPr>
              <w:pStyle w:val="ListParagraph"/>
              <w:numPr>
                <w:ilvl w:val="0"/>
                <w:numId w:val="67"/>
              </w:numPr>
              <w:spacing w:before="120" w:after="120"/>
              <w:ind w:right="4"/>
              <w:jc w:val="both"/>
            </w:pPr>
            <w:r w:rsidRPr="00EC4160">
              <w:t>the preparation of standardised support materials and operational tools, including service descriptions, readiness and screening logic, guidance materials, financing-support resources, renovation tender templates and Energy Performance Contracting-related documentation;</w:t>
            </w:r>
          </w:p>
          <w:p w14:paraId="2390E017" w14:textId="77777777" w:rsidR="00EC4160" w:rsidRPr="00EC4160" w:rsidRDefault="00EC4160" w:rsidP="00EC4160">
            <w:pPr>
              <w:pStyle w:val="ListParagraph"/>
              <w:numPr>
                <w:ilvl w:val="0"/>
                <w:numId w:val="67"/>
              </w:numPr>
              <w:spacing w:before="120" w:after="120"/>
              <w:ind w:right="4"/>
              <w:jc w:val="both"/>
            </w:pPr>
            <w:r w:rsidRPr="00EC4160">
              <w:t>substantial progress in the preparation of the pilot building portfolio, including cooperation agreements with municipalities and regions, collection and verification of building-related data, site visits, candidate-building screening and the progressive preparation of EPCs and Energy Reports;</w:t>
            </w:r>
          </w:p>
          <w:p w14:paraId="07F18EC0" w14:textId="77777777" w:rsidR="00EC4160" w:rsidRPr="00EC4160" w:rsidRDefault="00EC4160" w:rsidP="00EC4160">
            <w:pPr>
              <w:pStyle w:val="ListParagraph"/>
              <w:numPr>
                <w:ilvl w:val="0"/>
                <w:numId w:val="67"/>
              </w:numPr>
              <w:spacing w:before="120" w:after="120"/>
              <w:ind w:right="4"/>
              <w:jc w:val="both"/>
            </w:pPr>
            <w:r w:rsidRPr="00EC4160">
              <w:t>the mobilisation of municipalities and stakeholders through workshops, dissemination and networking, including strong participation in co-creation and national-level activities, which helped validate the OSS concept and generate wider interest beyond the pilot entities;</w:t>
            </w:r>
          </w:p>
          <w:p w14:paraId="58FE1EA9" w14:textId="77777777" w:rsidR="00EC4160" w:rsidRPr="00EC4160" w:rsidRDefault="00EC4160" w:rsidP="00EC4160">
            <w:pPr>
              <w:pStyle w:val="ListParagraph"/>
              <w:numPr>
                <w:ilvl w:val="0"/>
                <w:numId w:val="67"/>
              </w:numPr>
              <w:spacing w:before="120" w:after="120"/>
              <w:ind w:right="4"/>
              <w:jc w:val="both"/>
            </w:pPr>
            <w:r w:rsidRPr="00EC4160">
              <w:t>the establishment of the main internal quality, risk and monitoring frameworks, including the Quality Control and Green Management Handbook, the Risk Management Plan, the OSS Quality Assurance Plan and the PPI/KPI monitoring system linked to the LIFE KPI webtool;</w:t>
            </w:r>
          </w:p>
          <w:p w14:paraId="68A70DDD" w14:textId="77777777" w:rsidR="00EC4160" w:rsidRDefault="00EC4160" w:rsidP="00EC4160">
            <w:pPr>
              <w:pStyle w:val="Heading4"/>
              <w:numPr>
                <w:ilvl w:val="0"/>
                <w:numId w:val="67"/>
              </w:numPr>
              <w:rPr>
                <w:color w:val="595959" w:themeColor="text1" w:themeTint="A6"/>
              </w:rPr>
            </w:pPr>
            <w:r w:rsidRPr="008D2867">
              <w:rPr>
                <w:i w:val="0"/>
                <w:iCs/>
                <w:color w:val="595959" w:themeColor="text1" w:themeTint="A6"/>
              </w:rPr>
              <w:t>the initiation of sustainability, exploitation and replication-related work, including early work on the long-term sustainability pathway of the OSS, the exploration of financing routes and blended-financing concepts, and the first structured replication work in Cyprus</w:t>
            </w:r>
            <w:r w:rsidRPr="00EC4160">
              <w:rPr>
                <w:color w:val="595959" w:themeColor="text1" w:themeTint="A6"/>
              </w:rPr>
              <w:t>.</w:t>
            </w:r>
            <w:bookmarkStart w:id="15" w:name="_Toc227846955"/>
          </w:p>
          <w:p w14:paraId="5E31F13A" w14:textId="0062C833" w:rsidR="009B148A" w:rsidRDefault="001B6ADE" w:rsidP="00EC4160">
            <w:pPr>
              <w:pStyle w:val="Heading4"/>
              <w:rPr>
                <w:rFonts w:eastAsia="Calibri"/>
                <w:lang w:val="en-US"/>
              </w:rPr>
            </w:pPr>
            <w:r w:rsidRPr="001B6ADE">
              <w:rPr>
                <w:rFonts w:eastAsia="Calibri"/>
                <w:lang w:val="en-US"/>
              </w:rPr>
              <w:t xml:space="preserve">1.1.4 </w:t>
            </w:r>
            <w:r w:rsidR="009B148A" w:rsidRPr="00E00E13">
              <w:rPr>
                <w:rFonts w:eastAsia="Calibri"/>
                <w:lang w:val="en-US"/>
              </w:rPr>
              <w:t>Impact generated so far</w:t>
            </w:r>
            <w:bookmarkEnd w:id="15"/>
          </w:p>
          <w:p w14:paraId="0F11E694" w14:textId="053FA433" w:rsidR="00EC4160" w:rsidRPr="00EC4160" w:rsidRDefault="00EC4160" w:rsidP="00EC4160">
            <w:pPr>
              <w:jc w:val="both"/>
              <w:rPr>
                <w:lang w:val="en-US" w:eastAsia="en-GB"/>
              </w:rPr>
            </w:pPr>
            <w:r w:rsidRPr="00EC4160">
              <w:rPr>
                <w:lang w:val="en-US" w:eastAsia="en-GB"/>
              </w:rPr>
              <w:t>By the end of the first reporting period, the project had already generated important impacts at organisational, operational and stakeholder level, even though the main large-scale technical, financial and environmental effects are expected to materialise in later implementation phases. The most immediate impact generated so far lies in the creation of an operational support environment for municipal building renovation in Greece. Through the establishment of the OSS under NTUA, the structuring of integrated support services, the development of the digital platform and the production of guidance, quality and monitoring frameworks, the project has already improved the capacity of the participating actors to organise, understand and support the preparation of renovation projects in a more systematic way. This is an important impact in itself, particularly in a context where many municipalities face limited administrative, technical and financial capacity.</w:t>
            </w:r>
          </w:p>
          <w:p w14:paraId="4BF4B8D2" w14:textId="758AEB53" w:rsidR="00EC4160" w:rsidRPr="00EC4160" w:rsidRDefault="00EC4160" w:rsidP="00EC4160">
            <w:pPr>
              <w:jc w:val="both"/>
              <w:rPr>
                <w:lang w:val="en-US" w:eastAsia="en-GB"/>
              </w:rPr>
            </w:pPr>
            <w:r w:rsidRPr="00EC4160">
              <w:rPr>
                <w:lang w:val="en-US" w:eastAsia="en-GB"/>
              </w:rPr>
              <w:t>A second important impact concerns municipal readiness, institutional learning and the validation of a stakeholder-informed support model. Through the co-creation activities, pilot preparation work and structured interaction with municipalities and market actors, the project has already helped local authorities move from a general intention to renovate buildings toward a more concrete understanding of their building stock, documentation gaps, technical constraints, financing barriers and next preparation steps. The collection of building-related data, the site visits, the review of candidate buildings and the preparation of EPCs and Energy Reports have already improved the maturity of the pilot portfolio and generated practical knowledge for both the consortium and the participating local authorities. At the same time, the workshops and questionnaires carried out under WP3 provided a strong evidence base on what municipalities and market actors actually need from an OSS, allowing the project to move from a conceptual support idea to a more realistic and stage-based service architecture.</w:t>
            </w:r>
          </w:p>
          <w:p w14:paraId="27A70AE4" w14:textId="6D72D532" w:rsidR="00EC4160" w:rsidRPr="00EC4160" w:rsidRDefault="00EC4160" w:rsidP="00EC4160">
            <w:pPr>
              <w:jc w:val="both"/>
              <w:rPr>
                <w:lang w:val="en-US" w:eastAsia="en-GB"/>
              </w:rPr>
            </w:pPr>
            <w:r w:rsidRPr="00EC4160">
              <w:rPr>
                <w:lang w:val="en-US" w:eastAsia="en-GB"/>
              </w:rPr>
              <w:lastRenderedPageBreak/>
              <w:t>The project has also generated important stakeholder, communication and market-orientation impacts. Early workshop activity, strong participation in national-level events and wider engagement with municipalities and relevant stakeholders have increased awareness of the OSS model and of the support possibilities related to public building renovation. The updated PPI monitoring shows that, even in this early phase, the project has already recorded notable activity in workshops, participation and initial contacts, while the broader communication and networking work has contributed to creating a base of interest and visibility for future uptake. In addition, the WP3 consultation process has already produced a practical alignment between municipal needs and market expectations, especially in relation to bundling, procurement, Energy Performance Contracting and blended-financing logic. This is an important early impact because it improves the realism and future implementability of the support model being developed.</w:t>
            </w:r>
          </w:p>
          <w:p w14:paraId="5EEEB037" w14:textId="6969DDB7" w:rsidR="00EC4160" w:rsidRPr="00EC4160" w:rsidRDefault="00EC4160" w:rsidP="00EC4160">
            <w:pPr>
              <w:jc w:val="both"/>
              <w:rPr>
                <w:lang w:val="en-US" w:eastAsia="en-GB"/>
              </w:rPr>
            </w:pPr>
            <w:r w:rsidRPr="00EC4160">
              <w:rPr>
                <w:lang w:val="en-US" w:eastAsia="en-GB"/>
              </w:rPr>
              <w:t>Another impact already generated relates to innovation and digital support. The development of the RenoInGR platform has created a practical digital support infrastructure that did not exist previously for this target group. It has strengthened the accessibility and operational value of the OSS services and has allowed project outputs from different work packages to be translated into a coherent support environment for users, including guidance content, regulatory and financing information, examples, support materials and interactive digital functions. In that sense, the project is already producing innovation-related impact not only through future renovation outcomes, but also through the creation of a new model of integrated municipal support combining physical, organisational and digital elements.</w:t>
            </w:r>
          </w:p>
          <w:p w14:paraId="5CBDD51B" w14:textId="46F519F4" w:rsidR="0069076E" w:rsidRPr="0069076E" w:rsidRDefault="00EC4160" w:rsidP="00EC4160">
            <w:pPr>
              <w:jc w:val="both"/>
              <w:rPr>
                <w:lang w:val="en-US" w:eastAsia="en-GB"/>
              </w:rPr>
            </w:pPr>
            <w:r w:rsidRPr="00EC4160">
              <w:rPr>
                <w:lang w:val="en-US" w:eastAsia="en-GB"/>
              </w:rPr>
              <w:t>At the same time, the project has already created the conditions for the longer-term impacts foreseen in its intervention logic, even if these are not yet fully reflected in quantitative values. As shown in the PPI and KPI monitoring documents, indicators directly related to renovated area, investment mobilisation, energy savings, renewable energy generation and greenhouse-gas reductions remain at zero or at early values, mainly because the relevant implementation steps are planned for later phases of the project. This does not indicate lack of impact, but rather reflects the sequencing of the action. The groundwork carried out during the present reporting period constitutes the enabling basis upon which the later investment, energy, climate and replication effects are expected to build.</w:t>
            </w:r>
            <w:r w:rsidR="0069076E" w:rsidRPr="0069076E">
              <w:rPr>
                <w:lang w:val="en-US" w:eastAsia="en-GB"/>
              </w:rPr>
              <w:t>.</w:t>
            </w:r>
          </w:p>
          <w:p w14:paraId="1A725701" w14:textId="09138C18" w:rsidR="009B148A" w:rsidRDefault="001B6ADE" w:rsidP="008B7631">
            <w:pPr>
              <w:pStyle w:val="Heading4"/>
              <w:rPr>
                <w:rFonts w:eastAsia="Calibri"/>
                <w:lang w:val="en-US"/>
              </w:rPr>
            </w:pPr>
            <w:bookmarkStart w:id="16" w:name="_Toc227846956"/>
            <w:r w:rsidRPr="002E0D16">
              <w:rPr>
                <w:rFonts w:eastAsia="Calibri"/>
                <w:lang w:val="en-US"/>
              </w:rPr>
              <w:t xml:space="preserve">1.1.5 </w:t>
            </w:r>
            <w:r w:rsidR="009B148A" w:rsidRPr="001B6ADE">
              <w:rPr>
                <w:rFonts w:eastAsia="Calibri"/>
                <w:lang w:val="en-US"/>
              </w:rPr>
              <w:t>Challenges and delays encountered</w:t>
            </w:r>
            <w:bookmarkEnd w:id="16"/>
          </w:p>
          <w:p w14:paraId="7212E192" w14:textId="78DC391A" w:rsidR="00EC4160" w:rsidRPr="00EC4160" w:rsidRDefault="00EC4160" w:rsidP="00EC4160">
            <w:pPr>
              <w:jc w:val="both"/>
              <w:rPr>
                <w:lang w:val="en-US" w:eastAsia="en-GB"/>
              </w:rPr>
            </w:pPr>
            <w:r w:rsidRPr="00EC4160">
              <w:rPr>
                <w:lang w:val="en-US" w:eastAsia="en-GB"/>
              </w:rPr>
              <w:t>During the first reporting period, the project encountered a number of important challenges and delays, mainly related to the institutional consolidation of the One-Stop-Shop, the readiness of municipal building portfolios, and the timing of some implementation steps that depend on technical maturity, administrative preparedness and local responsiveness. These challenges did not prevent the project from progressing, but they did affect the pace of advancement in certain areas and required adaptive management and a more gradual implementation approach.</w:t>
            </w:r>
          </w:p>
          <w:p w14:paraId="043720ED" w14:textId="338792C8" w:rsidR="00EC4160" w:rsidRPr="00EC4160" w:rsidRDefault="00EC4160" w:rsidP="00EC4160">
            <w:pPr>
              <w:jc w:val="both"/>
              <w:rPr>
                <w:lang w:val="en-US" w:eastAsia="en-GB"/>
              </w:rPr>
            </w:pPr>
            <w:r w:rsidRPr="00EC4160">
              <w:rPr>
                <w:lang w:val="en-US" w:eastAsia="en-GB"/>
              </w:rPr>
              <w:t>The most significant challenge concerned the finalisation of the legal and governance structure of the OSS. While the OSS has been able to operate functionally as a service under NTUA, the definition of its final legal form and the corresponding governance framework proved more complex than initially anticipated. This complexity is linked not only to the choice of a formal legal vehicle, but also to broader institutional and administrative considerations, including compatibility with the Greek legal and regulatory framework, the future relationship of the OSS with public authorities and municipalities, and the need to ensure both operational flexibility and long-term sustainability. As a result, the legal and institutional consolidation of the OSS has progressed more gradually than originally planned, and the formal establishment of the Governing Board has also been delayed. However, the project adopted a pragmatic solution by allowing the OSS to operate under NTUA while the legal and governance issues continued to be examined.</w:t>
            </w:r>
          </w:p>
          <w:p w14:paraId="06B308D4" w14:textId="7316D1B4" w:rsidR="00EC4160" w:rsidRPr="00EC4160" w:rsidRDefault="00EC4160" w:rsidP="00EC4160">
            <w:pPr>
              <w:jc w:val="both"/>
              <w:rPr>
                <w:lang w:val="en-US" w:eastAsia="en-GB"/>
              </w:rPr>
            </w:pPr>
            <w:r w:rsidRPr="00EC4160">
              <w:rPr>
                <w:lang w:val="en-US" w:eastAsia="en-GB"/>
              </w:rPr>
              <w:lastRenderedPageBreak/>
              <w:t>A second important challenge concerned the administrative and technical readiness of municipalities and regions in relation to the pilot buildings. In several cases, the project faced incomplete, fragmented or outdated building-related information, including missing technical documentation, lack of readily available energy data and limited availability of valid EPCs. More specifically, the co-creation and pilot-preparation work highlighted recurring difficulties related to unclear ownership status or pending legalisation of buildings, missing or incomplete plans, insufficiently organised energy consumption records, limited availability of pre-seismic inspection documentation, and the need for municipalities to clarify or secure administrative capacity-related prerequisites required for access to public funding. In addition, some buildings initially proposed by municipalities were found during the screening and site-visit phase to be less suitable than expected, requiring revisions to the initial building lists and, in some cases, the identification of alternative buildings. These issues affected the pace of technical preparation and delayed parts of the work related to EPCs, Energy Reports and the subsequent progression toward renovation design and tender preparation. Nevertheless, these challenges were managed through closer cooperation with municipalities, engineering support and adaptive technical screening.</w:t>
            </w:r>
          </w:p>
          <w:p w14:paraId="79828B1C" w14:textId="4D77D86E" w:rsidR="00EC4160" w:rsidRPr="00EC4160" w:rsidRDefault="00EC4160" w:rsidP="00EC4160">
            <w:pPr>
              <w:jc w:val="both"/>
              <w:rPr>
                <w:lang w:val="en-US" w:eastAsia="en-GB"/>
              </w:rPr>
            </w:pPr>
            <w:r w:rsidRPr="00EC4160">
              <w:rPr>
                <w:lang w:val="en-US" w:eastAsia="en-GB"/>
              </w:rPr>
              <w:t>The project also identified challenges linked to the practical implementation conditions of municipal renovation projects, especially in small, island and mountainous municipalities. Both the municipal consultation process and the pilot preparation work showed that geographically dispersed and relatively small projects are often less attractive to consultants, contractors and ESCOs, while incomplete baseline data and weak standardisation can make financing and tender preparation more difficult. Additional complexity was noted in relation to listed or heritage buildings, where technical requirements and funding eligibility constraints may complicate renovation planning. These findings did not stop project implementation, but they confirmed that the maturation of municipal building projects requires more structured support, clearer preparatory guidance and, in many cases, bundling approaches in order to overcome scale and market barriers.</w:t>
            </w:r>
          </w:p>
          <w:p w14:paraId="5362D416" w14:textId="201FA3D0" w:rsidR="0069076E" w:rsidRPr="0069076E" w:rsidRDefault="00EC4160" w:rsidP="00EC4160">
            <w:pPr>
              <w:jc w:val="both"/>
              <w:rPr>
                <w:lang w:val="en-US" w:eastAsia="en-GB"/>
              </w:rPr>
            </w:pPr>
            <w:r w:rsidRPr="00EC4160">
              <w:rPr>
                <w:lang w:val="en-US" w:eastAsia="en-GB"/>
              </w:rPr>
              <w:t>A further challenge relates to the sequencing of outputs and impacts. A number of indicators linked to building renovations, investment mobilisation, energy savings and related environmental benefits remain at zero or at early levels at the end of the reporting period. This is largely due to the fact that the project is still transitioning from the establishment and preparatory phase to more implementation-intensive phases, where technical studies, procurement and investment-triggering actions will become more prominent. Although this means that some expected downstream results are not yet visible in quantitative terms, this does not indicate underperformance. Rather, it reflects the implementation logic of the project, in which significant groundwork had to be completed first in relation to OSS services, governance, platform development, pilot preparation and stakeholder mobilisation.</w:t>
            </w:r>
            <w:r w:rsidR="0069076E" w:rsidRPr="0069076E">
              <w:rPr>
                <w:lang w:val="en-US" w:eastAsia="en-GB"/>
              </w:rPr>
              <w:t>.</w:t>
            </w:r>
          </w:p>
          <w:p w14:paraId="1F449A51" w14:textId="46DC62A7" w:rsidR="009B148A" w:rsidRPr="003959CB" w:rsidRDefault="001B6ADE" w:rsidP="008B7631">
            <w:pPr>
              <w:pStyle w:val="Heading4"/>
            </w:pPr>
            <w:bookmarkStart w:id="17" w:name="_Toc227846957"/>
            <w:r w:rsidRPr="0069076E">
              <w:rPr>
                <w:lang w:val="en-US"/>
              </w:rPr>
              <w:t xml:space="preserve">1.1.6 </w:t>
            </w:r>
            <w:r w:rsidR="009B148A" w:rsidRPr="003959CB">
              <w:t>Lessons learned</w:t>
            </w:r>
            <w:bookmarkEnd w:id="17"/>
            <w:r w:rsidR="009B148A" w:rsidRPr="003959CB">
              <w:t xml:space="preserve"> </w:t>
            </w:r>
          </w:p>
          <w:p w14:paraId="6673A123" w14:textId="7A6F3B04" w:rsidR="00E00E13" w:rsidRPr="00E00E13" w:rsidRDefault="00E00E13" w:rsidP="0069076E">
            <w:pPr>
              <w:jc w:val="both"/>
              <w:rPr>
                <w:lang w:val="en-US"/>
              </w:rPr>
            </w:pPr>
            <w:r w:rsidRPr="00E00E13">
              <w:rPr>
                <w:lang w:val="en-US"/>
              </w:rPr>
              <w:t xml:space="preserve">During the first phase of project implementation, </w:t>
            </w:r>
            <w:r w:rsidR="005653FD" w:rsidRPr="00E00E13">
              <w:rPr>
                <w:lang w:val="en-US"/>
              </w:rPr>
              <w:t xml:space="preserve">were identified </w:t>
            </w:r>
            <w:r w:rsidR="005653FD">
              <w:rPr>
                <w:lang w:val="en-US"/>
              </w:rPr>
              <w:t xml:space="preserve"> </w:t>
            </w:r>
            <w:r w:rsidRPr="00E00E13">
              <w:rPr>
                <w:lang w:val="en-US"/>
              </w:rPr>
              <w:t xml:space="preserve">important lessons regarding the preparation and development of municipal building renovation projects. The experience </w:t>
            </w:r>
            <w:r w:rsidR="005653FD">
              <w:rPr>
                <w:lang w:val="en-US"/>
              </w:rPr>
              <w:t xml:space="preserve">we </w:t>
            </w:r>
            <w:r w:rsidRPr="00E00E13">
              <w:rPr>
                <w:lang w:val="en-US"/>
              </w:rPr>
              <w:t>gained showed that the successful development of a renovation pipeline depends not only on the technical characteristics of candidate buildings, but also on the practical capacity of municipalities to organise information</w:t>
            </w:r>
            <w:r w:rsidR="005653FD">
              <w:rPr>
                <w:lang w:val="en-US"/>
              </w:rPr>
              <w:t xml:space="preserve"> data</w:t>
            </w:r>
            <w:r w:rsidRPr="00E00E13">
              <w:rPr>
                <w:lang w:val="en-US"/>
              </w:rPr>
              <w:t xml:space="preserve">, assess needs and support the early stages of project preparation. A first key lesson concerns the administrative and technical readiness of municipalities to prepare renovation projects in a timely and structured manner. In many cases, </w:t>
            </w:r>
            <w:r w:rsidR="005653FD">
              <w:rPr>
                <w:lang w:val="en-US"/>
              </w:rPr>
              <w:t>they</w:t>
            </w:r>
            <w:r w:rsidRPr="00E00E13">
              <w:rPr>
                <w:lang w:val="en-US"/>
              </w:rPr>
              <w:t xml:space="preserve"> face difficulties in establishing a reliable and complete picture of their building stock, due to incomplete, outdated or fragmented administrative records. Essential documentation, such as building permits, technical drawings, floor plans, records of previous interventions or ownership-related documents, is often missing, dispersed across different municipal departments, or not readily accessible in a form that can effectively support project preparation. As a result, the initial </w:t>
            </w:r>
            <w:r w:rsidRPr="00E00E13">
              <w:rPr>
                <w:lang w:val="en-US"/>
              </w:rPr>
              <w:lastRenderedPageBreak/>
              <w:t xml:space="preserve">mapping of the municipal building stock and the identification of suitable buildings for renovation can be considerably delayed, </w:t>
            </w:r>
            <w:r w:rsidR="005653FD">
              <w:rPr>
                <w:lang w:val="en-US"/>
              </w:rPr>
              <w:t xml:space="preserve">which </w:t>
            </w:r>
            <w:r w:rsidRPr="00E00E13">
              <w:rPr>
                <w:lang w:val="en-US"/>
              </w:rPr>
              <w:t>affect</w:t>
            </w:r>
            <w:r w:rsidR="005653FD">
              <w:rPr>
                <w:lang w:val="en-US"/>
              </w:rPr>
              <w:t>s</w:t>
            </w:r>
            <w:r w:rsidRPr="00E00E13">
              <w:rPr>
                <w:lang w:val="en-US"/>
              </w:rPr>
              <w:t xml:space="preserve"> the overall pace and maturity of project development.</w:t>
            </w:r>
          </w:p>
          <w:p w14:paraId="1357B2CD" w14:textId="734D0CF9" w:rsidR="00E00E13" w:rsidRPr="00E00E13" w:rsidRDefault="00E00E13" w:rsidP="0069076E">
            <w:pPr>
              <w:jc w:val="both"/>
              <w:rPr>
                <w:lang w:val="en-US"/>
              </w:rPr>
            </w:pPr>
            <w:r w:rsidRPr="00E00E13">
              <w:rPr>
                <w:lang w:val="en-US"/>
              </w:rPr>
              <w:t>A second important lesson concerns the limited availability and reliability of technical and energy-related data for municipal buildings. In many of the buildings</w:t>
            </w:r>
            <w:r w:rsidR="00F23C8F">
              <w:rPr>
                <w:lang w:val="en-US"/>
              </w:rPr>
              <w:t xml:space="preserve"> we</w:t>
            </w:r>
            <w:r w:rsidRPr="00E00E13">
              <w:rPr>
                <w:lang w:val="en-US"/>
              </w:rPr>
              <w:t xml:space="preserve"> examined during the first phase of the project, the information required to support an initial assessment of renovation potential was either incomplete, outdated or entirely unavailable. </w:t>
            </w:r>
            <w:r w:rsidR="00F23C8F">
              <w:rPr>
                <w:lang w:val="en-US"/>
              </w:rPr>
              <w:t>Some d</w:t>
            </w:r>
            <w:r w:rsidRPr="00E00E13">
              <w:rPr>
                <w:lang w:val="en-US"/>
              </w:rPr>
              <w:t>ata on building characteristics, thermal performance, existing systems and patterns of energy use were often not systematically recorded</w:t>
            </w:r>
            <w:r w:rsidR="00F23C8F">
              <w:rPr>
                <w:lang w:val="en-US"/>
              </w:rPr>
              <w:t>. Furthermore</w:t>
            </w:r>
            <w:r w:rsidRPr="00E00E13">
              <w:rPr>
                <w:lang w:val="en-US"/>
              </w:rPr>
              <w:t xml:space="preserve"> only a limited number of buildings </w:t>
            </w:r>
            <w:r w:rsidR="00F23C8F">
              <w:rPr>
                <w:lang w:val="en-US"/>
              </w:rPr>
              <w:t>had</w:t>
            </w:r>
            <w:r w:rsidRPr="00E00E13">
              <w:rPr>
                <w:lang w:val="en-US"/>
              </w:rPr>
              <w:t xml:space="preserve"> valid and usable Energy Performance Certificates (EPCs). Under these conditions, </w:t>
            </w:r>
            <w:r w:rsidR="00F23C8F">
              <w:rPr>
                <w:lang w:val="en-US"/>
              </w:rPr>
              <w:t xml:space="preserve">the </w:t>
            </w:r>
            <w:r w:rsidRPr="00E00E13">
              <w:rPr>
                <w:lang w:val="en-US"/>
              </w:rPr>
              <w:t xml:space="preserve">on-site visits carried out by engineering teams proved to be essential. These visits were necessary not only to verify the actual condition of buildings and collect </w:t>
            </w:r>
            <w:r w:rsidR="00F23C8F">
              <w:rPr>
                <w:lang w:val="en-US"/>
              </w:rPr>
              <w:t xml:space="preserve">any </w:t>
            </w:r>
            <w:r w:rsidRPr="00E00E13">
              <w:rPr>
                <w:lang w:val="en-US"/>
              </w:rPr>
              <w:t>missing technical and energy-related information, but also to establish the initial evidence base required for informed decision-making. The project experience therefore showed that, in many municipal contexts, the early stages of renovation project preparation cannot rely exclusively on pre-existing documentation and often require direct field-based technical assessment in order to provide a sufficiently reliable basis for further planning.</w:t>
            </w:r>
          </w:p>
          <w:p w14:paraId="275A65BF" w14:textId="7334BD78" w:rsidR="00E00E13" w:rsidRPr="00E00E13" w:rsidRDefault="00E00E13" w:rsidP="0069076E">
            <w:pPr>
              <w:jc w:val="both"/>
              <w:rPr>
                <w:lang w:val="en-US"/>
              </w:rPr>
            </w:pPr>
            <w:r w:rsidRPr="00E00E13">
              <w:rPr>
                <w:lang w:val="en-US"/>
              </w:rPr>
              <w:t xml:space="preserve">A further lesson emerging from the project concerns the early identification and screening of candidate buildings for renovation. The experience gained showed that </w:t>
            </w:r>
            <w:r w:rsidR="00F23C8F">
              <w:rPr>
                <w:lang w:val="en-US"/>
              </w:rPr>
              <w:t xml:space="preserve">the </w:t>
            </w:r>
            <w:r w:rsidRPr="00E00E13">
              <w:rPr>
                <w:lang w:val="en-US"/>
              </w:rPr>
              <w:t>buildings</w:t>
            </w:r>
            <w:r w:rsidR="00F23C8F">
              <w:rPr>
                <w:lang w:val="en-US"/>
              </w:rPr>
              <w:t xml:space="preserve"> which were</w:t>
            </w:r>
            <w:r w:rsidRPr="00E00E13">
              <w:rPr>
                <w:lang w:val="en-US"/>
              </w:rPr>
              <w:t xml:space="preserve"> initially proposed by municipalities d</w:t>
            </w:r>
            <w:r w:rsidR="00F23C8F">
              <w:rPr>
                <w:lang w:val="en-US"/>
              </w:rPr>
              <w:t>id</w:t>
            </w:r>
            <w:r w:rsidRPr="00E00E13">
              <w:rPr>
                <w:lang w:val="en-US"/>
              </w:rPr>
              <w:t xml:space="preserve"> not always represent the most suitable candidates for inclusion in a renovation pipeline. In several cases, </w:t>
            </w:r>
            <w:r w:rsidR="00F23C8F">
              <w:rPr>
                <w:lang w:val="en-US"/>
              </w:rPr>
              <w:t>those which were</w:t>
            </w:r>
            <w:r w:rsidRPr="00E00E13">
              <w:rPr>
                <w:lang w:val="en-US"/>
              </w:rPr>
              <w:t xml:space="preserve"> initially prioritised at local level were found during technical review and site inspections to present limitations that reduced the feasibility, relevance or expected impact of renovation interventions. At the same time, the assessment process also helped identify alternative municipal buildings that had not been initially considered, but proved to be more appropriate candidates for renovation. This finding highlights that the initial internal selection, although useful as a starting point, should not by itself determine project prioritisation. Instead, candidate buildings should be subject at an early stage to a structured technical screening process based on clear and consistent criteria, in order to improve the quality of the emerging project pipeline and reduce the risk of investing time and resources in buildings with limited prospects for further development.</w:t>
            </w:r>
          </w:p>
          <w:p w14:paraId="4EA88162" w14:textId="7D5B506A" w:rsidR="00262867" w:rsidRPr="00E00E13" w:rsidRDefault="00E00E13" w:rsidP="0069076E">
            <w:pPr>
              <w:spacing w:before="120" w:after="120"/>
              <w:ind w:right="4"/>
              <w:jc w:val="both"/>
              <w:rPr>
                <w:rFonts w:eastAsia="Calibri" w:cs="Arial"/>
                <w:iCs/>
                <w:color w:val="595959"/>
                <w:szCs w:val="20"/>
                <w:lang w:val="en-US"/>
              </w:rPr>
            </w:pPr>
            <w:r w:rsidRPr="00E00E13">
              <w:rPr>
                <w:lang w:val="en-US"/>
              </w:rPr>
              <w:t>Finally, the project highlighted broader capacity-related constraints</w:t>
            </w:r>
            <w:r w:rsidR="00F23C8F">
              <w:rPr>
                <w:lang w:val="en-US"/>
              </w:rPr>
              <w:t xml:space="preserve"> that</w:t>
            </w:r>
            <w:r w:rsidRPr="00E00E13">
              <w:rPr>
                <w:lang w:val="en-US"/>
              </w:rPr>
              <w:t xml:space="preserve"> affect the preparation of municipal renovation projects. In many cases, municipalities operate under limited staffing capacity and have restricted access to specialised technical expertise, which reduces their ability to organise information, coordinate across departments and respond efficiently to the requirements of project development. </w:t>
            </w:r>
            <w:r w:rsidR="00F23C8F">
              <w:rPr>
                <w:lang w:val="en-US"/>
              </w:rPr>
              <w:t>T</w:t>
            </w:r>
            <w:r w:rsidRPr="00E00E13">
              <w:rPr>
                <w:lang w:val="en-US"/>
              </w:rPr>
              <w:t xml:space="preserve">he experience of the project also highlighted the lack of clear and easily accessible guidance </w:t>
            </w:r>
            <w:r w:rsidR="00F23C8F">
              <w:rPr>
                <w:lang w:val="en-US"/>
              </w:rPr>
              <w:t>about</w:t>
            </w:r>
            <w:r w:rsidRPr="00E00E13">
              <w:rPr>
                <w:lang w:val="en-US"/>
              </w:rPr>
              <w:t xml:space="preserve"> the regulatory framework, </w:t>
            </w:r>
            <w:r w:rsidR="00F23C8F">
              <w:rPr>
                <w:lang w:val="en-US"/>
              </w:rPr>
              <w:t xml:space="preserve">the </w:t>
            </w:r>
            <w:r w:rsidRPr="00E00E13">
              <w:rPr>
                <w:lang w:val="en-US"/>
              </w:rPr>
              <w:t xml:space="preserve">available financing opportunities and the administrative steps </w:t>
            </w:r>
            <w:r w:rsidR="00F23C8F">
              <w:rPr>
                <w:lang w:val="en-US"/>
              </w:rPr>
              <w:t xml:space="preserve">which are </w:t>
            </w:r>
            <w:r w:rsidRPr="00E00E13">
              <w:rPr>
                <w:lang w:val="en-US"/>
              </w:rPr>
              <w:t xml:space="preserve">required to initiate renovation projects. Municipal staff often face difficulties in identifying relevant legislation, understanding available financing schemes and navigating the procedural requirements needed to move from initial interest to project preparation. </w:t>
            </w:r>
            <w:r w:rsidR="00F23C8F">
              <w:rPr>
                <w:lang w:val="en-US"/>
              </w:rPr>
              <w:t xml:space="preserve">In </w:t>
            </w:r>
            <w:r w:rsidR="00704B0D">
              <w:rPr>
                <w:lang w:val="en-US"/>
              </w:rPr>
              <w:t>conclusion</w:t>
            </w:r>
            <w:r w:rsidRPr="00E00E13">
              <w:rPr>
                <w:lang w:val="en-US"/>
              </w:rPr>
              <w:t xml:space="preserve"> these lessons confirm the importance of providing municipalities with integrated technical guidance, access to reliable information and structured support mechanisms from the earliest stages of project development. They also reinforce the value of the One-Stop-Shop approach developed within RenoInGR as a practical response to the administrative, technical and organisational barriers encountered during implementation.</w:t>
            </w:r>
          </w:p>
          <w:p w14:paraId="02363118" w14:textId="77777777" w:rsidR="00200D1C" w:rsidRPr="003959CB" w:rsidRDefault="00200D1C" w:rsidP="00843D0B">
            <w:pPr>
              <w:spacing w:before="120" w:after="120"/>
              <w:jc w:val="both"/>
              <w:rPr>
                <w:rFonts w:eastAsia="Times New Roman" w:cs="Arial"/>
                <w:szCs w:val="20"/>
                <w:lang w:val="en-US"/>
              </w:rPr>
            </w:pPr>
          </w:p>
          <w:p w14:paraId="7406160B" w14:textId="77777777" w:rsidR="001567F7" w:rsidRPr="003959CB" w:rsidRDefault="001567F7" w:rsidP="00843D0B">
            <w:pPr>
              <w:spacing w:before="120" w:after="120"/>
              <w:jc w:val="both"/>
              <w:rPr>
                <w:rFonts w:eastAsia="Times New Roman" w:cs="Arial"/>
                <w:szCs w:val="20"/>
                <w:lang w:val="en-US"/>
              </w:rPr>
            </w:pPr>
          </w:p>
        </w:tc>
      </w:tr>
    </w:tbl>
    <w:p w14:paraId="1DF8F6CE" w14:textId="77777777" w:rsidR="00200D1C" w:rsidRPr="00907106" w:rsidRDefault="00054D3E" w:rsidP="00054D3E">
      <w:pPr>
        <w:rPr>
          <w:i/>
          <w:iCs/>
          <w:color w:val="595959"/>
          <w:lang w:val="de-DE"/>
        </w:rPr>
      </w:pPr>
      <w:bookmarkStart w:id="18" w:name="_Toc495508570"/>
      <w:bookmarkStart w:id="19" w:name="_Toc495592683"/>
      <w:bookmarkEnd w:id="18"/>
      <w:bookmarkEnd w:id="19"/>
      <w:r w:rsidRPr="00907106">
        <w:rPr>
          <w:rStyle w:val="TagChar"/>
          <w:rFonts w:eastAsia="Calibri"/>
          <w:lang w:val="de-DE"/>
        </w:rPr>
        <w:lastRenderedPageBreak/>
        <w:t>#</w:t>
      </w:r>
      <w:r w:rsidRPr="00907106">
        <w:rPr>
          <w:rStyle w:val="TagChar"/>
          <w:rFonts w:eastAsiaTheme="minorHAnsi"/>
          <w:lang w:val="de-DE"/>
        </w:rPr>
        <w:t>§</w:t>
      </w:r>
      <w:r w:rsidRPr="00907106">
        <w:rPr>
          <w:rStyle w:val="TagChar"/>
          <w:rFonts w:eastAsia="Calibri"/>
          <w:lang w:val="de-DE"/>
        </w:rPr>
        <w:t>PRO-GRE-PG</w:t>
      </w:r>
      <w:r w:rsidRPr="00907106">
        <w:rPr>
          <w:rStyle w:val="TagChar"/>
          <w:rFonts w:eastAsiaTheme="minorHAnsi"/>
          <w:lang w:val="de-DE"/>
        </w:rPr>
        <w:t>§</w:t>
      </w:r>
      <w:r w:rsidRPr="00907106">
        <w:rPr>
          <w:rStyle w:val="TagChar"/>
          <w:rFonts w:eastAsia="Calibri"/>
          <w:lang w:val="de-DE"/>
        </w:rPr>
        <w:t>#</w:t>
      </w:r>
      <w:r w:rsidR="00C505B1" w:rsidRPr="00907106">
        <w:rPr>
          <w:rStyle w:val="TagChar"/>
          <w:rFonts w:eastAsia="Calibri"/>
          <w:lang w:val="de-DE"/>
        </w:rPr>
        <w:t xml:space="preserve"> </w:t>
      </w:r>
      <w:r w:rsidR="00C505B1" w:rsidRPr="00907106">
        <w:rPr>
          <w:rFonts w:cs="Arial"/>
          <w:noProof/>
          <w:color w:val="B5B5B5"/>
          <w:sz w:val="16"/>
          <w:szCs w:val="16"/>
          <w:lang w:val="de-DE"/>
        </w:rPr>
        <w:t>#@IMP-ACT-IA@#</w:t>
      </w:r>
      <w:r w:rsidR="008556EC" w:rsidRPr="00907106">
        <w:rPr>
          <w:rStyle w:val="TagChar"/>
          <w:rFonts w:eastAsia="Calibri"/>
          <w:lang w:val="de-DE"/>
        </w:rPr>
        <w:t xml:space="preserve">      </w:t>
      </w:r>
      <w:r w:rsidRPr="00907106">
        <w:rPr>
          <w:rStyle w:val="TagChar"/>
          <w:rFonts w:eastAsia="Calibri"/>
          <w:lang w:val="de-DE"/>
        </w:rPr>
        <w:t xml:space="preserve">                                                                                                                              </w:t>
      </w:r>
      <w:r w:rsidR="009F2974" w:rsidRPr="00907106">
        <w:rPr>
          <w:i/>
          <w:iCs/>
          <w:color w:val="4AA55B"/>
          <w:lang w:val="de-DE"/>
        </w:rPr>
        <w:t>]</w:t>
      </w:r>
    </w:p>
    <w:p w14:paraId="02F185C4" w14:textId="15A34B74" w:rsidR="009F2974" w:rsidRPr="00907106" w:rsidRDefault="009F2974" w:rsidP="00054D3E">
      <w:pPr>
        <w:rPr>
          <w:i/>
          <w:iCs/>
          <w:color w:val="595959"/>
          <w:lang w:val="de-DE"/>
        </w:rPr>
      </w:pPr>
    </w:p>
    <w:p w14:paraId="06A56495" w14:textId="77777777" w:rsidR="00A47BAB" w:rsidRDefault="00C505B1" w:rsidP="00C505B1">
      <w:pPr>
        <w:pStyle w:val="Heading2"/>
      </w:pPr>
      <w:bookmarkStart w:id="20" w:name="_Toc495508576"/>
      <w:bookmarkStart w:id="21" w:name="_Toc495592690"/>
      <w:bookmarkStart w:id="22" w:name="_Toc227846958"/>
      <w:bookmarkEnd w:id="20"/>
      <w:bookmarkEnd w:id="21"/>
      <w:r w:rsidRPr="00EB7BE5">
        <w:lastRenderedPageBreak/>
        <w:t>2. IMPACT</w:t>
      </w:r>
      <w:bookmarkEnd w:id="22"/>
    </w:p>
    <w:p w14:paraId="12105A56" w14:textId="77777777" w:rsidR="00A47BAB" w:rsidRPr="004A6D47" w:rsidRDefault="00C505B1" w:rsidP="00A47BAB">
      <w:pPr>
        <w:pStyle w:val="Heading3"/>
        <w:rPr>
          <w:szCs w:val="14"/>
        </w:rPr>
      </w:pPr>
      <w:bookmarkStart w:id="23" w:name="_Toc227846959"/>
      <w:r>
        <w:t>2.1</w:t>
      </w:r>
      <w:r w:rsidR="00A47BAB" w:rsidRPr="00C24948">
        <w:t xml:space="preserve"> Expected impacts</w:t>
      </w:r>
      <w:bookmarkEnd w:id="23"/>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A47BAB" w:rsidRPr="00200D1C" w14:paraId="7E9F996D" w14:textId="77777777" w:rsidTr="008C003E">
        <w:trPr>
          <w:trHeight w:val="432"/>
        </w:trPr>
        <w:tc>
          <w:tcPr>
            <w:tcW w:w="8527" w:type="dxa"/>
            <w:shd w:val="clear" w:color="auto" w:fill="DDDDDD"/>
          </w:tcPr>
          <w:p w14:paraId="1866542D" w14:textId="77777777" w:rsidR="00A47BAB" w:rsidRPr="00B37F32" w:rsidRDefault="008C003E" w:rsidP="008C003E">
            <w:pPr>
              <w:autoSpaceDE w:val="0"/>
              <w:autoSpaceDN w:val="0"/>
              <w:adjustRightInd w:val="0"/>
              <w:spacing w:before="60" w:after="120" w:line="240" w:lineRule="auto"/>
              <w:rPr>
                <w:rFonts w:eastAsia="Times New Roman" w:cs="Arial"/>
                <w:i/>
                <w:iCs/>
                <w:sz w:val="18"/>
                <w:szCs w:val="18"/>
                <w:lang w:eastAsia="en-GB"/>
              </w:rPr>
            </w:pPr>
            <w:r>
              <w:rPr>
                <w:rFonts w:eastAsia="Times New Roman" w:cs="Arial"/>
                <w:b/>
                <w:bCs/>
                <w:sz w:val="18"/>
                <w:szCs w:val="18"/>
                <w:lang w:eastAsia="en-GB"/>
              </w:rPr>
              <w:t>Impact</w:t>
            </w:r>
          </w:p>
          <w:p w14:paraId="28B7FCC2" w14:textId="77777777" w:rsidR="00A47BAB" w:rsidRPr="00B37F32" w:rsidRDefault="00A47BAB" w:rsidP="008C003E">
            <w:pPr>
              <w:spacing w:after="60" w:line="240" w:lineRule="auto"/>
              <w:jc w:val="both"/>
              <w:rPr>
                <w:rFonts w:eastAsia="Times New Roman" w:cs="Arial"/>
                <w:i/>
                <w:iCs/>
                <w:sz w:val="16"/>
                <w:szCs w:val="16"/>
              </w:rPr>
            </w:pPr>
            <w:r w:rsidRPr="00B37F32">
              <w:rPr>
                <w:rFonts w:eastAsia="Times New Roman" w:cs="Arial"/>
                <w:i/>
                <w:iCs/>
                <w:sz w:val="16"/>
                <w:szCs w:val="16"/>
              </w:rPr>
              <w:t xml:space="preserve">Report on </w:t>
            </w:r>
            <w:r w:rsidRPr="00B37F32">
              <w:rPr>
                <w:rFonts w:eastAsia="Times New Roman" w:cs="Arial"/>
                <w:i/>
                <w:iCs/>
                <w:sz w:val="16"/>
                <w:szCs w:val="16"/>
                <w:u w:val="single"/>
              </w:rPr>
              <w:t>changes</w:t>
            </w:r>
            <w:r w:rsidRPr="00B37F32">
              <w:rPr>
                <w:rFonts w:eastAsia="Times New Roman" w:cs="Arial"/>
                <w:i/>
                <w:iCs/>
                <w:sz w:val="16"/>
                <w:szCs w:val="16"/>
              </w:rPr>
              <w:t xml:space="preserve"> to the expected impacts presented in your description of the action (DoA) (if any) and the effects on the project/need for adaptations.</w:t>
            </w:r>
          </w:p>
          <w:p w14:paraId="3568555D" w14:textId="1CA5F9B8" w:rsidR="00A47BAB" w:rsidRPr="00B37F32" w:rsidRDefault="00A47BAB" w:rsidP="008C003E">
            <w:pPr>
              <w:spacing w:after="120" w:line="240" w:lineRule="auto"/>
              <w:jc w:val="both"/>
              <w:rPr>
                <w:rFonts w:eastAsia="Times New Roman" w:cs="Arial"/>
                <w:i/>
                <w:iCs/>
                <w:sz w:val="16"/>
                <w:szCs w:val="16"/>
                <w:highlight w:val="green"/>
              </w:rPr>
            </w:pPr>
            <w:r w:rsidRPr="00CB68AD">
              <w:rPr>
                <w:rFonts w:eastAsia="Times New Roman" w:cs="Arial"/>
                <w:i/>
                <w:iCs/>
                <w:sz w:val="16"/>
                <w:szCs w:val="16"/>
              </w:rPr>
              <w:t xml:space="preserve">Confirm that you </w:t>
            </w:r>
            <w:r>
              <w:rPr>
                <w:rFonts w:eastAsia="Times New Roman" w:cs="Arial"/>
                <w:i/>
                <w:iCs/>
                <w:sz w:val="16"/>
                <w:szCs w:val="16"/>
              </w:rPr>
              <w:t xml:space="preserve">have </w:t>
            </w:r>
            <w:r w:rsidRPr="00CB68AD">
              <w:rPr>
                <w:rFonts w:eastAsia="Times New Roman" w:cs="Arial"/>
                <w:i/>
                <w:iCs/>
                <w:sz w:val="16"/>
                <w:szCs w:val="16"/>
              </w:rPr>
              <w:t>reported on the</w:t>
            </w:r>
            <w:r>
              <w:rPr>
                <w:rFonts w:eastAsia="Times New Roman" w:cs="Arial"/>
                <w:i/>
                <w:iCs/>
                <w:sz w:val="16"/>
                <w:szCs w:val="16"/>
              </w:rPr>
              <w:t xml:space="preserve"> </w:t>
            </w:r>
            <w:r w:rsidRPr="00604D98">
              <w:rPr>
                <w:rFonts w:eastAsia="Times New Roman" w:cs="Arial"/>
                <w:i/>
                <w:iCs/>
                <w:sz w:val="16"/>
                <w:szCs w:val="16"/>
              </w:rPr>
              <w:t>achieved key performance indicators (</w:t>
            </w:r>
            <w:r w:rsidR="00740D31">
              <w:rPr>
                <w:rFonts w:eastAsia="Times New Roman" w:cs="Arial"/>
                <w:i/>
                <w:iCs/>
                <w:sz w:val="16"/>
                <w:szCs w:val="16"/>
              </w:rPr>
              <w:t>KPIs</w:t>
            </w:r>
            <w:r w:rsidRPr="00604D98">
              <w:rPr>
                <w:rFonts w:eastAsia="Times New Roman" w:cs="Arial"/>
                <w:i/>
                <w:iCs/>
                <w:sz w:val="16"/>
                <w:szCs w:val="16"/>
              </w:rPr>
              <w:t xml:space="preserve">) </w:t>
            </w:r>
            <w:r w:rsidRPr="00CB68AD">
              <w:rPr>
                <w:rFonts w:eastAsia="Times New Roman" w:cs="Arial"/>
                <w:i/>
                <w:iCs/>
                <w:sz w:val="16"/>
                <w:szCs w:val="16"/>
              </w:rPr>
              <w:t xml:space="preserve">in the </w:t>
            </w:r>
            <w:hyperlink r:id="rId12" w:history="1">
              <w:r w:rsidRPr="00CB68AD">
                <w:rPr>
                  <w:rStyle w:val="Hyperlink"/>
                  <w:rFonts w:eastAsia="Times New Roman" w:cs="Arial"/>
                  <w:i/>
                  <w:iCs/>
                  <w:sz w:val="16"/>
                  <w:szCs w:val="16"/>
                </w:rPr>
                <w:t>LIFE KPI webtool</w:t>
              </w:r>
            </w:hyperlink>
            <w:r w:rsidRPr="00CB68AD">
              <w:rPr>
                <w:rFonts w:eastAsia="Times New Roman" w:cs="Arial"/>
                <w:i/>
                <w:iCs/>
                <w:sz w:val="16"/>
                <w:szCs w:val="16"/>
              </w:rPr>
              <w:t xml:space="preserve">. in line with the agreed schedule. </w:t>
            </w:r>
            <w:r w:rsidRPr="00CB68AD">
              <w:rPr>
                <w:rFonts w:eastAsia="Calibri" w:cs="Arial"/>
                <w:i/>
                <w:iCs/>
                <w:color w:val="4AA55B"/>
                <w:sz w:val="16"/>
                <w:szCs w:val="16"/>
              </w:rPr>
              <w:t xml:space="preserve">(n/a for Operating </w:t>
            </w:r>
            <w:r w:rsidRPr="00AF2ECC">
              <w:rPr>
                <w:rFonts w:eastAsia="Calibri" w:cs="Arial"/>
                <w:i/>
                <w:iCs/>
                <w:color w:val="4AA55B"/>
                <w:sz w:val="16"/>
                <w:szCs w:val="16"/>
              </w:rPr>
              <w:t>Grants</w:t>
            </w:r>
            <w:r w:rsidR="00AF2ECC" w:rsidRPr="00AF2ECC">
              <w:rPr>
                <w:rFonts w:eastAsia="Calibri" w:cs="Arial"/>
                <w:i/>
                <w:iCs/>
                <w:color w:val="4AA55B"/>
                <w:sz w:val="16"/>
                <w:szCs w:val="16"/>
              </w:rPr>
              <w:t>, PRE, TA-PP, TA-R</w:t>
            </w:r>
            <w:r w:rsidRPr="00AF2ECC">
              <w:rPr>
                <w:rFonts w:eastAsia="Calibri" w:cs="Arial"/>
                <w:i/>
                <w:iCs/>
                <w:color w:val="4AA55B"/>
                <w:sz w:val="16"/>
                <w:szCs w:val="16"/>
              </w:rPr>
              <w:t>)</w:t>
            </w:r>
          </w:p>
        </w:tc>
      </w:tr>
      <w:tr w:rsidR="00A47BAB" w:rsidRPr="00200D1C" w14:paraId="427134FD" w14:textId="77777777" w:rsidTr="008C003E">
        <w:trPr>
          <w:trHeight w:val="851"/>
        </w:trPr>
        <w:tc>
          <w:tcPr>
            <w:tcW w:w="8527" w:type="dxa"/>
            <w:shd w:val="clear" w:color="auto" w:fill="FFFFFF" w:themeFill="background1"/>
          </w:tcPr>
          <w:p w14:paraId="563B2D60" w14:textId="0C3E2C6A" w:rsidR="00C86523" w:rsidRPr="00C86523" w:rsidRDefault="00C86523" w:rsidP="00C86523">
            <w:pPr>
              <w:spacing w:before="120" w:after="120"/>
              <w:ind w:right="4"/>
              <w:jc w:val="both"/>
              <w:rPr>
                <w:rFonts w:eastAsia="Calibri" w:cs="Arial"/>
                <w:szCs w:val="20"/>
              </w:rPr>
            </w:pPr>
            <w:r w:rsidRPr="00C86523">
              <w:rPr>
                <w:rFonts w:eastAsia="Calibri" w:cs="Arial"/>
                <w:szCs w:val="20"/>
              </w:rPr>
              <w:t xml:space="preserve">No changes have been identified in the expected impacts of the project as described in the Description of the Action (DoA). The project continues to pursue the objectives, </w:t>
            </w:r>
            <w:r>
              <w:rPr>
                <w:rFonts w:eastAsia="Calibri" w:cs="Arial"/>
                <w:szCs w:val="20"/>
                <w:lang w:val="en-US"/>
              </w:rPr>
              <w:t xml:space="preserve">the </w:t>
            </w:r>
            <w:r w:rsidRPr="00C86523">
              <w:rPr>
                <w:rFonts w:eastAsia="Calibri" w:cs="Arial"/>
                <w:szCs w:val="20"/>
              </w:rPr>
              <w:t>results and</w:t>
            </w:r>
            <w:r>
              <w:rPr>
                <w:rFonts w:eastAsia="Calibri" w:cs="Arial"/>
                <w:szCs w:val="20"/>
              </w:rPr>
              <w:t xml:space="preserve"> the</w:t>
            </w:r>
            <w:r w:rsidRPr="00C86523">
              <w:rPr>
                <w:rFonts w:eastAsia="Calibri" w:cs="Arial"/>
                <w:szCs w:val="20"/>
              </w:rPr>
              <w:t xml:space="preserve"> targets set out in Annex 1 of the Grant Agreement.</w:t>
            </w:r>
          </w:p>
          <w:p w14:paraId="75E0E7F2" w14:textId="6E7CD4E0" w:rsidR="00C86523" w:rsidRPr="00C86523" w:rsidRDefault="00C86523" w:rsidP="00C86523">
            <w:pPr>
              <w:spacing w:before="120" w:after="120"/>
              <w:ind w:right="4"/>
              <w:jc w:val="both"/>
              <w:rPr>
                <w:rFonts w:eastAsia="Calibri" w:cs="Arial"/>
                <w:szCs w:val="20"/>
              </w:rPr>
            </w:pPr>
            <w:r w:rsidRPr="00C86523">
              <w:rPr>
                <w:rFonts w:eastAsia="Calibri" w:cs="Arial"/>
                <w:szCs w:val="20"/>
              </w:rPr>
              <w:t>The expected impacts of the project remain the mobilisation of investments in the energy renovation of municipal buildings, the development of a pipeline of renovation projects, and the strengthening of municipal capacity to plan and implement energy efficiency interventions through the establishment of a One-Stop-Shop support structure.</w:t>
            </w:r>
          </w:p>
          <w:p w14:paraId="336846CF" w14:textId="2C67CAFB" w:rsidR="00A47BAB" w:rsidRPr="00843D0B" w:rsidRDefault="00C86523" w:rsidP="00C86523">
            <w:pPr>
              <w:spacing w:before="120" w:after="120"/>
              <w:jc w:val="both"/>
              <w:rPr>
                <w:rFonts w:eastAsia="Times New Roman" w:cs="Arial"/>
                <w:szCs w:val="20"/>
                <w:lang w:val="en-US"/>
              </w:rPr>
            </w:pPr>
            <w:r w:rsidRPr="00C86523">
              <w:rPr>
                <w:rFonts w:eastAsia="Calibri" w:cs="Arial"/>
                <w:szCs w:val="20"/>
              </w:rPr>
              <w:t xml:space="preserve">The relevant key performance indicators, including those related to energy savings, renewable energy generation, greenhouse gas emission reductions and investment mobilisation, remain unchanged. </w:t>
            </w:r>
            <w:r>
              <w:rPr>
                <w:rFonts w:eastAsia="Calibri" w:cs="Arial"/>
                <w:szCs w:val="20"/>
              </w:rPr>
              <w:t>The r</w:t>
            </w:r>
            <w:r w:rsidRPr="00C86523">
              <w:rPr>
                <w:rFonts w:eastAsia="Calibri" w:cs="Arial"/>
                <w:szCs w:val="20"/>
              </w:rPr>
              <w:t>eporting on these indicators has been carried out through the LIFE KPI webtool in line with the agreed reporting schedule.</w:t>
            </w:r>
          </w:p>
        </w:tc>
      </w:tr>
    </w:tbl>
    <w:p w14:paraId="0C0A93D2" w14:textId="77777777" w:rsidR="00A47BAB" w:rsidRDefault="00A47BAB" w:rsidP="00A47BAB">
      <w:pPr>
        <w:spacing w:line="240" w:lineRule="auto"/>
        <w:rPr>
          <w:rFonts w:eastAsia="Times New Roman" w:cs="Times New Roman"/>
          <w:szCs w:val="24"/>
          <w:lang w:eastAsia="en-GB"/>
        </w:rPr>
      </w:pPr>
    </w:p>
    <w:p w14:paraId="74FC7CA7" w14:textId="77777777" w:rsidR="00A47BAB" w:rsidRDefault="00A47BAB" w:rsidP="00A47BAB">
      <w:r w:rsidRPr="008C003E">
        <w:rPr>
          <w:rFonts w:cs="Arial"/>
          <w:noProof/>
          <w:color w:val="B5B5B5"/>
          <w:sz w:val="16"/>
          <w:szCs w:val="16"/>
        </w:rPr>
        <w:t>#@SUS-CON-SC@#</w:t>
      </w:r>
    </w:p>
    <w:p w14:paraId="15471831" w14:textId="77777777" w:rsidR="00A47BAB" w:rsidRPr="00EB7BE5" w:rsidRDefault="00C505B1" w:rsidP="00A47BAB">
      <w:pPr>
        <w:pStyle w:val="Heading3"/>
        <w:rPr>
          <w:szCs w:val="14"/>
        </w:rPr>
      </w:pPr>
      <w:bookmarkStart w:id="24" w:name="_Toc495508581"/>
      <w:bookmarkStart w:id="25" w:name="_Toc495512530"/>
      <w:bookmarkStart w:id="26" w:name="_Toc227846960"/>
      <w:r w:rsidRPr="00EB7BE5">
        <w:t>2.</w:t>
      </w:r>
      <w:r w:rsidR="00C55000" w:rsidRPr="00EB7BE5">
        <w:t>2</w:t>
      </w:r>
      <w:r w:rsidR="00A47BAB" w:rsidRPr="00EB7BE5">
        <w:t xml:space="preserve"> Sustainability</w:t>
      </w:r>
      <w:bookmarkEnd w:id="24"/>
      <w:bookmarkEnd w:id="25"/>
      <w:r w:rsidR="00A47BAB" w:rsidRPr="00EB7BE5">
        <w:t>, replication and exploitation</w:t>
      </w:r>
      <w:bookmarkEnd w:id="26"/>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A47BAB" w:rsidRPr="003120F8" w14:paraId="4B123653" w14:textId="77777777" w:rsidTr="008C003E">
        <w:trPr>
          <w:trHeight w:val="432"/>
        </w:trPr>
        <w:tc>
          <w:tcPr>
            <w:tcW w:w="8527" w:type="dxa"/>
            <w:shd w:val="clear" w:color="auto" w:fill="D9D9D9" w:themeFill="background1" w:themeFillShade="D9"/>
          </w:tcPr>
          <w:p w14:paraId="6377DDA6" w14:textId="77777777" w:rsidR="00A47BAB" w:rsidRPr="00EB7BE5" w:rsidRDefault="00A47BAB" w:rsidP="008C003E">
            <w:pPr>
              <w:spacing w:before="120" w:after="120" w:line="240" w:lineRule="auto"/>
              <w:rPr>
                <w:rFonts w:eastAsia="Times New Roman" w:cs="Arial"/>
                <w:b/>
                <w:bCs/>
                <w:color w:val="595959"/>
                <w:sz w:val="18"/>
                <w:szCs w:val="18"/>
                <w:lang w:eastAsia="en-GB"/>
              </w:rPr>
            </w:pPr>
            <w:r w:rsidRPr="00EB7BE5">
              <w:rPr>
                <w:rFonts w:eastAsia="Times New Roman" w:cs="Arial"/>
                <w:b/>
                <w:bCs/>
                <w:color w:val="595959"/>
                <w:sz w:val="18"/>
                <w:szCs w:val="18"/>
                <w:lang w:eastAsia="en-GB"/>
              </w:rPr>
              <w:t>Sustainability, replication and exploitation</w:t>
            </w:r>
            <w:r w:rsidR="00C55000" w:rsidRPr="00EB7BE5">
              <w:rPr>
                <w:rFonts w:eastAsia="Times New Roman" w:cs="Arial"/>
                <w:b/>
                <w:bCs/>
                <w:color w:val="595959"/>
                <w:sz w:val="18"/>
                <w:szCs w:val="18"/>
                <w:lang w:eastAsia="en-GB"/>
              </w:rPr>
              <w:t xml:space="preserve"> </w:t>
            </w:r>
            <w:r w:rsidR="00C55000" w:rsidRPr="00EB7BE5">
              <w:rPr>
                <w:rFonts w:eastAsia="Calibri" w:cs="Arial"/>
                <w:i/>
                <w:iCs/>
                <w:color w:val="4AA55B"/>
                <w:sz w:val="16"/>
                <w:szCs w:val="16"/>
              </w:rPr>
              <w:t>(n/a for Operating Grants)</w:t>
            </w:r>
          </w:p>
          <w:p w14:paraId="087F1EF2" w14:textId="77777777" w:rsidR="00A47BAB" w:rsidRPr="00EB7BE5" w:rsidRDefault="00A47BAB" w:rsidP="008C003E">
            <w:pPr>
              <w:spacing w:after="60" w:line="240" w:lineRule="auto"/>
              <w:jc w:val="both"/>
              <w:rPr>
                <w:rFonts w:eastAsia="Times New Roman" w:cs="Arial"/>
                <w:i/>
                <w:iCs/>
                <w:color w:val="595959"/>
                <w:sz w:val="16"/>
                <w:szCs w:val="16"/>
                <w:lang w:eastAsia="en-GB"/>
              </w:rPr>
            </w:pPr>
            <w:r w:rsidRPr="00EB7BE5">
              <w:rPr>
                <w:rFonts w:eastAsia="Times New Roman" w:cs="Arial"/>
                <w:i/>
                <w:iCs/>
                <w:color w:val="595959"/>
                <w:sz w:val="16"/>
                <w:szCs w:val="16"/>
                <w:lang w:eastAsia="en-GB"/>
              </w:rPr>
              <w:t xml:space="preserve">Report </w:t>
            </w:r>
            <w:r w:rsidRPr="00487B13">
              <w:rPr>
                <w:rFonts w:eastAsia="Times New Roman" w:cs="Arial"/>
                <w:i/>
                <w:iCs/>
                <w:color w:val="595959"/>
                <w:sz w:val="16"/>
                <w:szCs w:val="16"/>
                <w:highlight w:val="yellow"/>
                <w:lang w:eastAsia="en-GB"/>
              </w:rPr>
              <w:t xml:space="preserve">on </w:t>
            </w:r>
            <w:r w:rsidRPr="00487B13">
              <w:rPr>
                <w:rFonts w:eastAsia="Times New Roman" w:cs="Arial"/>
                <w:i/>
                <w:iCs/>
                <w:color w:val="595959"/>
                <w:sz w:val="16"/>
                <w:szCs w:val="16"/>
                <w:highlight w:val="yellow"/>
                <w:u w:val="single"/>
                <w:lang w:eastAsia="en-GB"/>
              </w:rPr>
              <w:t>changes</w:t>
            </w:r>
            <w:r w:rsidRPr="00EB7BE5">
              <w:rPr>
                <w:rFonts w:eastAsia="Times New Roman" w:cs="Arial"/>
                <w:i/>
                <w:iCs/>
                <w:color w:val="595959"/>
                <w:sz w:val="16"/>
                <w:szCs w:val="16"/>
                <w:lang w:eastAsia="en-GB"/>
              </w:rPr>
              <w:t xml:space="preserve"> in your sustainability analysis/strategy (if any). </w:t>
            </w:r>
          </w:p>
          <w:p w14:paraId="0FD2E423" w14:textId="77777777" w:rsidR="00A47BAB" w:rsidRPr="00EB7BE5" w:rsidRDefault="00A47BAB" w:rsidP="008C003E">
            <w:pPr>
              <w:spacing w:after="60" w:line="240" w:lineRule="auto"/>
              <w:jc w:val="both"/>
              <w:rPr>
                <w:rFonts w:eastAsia="Times New Roman" w:cs="Arial"/>
                <w:i/>
                <w:iCs/>
                <w:color w:val="595959"/>
                <w:sz w:val="16"/>
                <w:szCs w:val="16"/>
                <w:lang w:eastAsia="en-GB"/>
              </w:rPr>
            </w:pPr>
            <w:r w:rsidRPr="00EB7BE5">
              <w:rPr>
                <w:rFonts w:eastAsia="Times New Roman" w:cs="Arial"/>
                <w:i/>
                <w:iCs/>
                <w:color w:val="595959"/>
                <w:sz w:val="16"/>
                <w:szCs w:val="16"/>
                <w:lang w:eastAsia="en-GB"/>
              </w:rPr>
              <w:t xml:space="preserve">Briefly describe the key results of your </w:t>
            </w:r>
            <w:r w:rsidRPr="00AF2ECC">
              <w:rPr>
                <w:rFonts w:eastAsia="Times New Roman" w:cs="Arial"/>
                <w:i/>
                <w:iCs/>
                <w:color w:val="595959"/>
                <w:sz w:val="16"/>
                <w:szCs w:val="16"/>
                <w:lang w:eastAsia="en-GB"/>
              </w:rPr>
              <w:t>project</w:t>
            </w:r>
            <w:r w:rsidR="00AF2ECC" w:rsidRPr="00AF2ECC">
              <w:rPr>
                <w:rFonts w:eastAsia="Times New Roman" w:cs="Arial"/>
                <w:i/>
                <w:iCs/>
                <w:color w:val="595959"/>
                <w:sz w:val="16"/>
                <w:szCs w:val="16"/>
                <w:lang w:eastAsia="en-GB"/>
              </w:rPr>
              <w:t xml:space="preserve"> that will have a long-lasting effect, or will be replicated or exploited</w:t>
            </w:r>
            <w:r w:rsidRPr="00EB7BE5">
              <w:rPr>
                <w:rFonts w:eastAsia="Times New Roman" w:cs="Arial"/>
                <w:i/>
                <w:iCs/>
                <w:color w:val="595959"/>
                <w:sz w:val="16"/>
                <w:szCs w:val="16"/>
                <w:lang w:eastAsia="en-GB"/>
              </w:rPr>
              <w:t>. Highlight those sectors or places with the highest potential for replicating the project’s results. Highlight any public or private actors likely to up-scale the project’s results and estimate the required investments or financial resources (if any) that would be necessary to up-scale. Describe the coverage and size of the target market.</w:t>
            </w:r>
          </w:p>
          <w:p w14:paraId="2886CB5D" w14:textId="77777777" w:rsidR="00A47BAB" w:rsidRPr="00EB7BE5" w:rsidRDefault="00A47BAB" w:rsidP="008C003E">
            <w:pPr>
              <w:spacing w:after="60" w:line="240" w:lineRule="auto"/>
              <w:jc w:val="both"/>
              <w:rPr>
                <w:rFonts w:eastAsia="Times New Roman" w:cs="Arial"/>
                <w:i/>
                <w:iCs/>
                <w:sz w:val="16"/>
                <w:szCs w:val="16"/>
                <w:lang w:eastAsia="en-GB"/>
              </w:rPr>
            </w:pPr>
            <w:r w:rsidRPr="00EB7BE5">
              <w:rPr>
                <w:rFonts w:eastAsia="Times New Roman" w:cs="Arial"/>
                <w:i/>
                <w:iCs/>
                <w:sz w:val="16"/>
                <w:szCs w:val="16"/>
                <w:lang w:eastAsia="en-GB"/>
              </w:rPr>
              <w:t xml:space="preserve">For the Final Report, describe the follow-up of the project after the end of the EU grant. How will the results be used or further developed. </w:t>
            </w:r>
            <w:r w:rsidRPr="00EB7BE5">
              <w:rPr>
                <w:rFonts w:eastAsia="Times New Roman" w:cs="Arial"/>
                <w:i/>
                <w:iCs/>
                <w:color w:val="595959"/>
                <w:sz w:val="16"/>
                <w:szCs w:val="16"/>
                <w:lang w:eastAsia="en-GB"/>
              </w:rPr>
              <w:t xml:space="preserve">Report on the status and content of your [After LIFE conservation plan] [Business plan] [Exploitation plan] </w:t>
            </w:r>
            <w:r w:rsidRPr="00EB7BE5">
              <w:rPr>
                <w:rFonts w:eastAsia="Times New Roman" w:cs="Arial"/>
                <w:i/>
                <w:iCs/>
                <w:sz w:val="16"/>
                <w:szCs w:val="16"/>
                <w:lang w:eastAsia="en-GB"/>
              </w:rPr>
              <w:t xml:space="preserve">to ensure sustainability of results and long-term impact. </w:t>
            </w:r>
          </w:p>
          <w:p w14:paraId="2EFA155C" w14:textId="7505763D" w:rsidR="00A47BAB" w:rsidRPr="00EB7BE5" w:rsidRDefault="00A47BAB" w:rsidP="00740D31">
            <w:pPr>
              <w:spacing w:after="120" w:line="240" w:lineRule="auto"/>
              <w:jc w:val="both"/>
              <w:rPr>
                <w:rFonts w:eastAsia="Times New Roman" w:cs="Arial"/>
                <w:i/>
                <w:iCs/>
                <w:sz w:val="16"/>
                <w:szCs w:val="16"/>
                <w:lang w:eastAsia="en-GB"/>
              </w:rPr>
            </w:pPr>
          </w:p>
        </w:tc>
      </w:tr>
      <w:tr w:rsidR="00A47BAB" w:rsidRPr="00843D0B" w14:paraId="14A3A332" w14:textId="77777777" w:rsidTr="008C003E">
        <w:trPr>
          <w:trHeight w:val="851"/>
        </w:trPr>
        <w:tc>
          <w:tcPr>
            <w:tcW w:w="8527" w:type="dxa"/>
            <w:shd w:val="clear" w:color="auto" w:fill="FFFFFF" w:themeFill="background1"/>
          </w:tcPr>
          <w:p w14:paraId="6698BF65" w14:textId="67E4CD57" w:rsidR="003B18FF" w:rsidRDefault="003B18FF" w:rsidP="008B7631">
            <w:pPr>
              <w:pStyle w:val="Heading4"/>
            </w:pPr>
            <w:bookmarkStart w:id="27" w:name="_Toc227846961"/>
            <w:r w:rsidRPr="003B18FF">
              <w:rPr>
                <w:lang w:val="en-US"/>
              </w:rPr>
              <w:t xml:space="preserve">2.2.1 </w:t>
            </w:r>
            <w:r>
              <w:t>Changes in strategy</w:t>
            </w:r>
            <w:bookmarkEnd w:id="27"/>
          </w:p>
          <w:p w14:paraId="0331C2CC" w14:textId="6FF70E9D" w:rsidR="003B18FF" w:rsidRPr="003B18FF" w:rsidRDefault="003B18FF" w:rsidP="003B18FF">
            <w:pPr>
              <w:jc w:val="both"/>
              <w:rPr>
                <w:lang w:val="en-US"/>
              </w:rPr>
            </w:pPr>
            <w:r>
              <w:rPr>
                <w:lang w:val="en-US"/>
              </w:rPr>
              <w:t xml:space="preserve">There </w:t>
            </w:r>
            <w:r w:rsidRPr="003B18FF">
              <w:rPr>
                <w:lang w:val="en-US"/>
              </w:rPr>
              <w:t>have</w:t>
            </w:r>
            <w:r>
              <w:rPr>
                <w:lang w:val="en-US"/>
              </w:rPr>
              <w:t xml:space="preserve"> n</w:t>
            </w:r>
            <w:r w:rsidRPr="003B18FF">
              <w:rPr>
                <w:lang w:val="en-US"/>
              </w:rPr>
              <w:t>o substantial changes been introduced to the project’s sustainability, replication and exploitation strategy during the present reporting period. The overall strategic approach remains consistent with Annex 1 of the Grant Agreement</w:t>
            </w:r>
            <w:r>
              <w:rPr>
                <w:lang w:val="en-US"/>
              </w:rPr>
              <w:t>. I</w:t>
            </w:r>
            <w:r w:rsidRPr="003B18FF">
              <w:rPr>
                <w:lang w:val="en-US"/>
              </w:rPr>
              <w:t>n particular</w:t>
            </w:r>
            <w:r>
              <w:rPr>
                <w:lang w:val="en-US"/>
              </w:rPr>
              <w:t xml:space="preserve"> it is consistent</w:t>
            </w:r>
            <w:r w:rsidRPr="003B18FF">
              <w:rPr>
                <w:lang w:val="en-US"/>
              </w:rPr>
              <w:t xml:space="preserve"> with Work Package 6, which foresees the development of a long-term sustainability framework for the RenoInGR One-Stop-Shop</w:t>
            </w:r>
            <w:r>
              <w:rPr>
                <w:lang w:val="en-US"/>
              </w:rPr>
              <w:t xml:space="preserve">, </w:t>
            </w:r>
            <w:r w:rsidRPr="003B18FF">
              <w:rPr>
                <w:lang w:val="en-US"/>
              </w:rPr>
              <w:t>the preparation of replication activities in Cyprus, and the elaboration of an exploitation strategy for the project results. At this stage of implementation, the project continues to follow the planned direction set out in the Description of the Action, while progressively advancing the preparatory work needed to support these objectives.</w:t>
            </w:r>
          </w:p>
          <w:p w14:paraId="343DFBFB" w14:textId="10F2B654" w:rsidR="003B18FF" w:rsidRPr="002E0D16" w:rsidRDefault="003B18FF" w:rsidP="000725A4">
            <w:pPr>
              <w:jc w:val="both"/>
              <w:rPr>
                <w:lang w:val="en-US"/>
              </w:rPr>
            </w:pPr>
            <w:r w:rsidRPr="003B18FF">
              <w:rPr>
                <w:lang w:val="en-US"/>
              </w:rPr>
              <w:t xml:space="preserve">As this report covers the first reporting period up to month 18, </w:t>
            </w:r>
            <w:r>
              <w:rPr>
                <w:lang w:val="en-US"/>
              </w:rPr>
              <w:t>most</w:t>
            </w:r>
            <w:r w:rsidRPr="003B18FF">
              <w:rPr>
                <w:lang w:val="en-US"/>
              </w:rPr>
              <w:t xml:space="preserve"> of the activities and deliverables related to sustainability, replication and exploitation are still at an intermediate stage and are scheduled to mature further in the subsequent phases of the project. In particular, the 10-year OSS Business Plan, the Replication Plan in Cyprus, the additional replication activities and the Exploitation Roadmap are foreseen for later stages of implementation. Therefore, no revision of the underlying strategy is considered necessary at this point. The </w:t>
            </w:r>
            <w:r w:rsidRPr="003B18FF">
              <w:rPr>
                <w:lang w:val="en-US"/>
              </w:rPr>
              <w:lastRenderedPageBreak/>
              <w:t xml:space="preserve">project maintains the same intended pathway as originally described, namely to ensure the long-term viability of the OSS, </w:t>
            </w:r>
            <w:r>
              <w:rPr>
                <w:lang w:val="en-US"/>
              </w:rPr>
              <w:t xml:space="preserve">to </w:t>
            </w:r>
            <w:r w:rsidRPr="003B18FF">
              <w:rPr>
                <w:lang w:val="en-US"/>
              </w:rPr>
              <w:t xml:space="preserve">support the transferability of the developed model to other geographical contexts, and </w:t>
            </w:r>
            <w:r>
              <w:rPr>
                <w:lang w:val="en-US"/>
              </w:rPr>
              <w:t xml:space="preserve">to </w:t>
            </w:r>
            <w:r w:rsidRPr="003B18FF">
              <w:rPr>
                <w:lang w:val="en-US"/>
              </w:rPr>
              <w:t>maximise the future use and value of the key project results.</w:t>
            </w:r>
          </w:p>
          <w:p w14:paraId="4C7F3E96" w14:textId="0D49424D" w:rsidR="00843D0B" w:rsidRPr="001E5CD5" w:rsidRDefault="001E5CD5" w:rsidP="008B7631">
            <w:pPr>
              <w:pStyle w:val="Heading4"/>
              <w:rPr>
                <w:rFonts w:eastAsia="Calibri"/>
                <w:lang w:val="en-US"/>
              </w:rPr>
            </w:pPr>
            <w:bookmarkStart w:id="28" w:name="_Toc227846962"/>
            <w:r>
              <w:rPr>
                <w:rFonts w:eastAsia="Calibri"/>
              </w:rPr>
              <w:t xml:space="preserve">2.2.2 </w:t>
            </w:r>
            <w:r w:rsidR="00843D0B" w:rsidRPr="00843D0B">
              <w:rPr>
                <w:rFonts w:eastAsia="Calibri"/>
              </w:rPr>
              <w:t>Sustainability</w:t>
            </w:r>
            <w:r w:rsidR="00843D0B" w:rsidRPr="001E5CD5">
              <w:rPr>
                <w:rFonts w:eastAsia="Calibri"/>
                <w:lang w:val="en-US"/>
              </w:rPr>
              <w:t xml:space="preserve"> </w:t>
            </w:r>
            <w:r w:rsidR="00843D0B" w:rsidRPr="00843D0B">
              <w:rPr>
                <w:rFonts w:eastAsia="Calibri"/>
              </w:rPr>
              <w:t>of</w:t>
            </w:r>
            <w:r w:rsidR="00843D0B" w:rsidRPr="001E5CD5">
              <w:rPr>
                <w:rFonts w:eastAsia="Calibri"/>
                <w:lang w:val="en-US"/>
              </w:rPr>
              <w:t xml:space="preserve"> </w:t>
            </w:r>
            <w:r w:rsidR="00843D0B" w:rsidRPr="00843D0B">
              <w:rPr>
                <w:rFonts w:eastAsia="Calibri"/>
              </w:rPr>
              <w:t>project</w:t>
            </w:r>
            <w:r w:rsidR="00843D0B" w:rsidRPr="001E5CD5">
              <w:rPr>
                <w:rFonts w:eastAsia="Calibri"/>
                <w:lang w:val="en-US"/>
              </w:rPr>
              <w:t xml:space="preserve"> </w:t>
            </w:r>
            <w:r w:rsidR="00843D0B" w:rsidRPr="00843D0B">
              <w:rPr>
                <w:rFonts w:eastAsia="Calibri"/>
              </w:rPr>
              <w:t>results</w:t>
            </w:r>
            <w:bookmarkEnd w:id="28"/>
          </w:p>
          <w:p w14:paraId="4A6E9606" w14:textId="0CDEACC2" w:rsidR="001E5CD5" w:rsidRPr="001E5CD5" w:rsidRDefault="001E5CD5" w:rsidP="00980F10">
            <w:pPr>
              <w:spacing w:before="120" w:after="120"/>
              <w:ind w:right="4"/>
              <w:jc w:val="both"/>
              <w:rPr>
                <w:rFonts w:eastAsia="Calibri" w:cs="Arial"/>
                <w:szCs w:val="20"/>
                <w:lang w:val="en-US"/>
              </w:rPr>
            </w:pPr>
            <w:r w:rsidRPr="001E5CD5">
              <w:rPr>
                <w:rFonts w:eastAsia="Calibri" w:cs="Arial"/>
                <w:szCs w:val="20"/>
                <w:lang w:val="en-US"/>
              </w:rPr>
              <w:t xml:space="preserve">The sustainability of the RenoInGR project results is closely linked to the long-term value and continued use of the One-Stop-Shop model, the digital platform, the integrated service packages and the practical support tools developed through the project. These results are designed </w:t>
            </w:r>
            <w:r w:rsidR="00160A7A">
              <w:rPr>
                <w:rFonts w:eastAsia="Calibri" w:cs="Arial"/>
                <w:szCs w:val="20"/>
                <w:lang w:val="en-US"/>
              </w:rPr>
              <w:t>for</w:t>
            </w:r>
            <w:r w:rsidRPr="001E5CD5">
              <w:rPr>
                <w:rFonts w:eastAsia="Calibri" w:cs="Arial"/>
                <w:szCs w:val="20"/>
                <w:lang w:val="en-US"/>
              </w:rPr>
              <w:t xml:space="preserve"> structural and continuing needs of Greek municipalities and regions, particularly small and medium-sized municipalities, islands and mountainous areas, which often face persistent limitations in human, technical and financial capacity for the preparation of building renovation projects. In this sense, the project results are not limited to one-off outputs for the duration of the action, but are intended to establish a lasting support framework that can continue to facilitate municipal building renovation activities beyond the project lifetime.</w:t>
            </w:r>
          </w:p>
          <w:p w14:paraId="76D0D1FF" w14:textId="694AAA28" w:rsidR="001E5CD5" w:rsidRPr="00160A7A" w:rsidRDefault="001E5CD5" w:rsidP="00980F10">
            <w:pPr>
              <w:spacing w:before="120" w:after="120"/>
              <w:ind w:right="4"/>
              <w:jc w:val="both"/>
              <w:rPr>
                <w:rFonts w:eastAsia="Calibri" w:cs="Arial"/>
                <w:szCs w:val="20"/>
                <w:lang w:val="en-US"/>
              </w:rPr>
            </w:pPr>
            <w:r w:rsidRPr="001E5CD5">
              <w:rPr>
                <w:rFonts w:eastAsia="Calibri" w:cs="Arial"/>
                <w:szCs w:val="20"/>
                <w:lang w:val="en-US"/>
              </w:rPr>
              <w:t xml:space="preserve">A key element of this sustainability concerns the continued availability and usability of the core RenoInGR outputs, </w:t>
            </w:r>
            <w:r w:rsidR="00160A7A">
              <w:rPr>
                <w:rFonts w:eastAsia="Calibri" w:cs="Arial"/>
                <w:szCs w:val="20"/>
                <w:lang w:val="en-US"/>
              </w:rPr>
              <w:t>such as</w:t>
            </w:r>
            <w:r w:rsidRPr="001E5CD5">
              <w:rPr>
                <w:rFonts w:eastAsia="Calibri" w:cs="Arial"/>
                <w:szCs w:val="20"/>
                <w:lang w:val="en-US"/>
              </w:rPr>
              <w:t xml:space="preserve"> the OSS operational model, the guidance materials, the support services, the digital platform and the technical, financial and procedural tools </w:t>
            </w:r>
            <w:r w:rsidR="00160A7A">
              <w:rPr>
                <w:rFonts w:eastAsia="Calibri" w:cs="Arial"/>
                <w:szCs w:val="20"/>
                <w:lang w:val="en-US"/>
              </w:rPr>
              <w:t xml:space="preserve">which will be </w:t>
            </w:r>
            <w:r w:rsidRPr="001E5CD5">
              <w:rPr>
                <w:rFonts w:eastAsia="Calibri" w:cs="Arial"/>
                <w:szCs w:val="20"/>
                <w:lang w:val="en-US"/>
              </w:rPr>
              <w:t>developed for municipalities. These results are expected to remain relevant after the end of the EU grant, since they respond to long-term barriers already identified in the Greek municipal context</w:t>
            </w:r>
            <w:r w:rsidR="00160A7A">
              <w:rPr>
                <w:rFonts w:eastAsia="Calibri" w:cs="Arial"/>
                <w:szCs w:val="20"/>
                <w:lang w:val="en-US"/>
              </w:rPr>
              <w:t>. Some of them are</w:t>
            </w:r>
            <w:r w:rsidRPr="001E5CD5">
              <w:rPr>
                <w:rFonts w:eastAsia="Calibri" w:cs="Arial"/>
                <w:szCs w:val="20"/>
                <w:lang w:val="en-US"/>
              </w:rPr>
              <w:t xml:space="preserve"> limited internal capacity, fragmented information, insufficient technical preparation and difficulties in accessing suitable financing and implementation pathways for renovation projects. Their sustainability therefore depends not only on the intrinsic usefulness of the outputs, but also on the ability to embed them in an operational structure capable of maintaining and delivering these services over time.</w:t>
            </w:r>
          </w:p>
          <w:p w14:paraId="7A1B2021" w14:textId="40B579CC" w:rsidR="001E5CD5" w:rsidRPr="001E5CD5" w:rsidRDefault="001E5CD5" w:rsidP="00980F10">
            <w:pPr>
              <w:spacing w:before="120" w:after="120"/>
              <w:ind w:right="4"/>
              <w:jc w:val="both"/>
              <w:rPr>
                <w:rFonts w:eastAsia="Calibri" w:cs="Arial"/>
                <w:szCs w:val="20"/>
                <w:lang w:val="en-US"/>
              </w:rPr>
            </w:pPr>
            <w:r w:rsidRPr="001E5CD5">
              <w:rPr>
                <w:rFonts w:eastAsia="Calibri" w:cs="Arial"/>
                <w:szCs w:val="20"/>
                <w:lang w:val="en-US"/>
              </w:rPr>
              <w:t xml:space="preserve">At the same time, the project recognises that the long-term sustainability of the OSS cannot be understood only in technical terms. It also depends on a set of economic, legal, institutional and market-related conditions that will determine whether the OSS can operate as a viable and durable support structure after project completion. In particular, the sustainability of the model requires further assessment of the economic conditions under which </w:t>
            </w:r>
            <w:r w:rsidR="00160A7A">
              <w:rPr>
                <w:rFonts w:eastAsia="Calibri" w:cs="Arial"/>
                <w:szCs w:val="20"/>
                <w:lang w:val="en-US"/>
              </w:rPr>
              <w:t>it</w:t>
            </w:r>
            <w:r w:rsidRPr="001E5CD5">
              <w:rPr>
                <w:rFonts w:eastAsia="Calibri" w:cs="Arial"/>
                <w:szCs w:val="20"/>
                <w:lang w:val="en-US"/>
              </w:rPr>
              <w:t xml:space="preserve"> could function, the level and type of demand that may realistically emerge from municipalities and other target users, the appropriate legal and organisational form of the structure, and the broader regulatory and administrative framework within which such an entity could operate. These aspects are particularly important because they affect not only the formal establishment of the OSS in the longer term, but also the definition of its service model, </w:t>
            </w:r>
            <w:r w:rsidR="00160A7A">
              <w:rPr>
                <w:rFonts w:eastAsia="Calibri" w:cs="Arial"/>
                <w:szCs w:val="20"/>
                <w:lang w:val="en-US"/>
              </w:rPr>
              <w:t xml:space="preserve">the </w:t>
            </w:r>
            <w:r w:rsidRPr="001E5CD5">
              <w:rPr>
                <w:rFonts w:eastAsia="Calibri" w:cs="Arial"/>
                <w:szCs w:val="20"/>
                <w:lang w:val="en-US"/>
              </w:rPr>
              <w:t xml:space="preserve">resource needs, </w:t>
            </w:r>
            <w:r w:rsidR="00160A7A">
              <w:rPr>
                <w:rFonts w:eastAsia="Calibri" w:cs="Arial"/>
                <w:szCs w:val="20"/>
                <w:lang w:val="en-US"/>
              </w:rPr>
              <w:t xml:space="preserve">the </w:t>
            </w:r>
            <w:r w:rsidRPr="001E5CD5">
              <w:rPr>
                <w:rFonts w:eastAsia="Calibri" w:cs="Arial"/>
                <w:szCs w:val="20"/>
                <w:lang w:val="en-US"/>
              </w:rPr>
              <w:t>governance arrangements and potential revenue or support mechanisms.</w:t>
            </w:r>
          </w:p>
          <w:p w14:paraId="668C06E2" w14:textId="051AFE48" w:rsidR="001E5CD5" w:rsidRPr="001E5CD5" w:rsidRDefault="001E5CD5" w:rsidP="00980F10">
            <w:pPr>
              <w:spacing w:before="120" w:after="120"/>
              <w:jc w:val="both"/>
              <w:rPr>
                <w:rFonts w:eastAsia="Calibri" w:cs="Arial"/>
                <w:szCs w:val="20"/>
                <w:lang w:val="en-US"/>
              </w:rPr>
            </w:pPr>
            <w:r w:rsidRPr="001E5CD5">
              <w:rPr>
                <w:rFonts w:eastAsia="Calibri" w:cs="Arial"/>
                <w:szCs w:val="20"/>
                <w:lang w:val="en-US"/>
              </w:rPr>
              <w:t>For this reason, the long-term sustainability approach of the project includes not only the development of useful services and tools, but also the progressive elaboration of the conditions required for their continuation beyond the project lifetime. This work is foreseen within the project through the preparation of the OSS 10-year Business Plan and the broader activities under Work Package 6, in coordination with the governance-related work carried out under Work Package 2. At the current interim stage, these elements are still under development and</w:t>
            </w:r>
            <w:r w:rsidR="00160A7A">
              <w:rPr>
                <w:rFonts w:eastAsia="Calibri" w:cs="Arial"/>
                <w:szCs w:val="20"/>
                <w:lang w:val="en-US"/>
              </w:rPr>
              <w:t xml:space="preserve"> </w:t>
            </w:r>
            <w:r w:rsidR="00160A7A" w:rsidRPr="001E5CD5">
              <w:rPr>
                <w:rFonts w:eastAsia="Calibri" w:cs="Arial"/>
                <w:szCs w:val="20"/>
                <w:lang w:val="en-US"/>
              </w:rPr>
              <w:t>is required</w:t>
            </w:r>
            <w:r w:rsidRPr="001E5CD5">
              <w:rPr>
                <w:rFonts w:eastAsia="Calibri" w:cs="Arial"/>
                <w:szCs w:val="20"/>
                <w:lang w:val="en-US"/>
              </w:rPr>
              <w:t xml:space="preserve"> further analysis in order to define a realistic long-term model. Nevertheless, the strategic direction remains unchanged: the project aims to ensure that the RenoInGR OSS evolves into a sustainable support structure with lasting value for municipalities and regions, capable of continuing to support the development of municipal building renovation projects after the end of LIFE funding.</w:t>
            </w:r>
          </w:p>
          <w:p w14:paraId="2FDC4E5C" w14:textId="199F228F" w:rsidR="00843D0B" w:rsidRPr="001E5CD5" w:rsidRDefault="00874701" w:rsidP="008B7631">
            <w:pPr>
              <w:pStyle w:val="Heading4"/>
              <w:rPr>
                <w:lang w:val="en-US"/>
              </w:rPr>
            </w:pPr>
            <w:bookmarkStart w:id="29" w:name="_Toc227846963"/>
            <w:r>
              <w:t xml:space="preserve">2.2.3 </w:t>
            </w:r>
            <w:r w:rsidR="00843D0B" w:rsidRPr="00843D0B">
              <w:t>Replication</w:t>
            </w:r>
            <w:r w:rsidR="00843D0B" w:rsidRPr="001E5CD5">
              <w:rPr>
                <w:lang w:val="en-US"/>
              </w:rPr>
              <w:t xml:space="preserve"> potential</w:t>
            </w:r>
            <w:bookmarkEnd w:id="29"/>
          </w:p>
          <w:p w14:paraId="7BC21149" w14:textId="03B53D36" w:rsidR="00874701" w:rsidRPr="00874701" w:rsidRDefault="00874701" w:rsidP="00980F10">
            <w:pPr>
              <w:spacing w:before="120" w:after="120"/>
              <w:jc w:val="both"/>
              <w:rPr>
                <w:rFonts w:eastAsia="Times New Roman" w:cs="Arial"/>
                <w:szCs w:val="20"/>
                <w:lang w:val="en-US"/>
              </w:rPr>
            </w:pPr>
            <w:r w:rsidRPr="00874701">
              <w:rPr>
                <w:rFonts w:eastAsia="Times New Roman" w:cs="Arial"/>
                <w:szCs w:val="20"/>
                <w:lang w:val="en-US"/>
              </w:rPr>
              <w:t xml:space="preserve">The replication potential of the RenoInGR project is considered strong, as </w:t>
            </w:r>
            <w:r w:rsidR="00D80530">
              <w:rPr>
                <w:rFonts w:eastAsia="Times New Roman" w:cs="Arial"/>
                <w:szCs w:val="20"/>
                <w:lang w:val="en-US"/>
              </w:rPr>
              <w:t>all the aspects</w:t>
            </w:r>
            <w:r w:rsidRPr="00874701">
              <w:rPr>
                <w:rFonts w:eastAsia="Times New Roman" w:cs="Arial"/>
                <w:szCs w:val="20"/>
                <w:lang w:val="en-US"/>
              </w:rPr>
              <w:t xml:space="preserve"> developed by the project address barriers that are not unique to the initial pilot context, but are </w:t>
            </w:r>
            <w:r w:rsidRPr="00874701">
              <w:rPr>
                <w:rFonts w:eastAsia="Times New Roman" w:cs="Arial"/>
                <w:szCs w:val="20"/>
                <w:lang w:val="en-US"/>
              </w:rPr>
              <w:lastRenderedPageBreak/>
              <w:t xml:space="preserve">relevant to a wider range of municipalities and public authorities. The project has been designed from the outset with transferability in mind, with the intention that its methodological approach, service logic and operational tools can be adapted and applied in other geographical and administrative contexts. </w:t>
            </w:r>
            <w:r w:rsidR="00D80530">
              <w:rPr>
                <w:rFonts w:eastAsia="Times New Roman" w:cs="Arial"/>
                <w:szCs w:val="20"/>
                <w:lang w:val="en-US"/>
              </w:rPr>
              <w:t>So</w:t>
            </w:r>
            <w:r w:rsidRPr="00874701">
              <w:rPr>
                <w:rFonts w:eastAsia="Times New Roman" w:cs="Arial"/>
                <w:szCs w:val="20"/>
                <w:lang w:val="en-US"/>
              </w:rPr>
              <w:t xml:space="preserve"> the project’s replication potential concerns not only the transfer of individual outputs, but also the adaptation of the overall support model for building renovation project development, including technical assistance, guidance, stakeholder engagement and access to financing-related support.</w:t>
            </w:r>
          </w:p>
          <w:p w14:paraId="203C2168" w14:textId="60F49DD0" w:rsidR="00874701" w:rsidRPr="00874701" w:rsidRDefault="00874701" w:rsidP="00980F10">
            <w:pPr>
              <w:spacing w:before="120" w:after="120"/>
              <w:jc w:val="both"/>
              <w:rPr>
                <w:rFonts w:eastAsia="Times New Roman" w:cs="Arial"/>
                <w:szCs w:val="20"/>
                <w:lang w:val="en-US"/>
              </w:rPr>
            </w:pPr>
            <w:r w:rsidRPr="00874701">
              <w:rPr>
                <w:rFonts w:eastAsia="Times New Roman" w:cs="Arial"/>
                <w:szCs w:val="20"/>
                <w:lang w:val="en-US"/>
              </w:rPr>
              <w:t xml:space="preserve">A first and explicit replication pathway of the project concerns Cyprus, through the participation of the Municipality of Limassol in Work Package 6. According to Annex 1, the project foresees the development of a Cyprus-oriented replication pathway based on a detailed understanding of the national context, </w:t>
            </w:r>
            <w:r w:rsidR="00D80530">
              <w:rPr>
                <w:rFonts w:eastAsia="Times New Roman" w:cs="Arial"/>
                <w:szCs w:val="20"/>
                <w:lang w:val="en-US"/>
              </w:rPr>
              <w:t>such as</w:t>
            </w:r>
            <w:r w:rsidRPr="00874701">
              <w:rPr>
                <w:rFonts w:eastAsia="Times New Roman" w:cs="Arial"/>
                <w:szCs w:val="20"/>
                <w:lang w:val="en-US"/>
              </w:rPr>
              <w:t xml:space="preserve"> building renovation potential, financing instruments and the relevant regulatory and policy framework. The Cypriot replication approach is expected to build on the know-how acquired through the development and pilot operation of the RenoInGR OSS, while adapting the structure and services to the country’s specific institutional and market conditions. It is anticipated that the Cypriot OSS will be hosted by the Municipality of Limassol, while its services could potentially address needs at national level.</w:t>
            </w:r>
          </w:p>
          <w:p w14:paraId="3DDA535F" w14:textId="08623195" w:rsidR="00874701" w:rsidRPr="00D80530" w:rsidRDefault="00874701" w:rsidP="00980F10">
            <w:pPr>
              <w:spacing w:before="120" w:after="120"/>
              <w:jc w:val="both"/>
              <w:rPr>
                <w:rFonts w:eastAsia="Times New Roman" w:cs="Arial"/>
                <w:color w:val="F79646" w:themeColor="accent6"/>
                <w:szCs w:val="20"/>
                <w:lang w:val="el-GR"/>
              </w:rPr>
            </w:pPr>
            <w:r w:rsidRPr="00874701">
              <w:rPr>
                <w:rFonts w:eastAsia="Times New Roman" w:cs="Arial"/>
                <w:szCs w:val="20"/>
                <w:lang w:val="en-US"/>
              </w:rPr>
              <w:t xml:space="preserve">During the present reporting </w:t>
            </w:r>
            <w:r w:rsidR="00D80530">
              <w:rPr>
                <w:rFonts w:eastAsia="Times New Roman" w:cs="Arial"/>
                <w:szCs w:val="20"/>
                <w:lang w:val="en-US"/>
              </w:rPr>
              <w:t xml:space="preserve">period has already started a </w:t>
            </w:r>
            <w:r w:rsidRPr="00874701">
              <w:rPr>
                <w:rFonts w:eastAsia="Times New Roman" w:cs="Arial"/>
                <w:szCs w:val="20"/>
                <w:lang w:val="en-US"/>
              </w:rPr>
              <w:t xml:space="preserve">preliminary work in support of this replication pathway by Limassol. This has included an initial mapping of the relevant Cypriot stakeholders and competent authorities, the collection of information on the applicable legal and procedural framework, the identification of available documents and instruments related to energy performance, public procurement and Energy Performance Contracting, as well as a first investigation of the municipal building stock and the financing and support mechanisms that may be relevant in the Cypriot context. These early steps are important because they confirm that </w:t>
            </w:r>
            <w:r w:rsidR="00D80530">
              <w:rPr>
                <w:rFonts w:eastAsia="Times New Roman" w:cs="Arial"/>
                <w:szCs w:val="20"/>
                <w:lang w:val="en-US"/>
              </w:rPr>
              <w:t xml:space="preserve">the </w:t>
            </w:r>
            <w:r w:rsidRPr="00874701">
              <w:rPr>
                <w:rFonts w:eastAsia="Times New Roman" w:cs="Arial"/>
                <w:szCs w:val="20"/>
                <w:lang w:val="en-US"/>
              </w:rPr>
              <w:t xml:space="preserve">replication will require adaptation rather than direct copying, but they also indicate that the methodological approach followed in RenoInGR can provide a useful and transferable basis for structuring a Cypriot OSS model. </w:t>
            </w:r>
            <w:r w:rsidRPr="00D80530">
              <w:rPr>
                <w:rFonts w:eastAsia="Times New Roman" w:cs="Arial"/>
                <w:color w:val="F79646" w:themeColor="accent6"/>
                <w:szCs w:val="20"/>
                <w:lang w:val="el-GR"/>
              </w:rPr>
              <w:t>[</w:t>
            </w:r>
            <w:r w:rsidR="00D80530" w:rsidRPr="00D80530">
              <w:rPr>
                <w:rFonts w:eastAsia="Times New Roman" w:cs="Arial"/>
                <w:color w:val="F79646" w:themeColor="accent6"/>
                <w:szCs w:val="20"/>
                <w:lang w:val="el-GR"/>
              </w:rPr>
              <w:t xml:space="preserve">με βάση το </w:t>
            </w:r>
            <w:r w:rsidR="00D80530" w:rsidRPr="00D80530">
              <w:rPr>
                <w:rFonts w:eastAsia="Times New Roman" w:cs="Arial"/>
                <w:color w:val="F79646" w:themeColor="accent6"/>
                <w:szCs w:val="20"/>
                <w:lang w:val="en-US"/>
              </w:rPr>
              <w:t>report</w:t>
            </w:r>
            <w:r w:rsidR="00D80530" w:rsidRPr="00D80530">
              <w:rPr>
                <w:rFonts w:eastAsia="Times New Roman" w:cs="Arial"/>
                <w:color w:val="F79646" w:themeColor="accent6"/>
                <w:szCs w:val="20"/>
                <w:lang w:val="el-GR"/>
              </w:rPr>
              <w:t xml:space="preserve"> από τη Λεμεσό -  να γίνει ένας έλεγχος πριν την υποβολή</w:t>
            </w:r>
            <w:r w:rsidRPr="00D80530">
              <w:rPr>
                <w:rFonts w:eastAsia="Times New Roman" w:cs="Arial"/>
                <w:color w:val="F79646" w:themeColor="accent6"/>
                <w:szCs w:val="20"/>
                <w:lang w:val="el-GR"/>
              </w:rPr>
              <w:t>]</w:t>
            </w:r>
          </w:p>
          <w:p w14:paraId="56D2DFAF" w14:textId="612E6756" w:rsidR="00843D0B" w:rsidRPr="00D80530" w:rsidRDefault="00874701" w:rsidP="00980F10">
            <w:pPr>
              <w:spacing w:before="120" w:after="120"/>
              <w:jc w:val="both"/>
              <w:rPr>
                <w:rFonts w:eastAsia="Times New Roman" w:cs="Arial"/>
                <w:szCs w:val="20"/>
                <w:lang w:val="en-US"/>
              </w:rPr>
            </w:pPr>
            <w:r w:rsidRPr="00D80530">
              <w:rPr>
                <w:rFonts w:eastAsia="Times New Roman" w:cs="Arial"/>
                <w:szCs w:val="20"/>
                <w:lang w:val="en-US"/>
              </w:rPr>
              <w:t>Beyond Cyprus, the project also foresees additional replication activities in selected neighbouring and East European countries. Annex 1 explicitly refers to the exploration of replication potential in countries such as Albania, North Macedonia, Turkey, Romania and Slovenia, with the intention to assess market conditions, possible adaptation needs and future pathways for transferring the OSS concept. At the current interim stage, these broader replication activities remain at an exploratory and preparatory level, which is consistent with the project timetable.</w:t>
            </w:r>
          </w:p>
          <w:p w14:paraId="6D174D70" w14:textId="05A13414" w:rsidR="00843D0B" w:rsidRPr="00371528" w:rsidRDefault="00874701" w:rsidP="008B7631">
            <w:pPr>
              <w:pStyle w:val="Heading4"/>
              <w:rPr>
                <w:lang w:val="en-US"/>
              </w:rPr>
            </w:pPr>
            <w:bookmarkStart w:id="30" w:name="_Toc227846964"/>
            <w:r>
              <w:rPr>
                <w:lang w:val="en-US"/>
              </w:rPr>
              <w:t xml:space="preserve">2.2.4 </w:t>
            </w:r>
            <w:r w:rsidR="00843D0B" w:rsidRPr="00371528">
              <w:rPr>
                <w:lang w:val="en-US"/>
              </w:rPr>
              <w:t>Exploitation of project results</w:t>
            </w:r>
            <w:bookmarkEnd w:id="30"/>
          </w:p>
          <w:p w14:paraId="0023AA98" w14:textId="2460EDEA" w:rsidR="00371528" w:rsidRPr="00371528" w:rsidRDefault="00371528" w:rsidP="00980F10">
            <w:pPr>
              <w:spacing w:before="120" w:after="120"/>
              <w:jc w:val="both"/>
              <w:rPr>
                <w:rFonts w:eastAsia="Times New Roman" w:cs="Arial"/>
                <w:szCs w:val="20"/>
                <w:lang w:val="en-US"/>
              </w:rPr>
            </w:pPr>
            <w:r w:rsidRPr="00371528">
              <w:rPr>
                <w:rFonts w:eastAsia="Times New Roman" w:cs="Arial"/>
                <w:szCs w:val="20"/>
                <w:lang w:val="en-US"/>
              </w:rPr>
              <w:t xml:space="preserve">The exploitation of RenoInGR project results is foreseen as an important pathway for extending the value of the project beyond the immediate pilot phase and for ensuring that </w:t>
            </w:r>
            <w:r>
              <w:rPr>
                <w:rFonts w:eastAsia="Times New Roman" w:cs="Arial"/>
                <w:szCs w:val="20"/>
                <w:lang w:val="en-US"/>
              </w:rPr>
              <w:t>all aspects</w:t>
            </w:r>
            <w:r w:rsidRPr="00371528">
              <w:rPr>
                <w:rFonts w:eastAsia="Times New Roman" w:cs="Arial"/>
                <w:szCs w:val="20"/>
                <w:lang w:val="en-US"/>
              </w:rPr>
              <w:t xml:space="preserve"> developed are effectively used by relevant stakeholders. According to Annex 1, a dedicated exploitation strategy will be further elaborated under Task 6.4 and consolidated in the project’s Exploitation Roadmap at a later stage of implementation. At the present interim stage, the project has already identified a clear set of key exploitable results and corresponding target groups, while the detailed exploitation pathways and partner-specific strategies are still to be further developed in line with the project timetable.</w:t>
            </w:r>
          </w:p>
          <w:p w14:paraId="7E988DA4" w14:textId="022076C3" w:rsidR="00371528" w:rsidRPr="00371528" w:rsidRDefault="00371528" w:rsidP="00980F10">
            <w:pPr>
              <w:spacing w:before="120" w:after="120"/>
              <w:jc w:val="both"/>
              <w:rPr>
                <w:rFonts w:eastAsia="Times New Roman" w:cs="Arial"/>
                <w:szCs w:val="20"/>
                <w:lang w:val="en-US"/>
              </w:rPr>
            </w:pPr>
            <w:r w:rsidRPr="00371528">
              <w:rPr>
                <w:rFonts w:eastAsia="Times New Roman" w:cs="Arial"/>
                <w:szCs w:val="20"/>
                <w:lang w:val="en-US"/>
              </w:rPr>
              <w:t xml:space="preserve">The key exploitable results include, first, the RenoInGR One-Stop-Shop structure, its operation model and the standardised services developed by the project, </w:t>
            </w:r>
            <w:r>
              <w:rPr>
                <w:rFonts w:eastAsia="Times New Roman" w:cs="Arial"/>
                <w:szCs w:val="20"/>
                <w:lang w:val="en-US"/>
              </w:rPr>
              <w:t>in order to  cover</w:t>
            </w:r>
            <w:r w:rsidRPr="00371528">
              <w:rPr>
                <w:rFonts w:eastAsia="Times New Roman" w:cs="Arial"/>
                <w:szCs w:val="20"/>
                <w:lang w:val="en-US"/>
              </w:rPr>
              <w:t xml:space="preserve"> technical, financial, legal and quality assurance support. These results are expected to be exploited primarily through future replication and transfer of the model in other geographical contexts. Second, the project foresees the exploitation of the OSS in-person and platform-based operation model. Annex 1 indicates that the services will be offered free of charge during the </w:t>
            </w:r>
            <w:r w:rsidRPr="00371528">
              <w:rPr>
                <w:rFonts w:eastAsia="Times New Roman" w:cs="Arial"/>
                <w:szCs w:val="20"/>
                <w:lang w:val="en-US"/>
              </w:rPr>
              <w:lastRenderedPageBreak/>
              <w:t>project lifetime, while after the project the full services and coaching are foreseen to be provided on a fee basis without profit, alongside lighter guidance functions addressed to municipalities, regions and relevant market actors.</w:t>
            </w:r>
          </w:p>
          <w:p w14:paraId="42BCBAD6" w14:textId="4A0129BF" w:rsidR="00371528" w:rsidRPr="00371528" w:rsidRDefault="00371528" w:rsidP="00980F10">
            <w:pPr>
              <w:spacing w:before="120" w:after="120"/>
              <w:jc w:val="both"/>
              <w:rPr>
                <w:rFonts w:eastAsia="Times New Roman" w:cs="Arial"/>
                <w:szCs w:val="20"/>
                <w:lang w:val="en-US"/>
              </w:rPr>
            </w:pPr>
            <w:r w:rsidRPr="00371528">
              <w:rPr>
                <w:rFonts w:eastAsia="Times New Roman" w:cs="Arial"/>
                <w:szCs w:val="20"/>
                <w:lang w:val="en-US"/>
              </w:rPr>
              <w:t>Additional exploitable results include the performance-evidenced technical solution packages</w:t>
            </w:r>
            <w:r>
              <w:rPr>
                <w:rFonts w:eastAsia="Times New Roman" w:cs="Arial"/>
                <w:szCs w:val="20"/>
                <w:lang w:val="en-US"/>
              </w:rPr>
              <w:t xml:space="preserve"> which</w:t>
            </w:r>
            <w:r w:rsidRPr="00371528">
              <w:rPr>
                <w:rFonts w:eastAsia="Times New Roman" w:cs="Arial"/>
                <w:szCs w:val="20"/>
                <w:lang w:val="en-US"/>
              </w:rPr>
              <w:t xml:space="preserve"> support clean energy transition in municipal buildings, as well as the practical templates and tools developed through the project. These include procurement templates for renovation design, procurement and contract templates for EnPC services, and the financing options decision-making tool. According to Annex 1, these results are intended to be made available through dissemination and communication activities and, where relevant, through the RenoInGR OSS platform. Their expected users include municipalities, regions, AEC professionals, EnPC market actors, financing institutions, local authorities and other relevant public bodies. In this sense, the exploitation logic of the project is not limited to direct commercial uptake, but also includes wider operational use, transfer of know-how and integration of the developed tools into future public building renovation practice.</w:t>
            </w:r>
          </w:p>
          <w:p w14:paraId="27A8655D" w14:textId="3E49F3A8" w:rsidR="00371528" w:rsidRPr="00371528" w:rsidRDefault="00371528" w:rsidP="00980F10">
            <w:pPr>
              <w:spacing w:before="120" w:after="120"/>
              <w:jc w:val="both"/>
              <w:rPr>
                <w:rFonts w:eastAsia="Times New Roman" w:cs="Arial"/>
                <w:szCs w:val="20"/>
                <w:lang w:val="en-US"/>
              </w:rPr>
            </w:pPr>
            <w:r w:rsidRPr="00371528">
              <w:rPr>
                <w:rFonts w:eastAsia="Times New Roman" w:cs="Arial"/>
                <w:szCs w:val="20"/>
                <w:lang w:val="en-US"/>
              </w:rPr>
              <w:t xml:space="preserve">Annex 1 also foresees individual exploitation pathways for the project partners. At the proposal stage, these pathways included, among others, the further use of financing solutions and new cooperation avenues by Epirus Bank, the strengthening of EUDITI’s profile and consultancy capacity in energy performance contracting and building renovation support, the strengthening of Kelemenis’ role in legal advisory services related to EnPC procurement and contractual arrangements, and an enhanced support role for NTUA in relation to public sector building energy efficiency policies and cooperation with local governments. CRES, KEDE, municipalities and regions are also expected to benefit from and further use the experience, tools and services generated by the project, </w:t>
            </w:r>
            <w:r>
              <w:rPr>
                <w:rFonts w:eastAsia="Times New Roman" w:cs="Arial"/>
                <w:szCs w:val="20"/>
                <w:lang w:val="en-US"/>
              </w:rPr>
              <w:t>like</w:t>
            </w:r>
            <w:r w:rsidRPr="00371528">
              <w:rPr>
                <w:rFonts w:eastAsia="Times New Roman" w:cs="Arial"/>
                <w:szCs w:val="20"/>
                <w:lang w:val="en-US"/>
              </w:rPr>
              <w:t xml:space="preserve"> for future support structures and broader facilitation activities. At month 18, these partner-specific exploitation paths should still be regarded as planned directions rather than as fully operationalised strategies, since the relevant individual and common exploitation plans are scheduled for later development under WP6.</w:t>
            </w:r>
          </w:p>
          <w:p w14:paraId="111A7D99" w14:textId="024559E2" w:rsidR="00371528" w:rsidRPr="00371528" w:rsidRDefault="00371528" w:rsidP="00980F10">
            <w:pPr>
              <w:spacing w:before="120" w:after="120"/>
              <w:jc w:val="both"/>
              <w:rPr>
                <w:rFonts w:eastAsia="Times New Roman" w:cs="Arial"/>
                <w:szCs w:val="20"/>
                <w:lang w:val="en-US"/>
              </w:rPr>
            </w:pPr>
            <w:r w:rsidRPr="00371528">
              <w:rPr>
                <w:rFonts w:eastAsia="Times New Roman" w:cs="Arial"/>
                <w:szCs w:val="20"/>
                <w:lang w:val="en-US"/>
              </w:rPr>
              <w:t>Overall, the exploitation potential of RenoInGR lies in the fact that it is developing an integrated support model in a market where, according to Annex 1, no comparable structure currently exists in Greece for providing comprehensive services for the decarbonisation of municipal and regional buildings. The project therefore creates exploitable value not only through specific tools and templates, but also through the testing and gradual consolidation of a facilitation structure that may continue to serve municipalities, regions and associated market actors after the end of the project. The detailed exploitation pathways, resources and implementation arrangements will be further specified in the Exploitation Roadmap foreseen in Task 6.4..</w:t>
            </w:r>
          </w:p>
          <w:p w14:paraId="52FCDB55" w14:textId="00247148" w:rsidR="00843D0B" w:rsidRPr="005C6A4C" w:rsidRDefault="00874701" w:rsidP="008B7631">
            <w:pPr>
              <w:pStyle w:val="Heading4"/>
              <w:rPr>
                <w:lang w:val="en-US"/>
              </w:rPr>
            </w:pPr>
            <w:bookmarkStart w:id="31" w:name="_Toc227846965"/>
            <w:r>
              <w:rPr>
                <w:lang w:val="en-US"/>
              </w:rPr>
              <w:t xml:space="preserve">2.2.5 </w:t>
            </w:r>
            <w:r w:rsidR="00843D0B" w:rsidRPr="005C6A4C">
              <w:rPr>
                <w:lang w:val="en-US"/>
              </w:rPr>
              <w:t>Potential market uptake / scaling</w:t>
            </w:r>
            <w:bookmarkEnd w:id="31"/>
          </w:p>
          <w:p w14:paraId="3350DB67" w14:textId="21FFB101" w:rsidR="005C6A4C" w:rsidRPr="005C6A4C" w:rsidRDefault="005C6A4C" w:rsidP="00980F10">
            <w:pPr>
              <w:spacing w:before="120" w:after="120"/>
              <w:jc w:val="both"/>
              <w:rPr>
                <w:rFonts w:eastAsia="Times New Roman" w:cs="Arial"/>
                <w:szCs w:val="20"/>
                <w:lang w:val="en-US"/>
              </w:rPr>
            </w:pPr>
            <w:r w:rsidRPr="005C6A4C">
              <w:rPr>
                <w:rFonts w:eastAsia="Times New Roman" w:cs="Arial"/>
                <w:szCs w:val="20"/>
                <w:lang w:val="en-US"/>
              </w:rPr>
              <w:t xml:space="preserve">The potential market uptake and scaling of RenoInGR is closely linked to the fact that the project addresses a broad and clearly identifiable target group, namely Greek municipalities and regions in need of support for the preparation and implementation of public building renovation projects. According to Annex 1, </w:t>
            </w:r>
            <w:r>
              <w:rPr>
                <w:rFonts w:eastAsia="Times New Roman" w:cs="Arial"/>
                <w:szCs w:val="20"/>
                <w:lang w:val="en-US"/>
              </w:rPr>
              <w:t>it</w:t>
            </w:r>
            <w:r w:rsidRPr="005C6A4C">
              <w:rPr>
                <w:rFonts w:eastAsia="Times New Roman" w:cs="Arial"/>
                <w:szCs w:val="20"/>
                <w:lang w:val="en-US"/>
              </w:rPr>
              <w:t xml:space="preserve"> is intended to operate at national level, while </w:t>
            </w:r>
            <w:r>
              <w:rPr>
                <w:rFonts w:eastAsia="Times New Roman" w:cs="Arial"/>
                <w:szCs w:val="20"/>
                <w:lang w:val="en-US"/>
              </w:rPr>
              <w:t xml:space="preserve">it </w:t>
            </w:r>
            <w:r w:rsidRPr="005C6A4C">
              <w:rPr>
                <w:rFonts w:eastAsia="Times New Roman" w:cs="Arial"/>
                <w:szCs w:val="20"/>
                <w:lang w:val="en-US"/>
              </w:rPr>
              <w:t>plac</w:t>
            </w:r>
            <w:r>
              <w:rPr>
                <w:rFonts w:eastAsia="Times New Roman" w:cs="Arial"/>
                <w:szCs w:val="20"/>
                <w:lang w:val="en-US"/>
              </w:rPr>
              <w:t>es</w:t>
            </w:r>
            <w:r w:rsidRPr="005C6A4C">
              <w:rPr>
                <w:rFonts w:eastAsia="Times New Roman" w:cs="Arial"/>
                <w:szCs w:val="20"/>
                <w:lang w:val="en-US"/>
              </w:rPr>
              <w:t xml:space="preserve"> particular emphasis on small and medium-sized municipalities, especially those located in islands and mountainous areas, where administrative, technical and financial constraints are often more pronounced. This gives the project a wide potential user base and supports the prospect of scaling the developed services beyond the initial pilot cases.</w:t>
            </w:r>
          </w:p>
          <w:p w14:paraId="04D79643" w14:textId="27306C24" w:rsidR="005C6A4C" w:rsidRPr="005C6A4C" w:rsidRDefault="005C6A4C" w:rsidP="00980F10">
            <w:pPr>
              <w:spacing w:before="120" w:after="120"/>
              <w:jc w:val="both"/>
              <w:rPr>
                <w:rFonts w:eastAsia="Times New Roman" w:cs="Arial"/>
                <w:szCs w:val="20"/>
                <w:lang w:val="en-US"/>
              </w:rPr>
            </w:pPr>
            <w:r w:rsidRPr="005C6A4C">
              <w:rPr>
                <w:rFonts w:eastAsia="Times New Roman" w:cs="Arial"/>
                <w:szCs w:val="20"/>
                <w:lang w:val="en-US"/>
              </w:rPr>
              <w:t xml:space="preserve">The scaling potential of the project is also directly connected to its objective </w:t>
            </w:r>
            <w:r>
              <w:rPr>
                <w:rFonts w:eastAsia="Times New Roman" w:cs="Arial"/>
                <w:szCs w:val="20"/>
                <w:lang w:val="en-US"/>
              </w:rPr>
              <w:t>to develop</w:t>
            </w:r>
            <w:r w:rsidRPr="005C6A4C">
              <w:rPr>
                <w:rFonts w:eastAsia="Times New Roman" w:cs="Arial"/>
                <w:szCs w:val="20"/>
                <w:lang w:val="en-US"/>
              </w:rPr>
              <w:t xml:space="preserve"> a pipeline of renovation projects and </w:t>
            </w:r>
            <w:r>
              <w:rPr>
                <w:rFonts w:eastAsia="Times New Roman" w:cs="Arial"/>
                <w:szCs w:val="20"/>
                <w:lang w:val="en-US"/>
              </w:rPr>
              <w:t>to mobilise</w:t>
            </w:r>
            <w:r w:rsidRPr="005C6A4C">
              <w:rPr>
                <w:rFonts w:eastAsia="Times New Roman" w:cs="Arial"/>
                <w:szCs w:val="20"/>
                <w:lang w:val="en-US"/>
              </w:rPr>
              <w:t xml:space="preserve"> investments in municipal building renovation. The project aims to validate the OSS model through pilot support for at least 60 buildings and</w:t>
            </w:r>
            <w:r>
              <w:rPr>
                <w:rFonts w:eastAsia="Times New Roman" w:cs="Arial"/>
                <w:szCs w:val="20"/>
                <w:lang w:val="en-US"/>
              </w:rPr>
              <w:t xml:space="preserve"> also </w:t>
            </w:r>
            <w:r w:rsidRPr="005C6A4C">
              <w:rPr>
                <w:rFonts w:eastAsia="Times New Roman" w:cs="Arial"/>
                <w:szCs w:val="20"/>
                <w:lang w:val="en-US"/>
              </w:rPr>
              <w:t xml:space="preserve">to facilitate the preparation of a wider pipeline of additional buildings. This is expected to increase confidence in the RenoInGR approach, strengthen the visibility of the support structure and create the conditions for broader uptake by municipalities and regions beyond the initial </w:t>
            </w:r>
            <w:r w:rsidRPr="005C6A4C">
              <w:rPr>
                <w:rFonts w:eastAsia="Times New Roman" w:cs="Arial"/>
                <w:szCs w:val="20"/>
                <w:lang w:val="en-US"/>
              </w:rPr>
              <w:lastRenderedPageBreak/>
              <w:t>pilot partners. In this sense, market uptake is not understood only as the use of individual tools or services, but as the gradual expansion of the OSS model as a trusted facilitation structure for public building renovation.</w:t>
            </w:r>
          </w:p>
          <w:p w14:paraId="31E1A539" w14:textId="0A195E3B" w:rsidR="005C6A4C" w:rsidRPr="005C6A4C" w:rsidRDefault="005C6A4C" w:rsidP="00980F10">
            <w:pPr>
              <w:spacing w:before="120" w:after="120"/>
              <w:jc w:val="both"/>
              <w:rPr>
                <w:rFonts w:eastAsia="Times New Roman" w:cs="Arial"/>
                <w:szCs w:val="20"/>
                <w:lang w:val="en-US"/>
              </w:rPr>
            </w:pPr>
            <w:r w:rsidRPr="005C6A4C">
              <w:rPr>
                <w:rFonts w:eastAsia="Times New Roman" w:cs="Arial"/>
                <w:szCs w:val="20"/>
                <w:lang w:val="en-US"/>
              </w:rPr>
              <w:t xml:space="preserve">An important mechanism for this broader uptake is the attraction of additional municipalities through outreach, capacity-building and expressions of interest linked to the use of OSS services. In practical terms, the widening of the RenoInGR user base is expected to contribute not only to the creation of additional renovation pipelines, but also to the progressive improvement of the </w:t>
            </w:r>
            <w:r>
              <w:rPr>
                <w:rFonts w:eastAsia="Times New Roman" w:cs="Arial"/>
                <w:szCs w:val="20"/>
                <w:lang w:val="en-US"/>
              </w:rPr>
              <w:t>service</w:t>
            </w:r>
            <w:r w:rsidRPr="005C6A4C">
              <w:rPr>
                <w:rFonts w:eastAsia="Times New Roman" w:cs="Arial"/>
                <w:szCs w:val="20"/>
                <w:lang w:val="en-US"/>
              </w:rPr>
              <w:t xml:space="preserve"> itself. As more municipalities engage with the structure, the project will be in a better position to identify </w:t>
            </w:r>
            <w:r>
              <w:rPr>
                <w:rFonts w:eastAsia="Times New Roman" w:cs="Arial"/>
                <w:szCs w:val="20"/>
                <w:lang w:val="en-US"/>
              </w:rPr>
              <w:t xml:space="preserve">more </w:t>
            </w:r>
            <w:r w:rsidRPr="005C6A4C">
              <w:rPr>
                <w:rFonts w:eastAsia="Times New Roman" w:cs="Arial"/>
                <w:szCs w:val="20"/>
                <w:lang w:val="en-US"/>
              </w:rPr>
              <w:t xml:space="preserve">recurring needs, </w:t>
            </w:r>
            <w:r>
              <w:rPr>
                <w:rFonts w:eastAsia="Times New Roman" w:cs="Arial"/>
                <w:szCs w:val="20"/>
                <w:lang w:val="en-US"/>
              </w:rPr>
              <w:t xml:space="preserve">to </w:t>
            </w:r>
            <w:r w:rsidRPr="005C6A4C">
              <w:rPr>
                <w:rFonts w:eastAsia="Times New Roman" w:cs="Arial"/>
                <w:szCs w:val="20"/>
                <w:lang w:val="en-US"/>
              </w:rPr>
              <w:t xml:space="preserve">test the usability of services and tools under different local conditions, and </w:t>
            </w:r>
            <w:r>
              <w:rPr>
                <w:rFonts w:eastAsia="Times New Roman" w:cs="Arial"/>
                <w:szCs w:val="20"/>
                <w:lang w:val="en-US"/>
              </w:rPr>
              <w:t xml:space="preserve">to </w:t>
            </w:r>
            <w:r w:rsidRPr="005C6A4C">
              <w:rPr>
                <w:rFonts w:eastAsia="Times New Roman" w:cs="Arial"/>
                <w:szCs w:val="20"/>
                <w:lang w:val="en-US"/>
              </w:rPr>
              <w:t>refine the support model accordingly. This means that a broader call to municipalities and the structured onboarding of additional interested local authorities can support both scaling and continuous improvement of the RenoInGR OSS.</w:t>
            </w:r>
          </w:p>
          <w:p w14:paraId="6165ACD0" w14:textId="388C40B7" w:rsidR="00843D0B" w:rsidRPr="005C6A4C" w:rsidRDefault="005C6A4C" w:rsidP="00980F10">
            <w:pPr>
              <w:spacing w:before="120" w:after="120"/>
              <w:jc w:val="both"/>
              <w:rPr>
                <w:rFonts w:eastAsia="Times New Roman" w:cs="Arial"/>
                <w:sz w:val="18"/>
                <w:szCs w:val="18"/>
                <w:lang w:val="en-US"/>
              </w:rPr>
            </w:pPr>
            <w:r w:rsidRPr="005C6A4C">
              <w:rPr>
                <w:rFonts w:eastAsia="Times New Roman" w:cs="Arial"/>
                <w:szCs w:val="20"/>
                <w:lang w:val="en-US"/>
              </w:rPr>
              <w:t>The market uptake potential is further reinforced by the project’s financing and implementation logic. Annex 1 links the OSS model with project bundling, financing support, Energy Performance Contracting and the investigation of blended public and private financing schemes, all of which are intended to make renovation projects more bankable and more attractive to both municipalities and financing actors. In this context, the expected scaling of RenoInGR is associated with three interrelated dimensions: the expansion of the pipeline of municipal renovation projects, the mobilisation of additional investments in clean energy renovation, and the wider uptake of structured renovation support services by public authorities. At month 18, this scaling pathway should still be understood as an emerging process rather than a completed market outcome. However, the strategic direction remains fully consistent with Annex 1 and with the project’s ambition to establish the RenoInGR OSS as a reference support structure for municipal and regional building renovation in Greece.</w:t>
            </w:r>
          </w:p>
        </w:tc>
      </w:tr>
    </w:tbl>
    <w:p w14:paraId="64B883C3" w14:textId="77777777" w:rsidR="00170015" w:rsidRDefault="00A47BAB" w:rsidP="00170015">
      <w:pPr>
        <w:spacing w:line="240" w:lineRule="auto"/>
        <w:rPr>
          <w:rFonts w:cs="Arial"/>
          <w:noProof/>
          <w:color w:val="B5B5B5"/>
          <w:sz w:val="16"/>
          <w:szCs w:val="16"/>
          <w:lang w:val="fr-BE"/>
        </w:rPr>
      </w:pPr>
      <w:r w:rsidRPr="00816DF2">
        <w:rPr>
          <w:rFonts w:cs="Arial"/>
          <w:noProof/>
          <w:color w:val="B5B5B5"/>
          <w:sz w:val="16"/>
          <w:szCs w:val="16"/>
        </w:rPr>
        <w:lastRenderedPageBreak/>
        <w:t xml:space="preserve">#§SUS-CON-SC§# </w:t>
      </w:r>
    </w:p>
    <w:p w14:paraId="15A3BE70" w14:textId="77777777" w:rsidR="00C55000" w:rsidRPr="00331884" w:rsidRDefault="00C55000" w:rsidP="00C55000">
      <w:pPr>
        <w:pStyle w:val="Heading3"/>
      </w:pPr>
      <w:bookmarkStart w:id="32" w:name="_Toc227846966"/>
      <w:r w:rsidRPr="00EB7BE5">
        <w:t>2.3 Complementary</w:t>
      </w:r>
      <w:r w:rsidRPr="00C24948">
        <w:t xml:space="preserve"> measures</w:t>
      </w:r>
      <w:bookmarkEnd w:id="32"/>
    </w:p>
    <w:tbl>
      <w:tblPr>
        <w:tblW w:w="4754" w:type="pct"/>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1E0" w:firstRow="1" w:lastRow="1" w:firstColumn="1" w:lastColumn="1" w:noHBand="0" w:noVBand="0"/>
      </w:tblPr>
      <w:tblGrid>
        <w:gridCol w:w="1509"/>
        <w:gridCol w:w="855"/>
        <w:gridCol w:w="1052"/>
        <w:gridCol w:w="1340"/>
        <w:gridCol w:w="3516"/>
      </w:tblGrid>
      <w:tr w:rsidR="00C55000" w:rsidRPr="00331884" w14:paraId="3A426B20" w14:textId="77777777" w:rsidTr="00E848E8">
        <w:trPr>
          <w:trHeight w:val="432"/>
        </w:trPr>
        <w:tc>
          <w:tcPr>
            <w:tcW w:w="5000" w:type="pct"/>
            <w:gridSpan w:val="5"/>
            <w:shd w:val="clear" w:color="auto" w:fill="D9D9D9" w:themeFill="background1" w:themeFillShade="D9"/>
          </w:tcPr>
          <w:p w14:paraId="45CD860F" w14:textId="77777777" w:rsidR="00C55000" w:rsidRPr="00843D0B" w:rsidRDefault="00C55000" w:rsidP="00E848E8">
            <w:pPr>
              <w:spacing w:before="120" w:after="120" w:line="240" w:lineRule="auto"/>
              <w:ind w:right="4"/>
              <w:jc w:val="both"/>
              <w:rPr>
                <w:rFonts w:eastAsia="Calibri" w:cs="Arial"/>
                <w:b/>
                <w:bCs/>
                <w:strike/>
                <w:sz w:val="18"/>
                <w:szCs w:val="18"/>
              </w:rPr>
            </w:pPr>
            <w:r w:rsidRPr="00843D0B">
              <w:rPr>
                <w:rFonts w:eastAsia="Calibri" w:cs="Arial"/>
                <w:b/>
                <w:bCs/>
                <w:strike/>
                <w:sz w:val="18"/>
                <w:szCs w:val="18"/>
              </w:rPr>
              <w:t xml:space="preserve">Implementation of the complementary measures </w:t>
            </w:r>
            <w:r w:rsidRPr="00843D0B">
              <w:rPr>
                <w:rFonts w:cs="Arial"/>
                <w:bCs/>
                <w:i/>
                <w:strike/>
                <w:color w:val="4AA55B"/>
                <w:sz w:val="16"/>
                <w:szCs w:val="18"/>
              </w:rPr>
              <w:t>(for SIPs/SNAPs)</w:t>
            </w:r>
          </w:p>
          <w:p w14:paraId="789CD034" w14:textId="77777777" w:rsidR="00C55000" w:rsidRPr="00843D0B" w:rsidRDefault="00C55000" w:rsidP="00E848E8">
            <w:pPr>
              <w:spacing w:after="60" w:line="240" w:lineRule="auto"/>
              <w:jc w:val="both"/>
              <w:rPr>
                <w:rFonts w:cs="Arial"/>
                <w:i/>
                <w:iCs/>
                <w:strike/>
                <w:sz w:val="16"/>
                <w:szCs w:val="16"/>
              </w:rPr>
            </w:pPr>
            <w:r w:rsidRPr="00843D0B">
              <w:rPr>
                <w:rFonts w:cs="Arial"/>
                <w:i/>
                <w:iCs/>
                <w:strike/>
                <w:sz w:val="16"/>
                <w:szCs w:val="16"/>
              </w:rPr>
              <w:t>If</w:t>
            </w:r>
            <w:r w:rsidRPr="00843D0B">
              <w:rPr>
                <w:rFonts w:cs="Arial"/>
                <w:b/>
                <w:bCs/>
                <w:i/>
                <w:iCs/>
                <w:strike/>
                <w:sz w:val="16"/>
                <w:szCs w:val="16"/>
              </w:rPr>
              <w:t xml:space="preserve"> not included in a previous report</w:t>
            </w:r>
            <w:r w:rsidRPr="00843D0B">
              <w:rPr>
                <w:rFonts w:cs="Arial"/>
                <w:i/>
                <w:iCs/>
                <w:strike/>
                <w:sz w:val="16"/>
                <w:szCs w:val="16"/>
              </w:rPr>
              <w:t xml:space="preserve">, explain the coordination mechanisms established with other funds, to optimise the use of funds for the targeted </w:t>
            </w:r>
            <w:r w:rsidRPr="00843D0B">
              <w:rPr>
                <w:rFonts w:eastAsia="Calibri" w:cs="Arial"/>
                <w:i/>
                <w:iCs/>
                <w:strike/>
                <w:color w:val="595959"/>
                <w:sz w:val="16"/>
                <w:szCs w:val="16"/>
              </w:rPr>
              <w:t xml:space="preserve">plan/strategy/action plan </w:t>
            </w:r>
            <w:r w:rsidRPr="00843D0B">
              <w:rPr>
                <w:rFonts w:cs="Arial"/>
                <w:i/>
                <w:iCs/>
                <w:strike/>
                <w:sz w:val="16"/>
                <w:szCs w:val="16"/>
              </w:rPr>
              <w:t xml:space="preserve">(e.g. to properly allocate funding to key priorities, </w:t>
            </w:r>
            <w:r w:rsidRPr="00843D0B">
              <w:rPr>
                <w:rFonts w:eastAsia="Calibri"/>
                <w:i/>
                <w:iCs/>
                <w:strike/>
                <w:sz w:val="16"/>
                <w:szCs w:val="16"/>
                <w:lang w:eastAsia="en-GB"/>
              </w:rPr>
              <w:t>etc.)</w:t>
            </w:r>
            <w:r w:rsidRPr="00843D0B">
              <w:rPr>
                <w:rFonts w:cs="Arial"/>
                <w:i/>
                <w:iCs/>
                <w:strike/>
                <w:sz w:val="16"/>
                <w:szCs w:val="16"/>
              </w:rPr>
              <w:t xml:space="preserve">. </w:t>
            </w:r>
            <w:r w:rsidRPr="00843D0B">
              <w:rPr>
                <w:rFonts w:eastAsia="Calibri" w:cs="Arial"/>
                <w:i/>
                <w:iCs/>
                <w:strike/>
                <w:sz w:val="16"/>
                <w:szCs w:val="16"/>
              </w:rPr>
              <w:t>Also describe (if applicable) how the mechanisms for attracting additional funding created benefits for stakeholders.</w:t>
            </w:r>
          </w:p>
          <w:p w14:paraId="32EC442A" w14:textId="77777777" w:rsidR="00C55000" w:rsidRPr="00843D0B" w:rsidRDefault="00C55000" w:rsidP="00E848E8">
            <w:pPr>
              <w:spacing w:after="60" w:line="240" w:lineRule="auto"/>
              <w:jc w:val="both"/>
              <w:rPr>
                <w:rFonts w:cs="Arial"/>
                <w:i/>
                <w:iCs/>
                <w:strike/>
                <w:sz w:val="16"/>
                <w:szCs w:val="16"/>
              </w:rPr>
            </w:pPr>
            <w:r w:rsidRPr="00843D0B">
              <w:rPr>
                <w:rFonts w:cs="Arial"/>
                <w:i/>
                <w:iCs/>
                <w:strike/>
                <w:sz w:val="16"/>
                <w:szCs w:val="16"/>
              </w:rPr>
              <w:t>If already</w:t>
            </w:r>
            <w:r w:rsidRPr="00843D0B">
              <w:rPr>
                <w:rFonts w:cs="Arial"/>
                <w:b/>
                <w:bCs/>
                <w:i/>
                <w:iCs/>
                <w:strike/>
                <w:sz w:val="16"/>
                <w:szCs w:val="16"/>
              </w:rPr>
              <w:t xml:space="preserve"> previously reported</w:t>
            </w:r>
            <w:r w:rsidRPr="00843D0B">
              <w:rPr>
                <w:rFonts w:cs="Arial"/>
                <w:i/>
                <w:iCs/>
                <w:strike/>
                <w:sz w:val="16"/>
                <w:szCs w:val="16"/>
              </w:rPr>
              <w:t>, focus only on main new progress/achievements of the coordination and fund mobilisation (as compared to the previous reports).</w:t>
            </w:r>
          </w:p>
          <w:p w14:paraId="2CFFE10A" w14:textId="77777777" w:rsidR="00C55000" w:rsidRPr="00843D0B" w:rsidRDefault="00C55000" w:rsidP="00E848E8">
            <w:pPr>
              <w:spacing w:after="60" w:line="240" w:lineRule="auto"/>
              <w:jc w:val="both"/>
              <w:rPr>
                <w:rFonts w:eastAsia="Calibri" w:cs="Arial"/>
                <w:i/>
                <w:iCs/>
                <w:strike/>
                <w:sz w:val="16"/>
                <w:szCs w:val="16"/>
                <w:highlight w:val="green"/>
              </w:rPr>
            </w:pPr>
            <w:r w:rsidRPr="00843D0B">
              <w:rPr>
                <w:rFonts w:cs="Arial"/>
                <w:i/>
                <w:iCs/>
                <w:strike/>
                <w:sz w:val="16"/>
                <w:szCs w:val="16"/>
              </w:rPr>
              <w:t xml:space="preserve">Describe the results of the complementary measures and actions following the structure defined in Annex 1 of the Grant Agreement or using the pillar/theme approach agreed with the granting authority. Describe successes, challenges, and mobilised resources. </w:t>
            </w:r>
          </w:p>
          <w:p w14:paraId="6F69180B" w14:textId="77777777" w:rsidR="00C55000" w:rsidRPr="00843D0B" w:rsidRDefault="00C55000" w:rsidP="00E848E8">
            <w:pPr>
              <w:spacing w:after="60" w:line="240" w:lineRule="auto"/>
              <w:jc w:val="both"/>
              <w:rPr>
                <w:rFonts w:eastAsia="Calibri"/>
                <w:i/>
                <w:iCs/>
                <w:strike/>
                <w:sz w:val="16"/>
                <w:szCs w:val="16"/>
                <w:lang w:eastAsia="en-GB"/>
              </w:rPr>
            </w:pPr>
            <w:r w:rsidRPr="00843D0B">
              <w:rPr>
                <w:rFonts w:eastAsia="Calibri"/>
                <w:i/>
                <w:iCs/>
                <w:strike/>
                <w:sz w:val="16"/>
                <w:szCs w:val="16"/>
                <w:lang w:eastAsia="en-GB"/>
              </w:rPr>
              <w:t xml:space="preserve">Describe in qualitative and to the extent possible in quantitative terms the overall progress with the implementation of the targeted </w:t>
            </w:r>
            <w:r w:rsidRPr="00843D0B">
              <w:rPr>
                <w:rFonts w:eastAsia="Calibri" w:cs="Arial"/>
                <w:i/>
                <w:iCs/>
                <w:strike/>
                <w:color w:val="595959"/>
                <w:sz w:val="16"/>
                <w:szCs w:val="16"/>
              </w:rPr>
              <w:t>plan/strategy/action plan</w:t>
            </w:r>
            <w:r w:rsidRPr="00843D0B">
              <w:rPr>
                <w:rFonts w:eastAsia="Calibri"/>
                <w:i/>
                <w:iCs/>
                <w:strike/>
                <w:sz w:val="16"/>
                <w:szCs w:val="16"/>
                <w:lang w:eastAsia="en-GB"/>
              </w:rPr>
              <w:t xml:space="preserve"> resulting from the complementary measures and actions. Cover at least: (i) environmental benefits, (ii) policy implications (if not already reported above), and (iii) capacity building and sustainability. </w:t>
            </w:r>
          </w:p>
          <w:p w14:paraId="2DCC4EEA" w14:textId="77777777" w:rsidR="00C55000" w:rsidRPr="00843D0B" w:rsidRDefault="00C55000" w:rsidP="00E848E8">
            <w:pPr>
              <w:spacing w:after="60" w:line="240" w:lineRule="auto"/>
              <w:jc w:val="both"/>
              <w:rPr>
                <w:rFonts w:eastAsia="Calibri"/>
                <w:i/>
                <w:iCs/>
                <w:strike/>
                <w:sz w:val="16"/>
                <w:szCs w:val="16"/>
                <w:lang w:eastAsia="en-GB"/>
              </w:rPr>
            </w:pPr>
            <w:r w:rsidRPr="00843D0B">
              <w:rPr>
                <w:rFonts w:eastAsia="Calibri"/>
                <w:i/>
                <w:iCs/>
                <w:strike/>
                <w:sz w:val="16"/>
                <w:szCs w:val="16"/>
                <w:lang w:eastAsia="en-GB"/>
              </w:rPr>
              <w:t xml:space="preserve">Describe any substantial changes to the complementary measures and actions and how this may affect the implementation of the targeted </w:t>
            </w:r>
            <w:r w:rsidRPr="00843D0B">
              <w:rPr>
                <w:rFonts w:eastAsia="Calibri" w:cs="Arial"/>
                <w:i/>
                <w:iCs/>
                <w:strike/>
                <w:color w:val="595959"/>
                <w:sz w:val="16"/>
                <w:szCs w:val="16"/>
              </w:rPr>
              <w:t>plan/strategy/action plan</w:t>
            </w:r>
            <w:r w:rsidRPr="00843D0B">
              <w:rPr>
                <w:rFonts w:eastAsia="Calibri"/>
                <w:i/>
                <w:iCs/>
                <w:strike/>
                <w:sz w:val="16"/>
                <w:szCs w:val="16"/>
                <w:lang w:eastAsia="en-GB"/>
              </w:rPr>
              <w:t xml:space="preserve"> and the SIP/SNAP project.</w:t>
            </w:r>
          </w:p>
          <w:p w14:paraId="11FC36A9" w14:textId="77777777" w:rsidR="00C55000" w:rsidRPr="00843D0B" w:rsidRDefault="00C55000" w:rsidP="00E848E8">
            <w:pPr>
              <w:spacing w:after="60" w:line="240" w:lineRule="auto"/>
              <w:jc w:val="both"/>
              <w:rPr>
                <w:rFonts w:eastAsia="Calibri"/>
                <w:i/>
                <w:iCs/>
                <w:strike/>
                <w:sz w:val="16"/>
                <w:szCs w:val="16"/>
                <w:lang w:eastAsia="en-GB"/>
              </w:rPr>
            </w:pPr>
            <w:r w:rsidRPr="00843D0B">
              <w:rPr>
                <w:rFonts w:eastAsia="Calibri"/>
                <w:i/>
                <w:iCs/>
                <w:strike/>
                <w:sz w:val="16"/>
                <w:szCs w:val="16"/>
                <w:lang w:eastAsia="en-GB"/>
              </w:rPr>
              <w:t>Please also complete the table below for each complementary measure or action.</w:t>
            </w:r>
          </w:p>
          <w:p w14:paraId="13C9A818" w14:textId="77777777" w:rsidR="00C55000" w:rsidRPr="00843D0B" w:rsidRDefault="00C55000" w:rsidP="00E848E8">
            <w:pPr>
              <w:spacing w:after="120" w:line="240" w:lineRule="auto"/>
              <w:jc w:val="both"/>
              <w:rPr>
                <w:rFonts w:eastAsia="Calibri" w:cs="Arial"/>
                <w:i/>
                <w:iCs/>
                <w:strike/>
                <w:sz w:val="16"/>
                <w:szCs w:val="16"/>
              </w:rPr>
            </w:pPr>
            <w:r w:rsidRPr="00843D0B">
              <w:rPr>
                <w:rFonts w:eastAsia="Calibri" w:cs="Arial"/>
                <w:i/>
                <w:iCs/>
                <w:strike/>
                <w:sz w:val="16"/>
                <w:szCs w:val="16"/>
              </w:rPr>
              <w:t xml:space="preserve">Final report: cover whole project duration. </w:t>
            </w:r>
          </w:p>
        </w:tc>
      </w:tr>
      <w:tr w:rsidR="00C55000" w:rsidRPr="00331884" w14:paraId="78D098BD" w14:textId="77777777" w:rsidTr="00E848E8">
        <w:trPr>
          <w:trHeight w:val="851"/>
        </w:trPr>
        <w:tc>
          <w:tcPr>
            <w:tcW w:w="5000" w:type="pct"/>
            <w:gridSpan w:val="5"/>
          </w:tcPr>
          <w:p w14:paraId="21146C44" w14:textId="24AAE393" w:rsidR="00C55000" w:rsidRPr="00843D0B" w:rsidRDefault="00843D0B" w:rsidP="00E848E8">
            <w:pPr>
              <w:spacing w:before="120" w:after="120"/>
              <w:ind w:right="6"/>
              <w:jc w:val="both"/>
              <w:rPr>
                <w:rFonts w:eastAsia="Calibri" w:cs="Arial"/>
                <w:sz w:val="18"/>
                <w:szCs w:val="18"/>
                <w:lang w:val="el-GR"/>
              </w:rPr>
            </w:pPr>
            <w:r>
              <w:rPr>
                <w:rFonts w:eastAsia="Calibri" w:cs="Arial"/>
                <w:sz w:val="18"/>
                <w:szCs w:val="18"/>
                <w:lang w:val="el-GR"/>
              </w:rPr>
              <w:t>Ν/Α</w:t>
            </w:r>
          </w:p>
          <w:p w14:paraId="278A24AD" w14:textId="77777777" w:rsidR="00C55000" w:rsidRPr="00331884" w:rsidRDefault="00C55000" w:rsidP="00E848E8">
            <w:pPr>
              <w:spacing w:before="120" w:after="120"/>
              <w:ind w:right="4"/>
              <w:jc w:val="both"/>
              <w:rPr>
                <w:rFonts w:eastAsia="Calibri" w:cs="Arial"/>
                <w:sz w:val="18"/>
                <w:szCs w:val="18"/>
              </w:rPr>
            </w:pPr>
          </w:p>
          <w:p w14:paraId="79ADCE9F" w14:textId="77777777" w:rsidR="00C55000" w:rsidRPr="00331884" w:rsidRDefault="00C55000" w:rsidP="00E848E8">
            <w:pPr>
              <w:spacing w:before="120" w:after="120"/>
              <w:ind w:right="4"/>
              <w:jc w:val="both"/>
              <w:rPr>
                <w:rFonts w:eastAsia="Calibri" w:cs="Arial"/>
                <w:sz w:val="18"/>
                <w:szCs w:val="18"/>
              </w:rPr>
            </w:pPr>
          </w:p>
          <w:p w14:paraId="1BDC986F" w14:textId="77777777" w:rsidR="00C55000" w:rsidRPr="00331884" w:rsidRDefault="00C55000" w:rsidP="00E848E8">
            <w:pPr>
              <w:spacing w:before="120" w:after="120"/>
              <w:jc w:val="both"/>
              <w:rPr>
                <w:rFonts w:cs="Arial"/>
                <w:sz w:val="18"/>
                <w:szCs w:val="20"/>
              </w:rPr>
            </w:pPr>
          </w:p>
        </w:tc>
      </w:tr>
      <w:tr w:rsidR="00C55000" w:rsidRPr="00331884" w14:paraId="32B5FF69" w14:textId="77777777" w:rsidTr="00E848E8">
        <w:trPr>
          <w:trHeight w:val="851"/>
        </w:trPr>
        <w:tc>
          <w:tcPr>
            <w:tcW w:w="912" w:type="pct"/>
            <w:shd w:val="clear" w:color="auto" w:fill="D9D9D9" w:themeFill="background1" w:themeFillShade="D9"/>
          </w:tcPr>
          <w:p w14:paraId="75807043" w14:textId="77777777" w:rsidR="00C55000" w:rsidRPr="00843D0B" w:rsidRDefault="00C55000" w:rsidP="00E848E8">
            <w:pPr>
              <w:spacing w:before="120" w:after="60"/>
              <w:ind w:right="4"/>
              <w:jc w:val="center"/>
              <w:rPr>
                <w:rFonts w:eastAsia="Calibri" w:cs="Arial"/>
                <w:b/>
                <w:bCs/>
                <w:strike/>
                <w:sz w:val="16"/>
                <w:szCs w:val="18"/>
              </w:rPr>
            </w:pPr>
            <w:r w:rsidRPr="00843D0B">
              <w:rPr>
                <w:b/>
                <w:bCs/>
                <w:strike/>
                <w:sz w:val="16"/>
                <w:szCs w:val="18"/>
              </w:rPr>
              <w:lastRenderedPageBreak/>
              <w:t>Name of complementary action</w:t>
            </w:r>
          </w:p>
        </w:tc>
        <w:tc>
          <w:tcPr>
            <w:tcW w:w="517" w:type="pct"/>
            <w:shd w:val="clear" w:color="auto" w:fill="D9D9D9" w:themeFill="background1" w:themeFillShade="D9"/>
          </w:tcPr>
          <w:p w14:paraId="5B5F9FDE" w14:textId="77777777" w:rsidR="00C55000" w:rsidRPr="00843D0B" w:rsidRDefault="00C55000" w:rsidP="00E848E8">
            <w:pPr>
              <w:spacing w:before="120" w:after="60"/>
              <w:ind w:right="4"/>
              <w:jc w:val="center"/>
              <w:rPr>
                <w:rFonts w:eastAsia="Calibri" w:cs="Arial"/>
                <w:b/>
                <w:bCs/>
                <w:strike/>
                <w:sz w:val="16"/>
                <w:szCs w:val="18"/>
              </w:rPr>
            </w:pPr>
            <w:r w:rsidRPr="00843D0B">
              <w:rPr>
                <w:b/>
                <w:bCs/>
                <w:strike/>
                <w:sz w:val="16"/>
                <w:szCs w:val="18"/>
              </w:rPr>
              <w:t>Source of funding</w:t>
            </w:r>
          </w:p>
        </w:tc>
        <w:tc>
          <w:tcPr>
            <w:tcW w:w="636" w:type="pct"/>
            <w:shd w:val="clear" w:color="auto" w:fill="D9D9D9" w:themeFill="background1" w:themeFillShade="D9"/>
          </w:tcPr>
          <w:p w14:paraId="7E84E648" w14:textId="77777777" w:rsidR="00C55000" w:rsidRPr="00843D0B" w:rsidRDefault="00C55000" w:rsidP="00E848E8">
            <w:pPr>
              <w:spacing w:before="120" w:after="0"/>
              <w:ind w:right="4"/>
              <w:jc w:val="center"/>
              <w:rPr>
                <w:b/>
                <w:bCs/>
                <w:strike/>
                <w:sz w:val="16"/>
                <w:szCs w:val="18"/>
              </w:rPr>
            </w:pPr>
            <w:r w:rsidRPr="00843D0B">
              <w:rPr>
                <w:b/>
                <w:bCs/>
                <w:strike/>
                <w:sz w:val="16"/>
                <w:szCs w:val="18"/>
              </w:rPr>
              <w:t>Estimated funding amount</w:t>
            </w:r>
          </w:p>
          <w:p w14:paraId="4B8341CE" w14:textId="77777777" w:rsidR="00C55000" w:rsidRPr="00843D0B" w:rsidRDefault="00C55000" w:rsidP="00E848E8">
            <w:pPr>
              <w:spacing w:after="120"/>
              <w:ind w:right="4"/>
              <w:jc w:val="center"/>
              <w:rPr>
                <w:rFonts w:eastAsia="Calibri" w:cs="Arial"/>
                <w:i/>
                <w:iCs/>
                <w:strike/>
                <w:sz w:val="16"/>
                <w:szCs w:val="16"/>
              </w:rPr>
            </w:pPr>
            <w:r w:rsidRPr="00843D0B">
              <w:rPr>
                <w:i/>
                <w:iCs/>
                <w:strike/>
                <w:sz w:val="16"/>
                <w:szCs w:val="16"/>
              </w:rPr>
              <w:t>as per proposal application</w:t>
            </w:r>
          </w:p>
        </w:tc>
        <w:tc>
          <w:tcPr>
            <w:tcW w:w="810" w:type="pct"/>
            <w:shd w:val="clear" w:color="auto" w:fill="D9D9D9" w:themeFill="background1" w:themeFillShade="D9"/>
          </w:tcPr>
          <w:p w14:paraId="05805A2D" w14:textId="77777777" w:rsidR="00C55000" w:rsidRPr="00843D0B" w:rsidRDefault="00C55000" w:rsidP="00E848E8">
            <w:pPr>
              <w:spacing w:before="120" w:after="0"/>
              <w:ind w:right="4"/>
              <w:jc w:val="center"/>
              <w:rPr>
                <w:b/>
                <w:bCs/>
                <w:strike/>
                <w:sz w:val="16"/>
                <w:szCs w:val="18"/>
              </w:rPr>
            </w:pPr>
            <w:r w:rsidRPr="00843D0B">
              <w:rPr>
                <w:b/>
                <w:bCs/>
                <w:strike/>
                <w:sz w:val="16"/>
                <w:szCs w:val="18"/>
              </w:rPr>
              <w:t>Actual funding amounts to date</w:t>
            </w:r>
          </w:p>
          <w:p w14:paraId="281017C3" w14:textId="77777777" w:rsidR="00C55000" w:rsidRPr="00843D0B" w:rsidRDefault="00C55000" w:rsidP="00E848E8">
            <w:pPr>
              <w:spacing w:after="60"/>
              <w:ind w:right="4"/>
              <w:jc w:val="center"/>
              <w:rPr>
                <w:rFonts w:eastAsia="Calibri" w:cs="Arial"/>
                <w:i/>
                <w:iCs/>
                <w:strike/>
                <w:sz w:val="16"/>
                <w:szCs w:val="16"/>
              </w:rPr>
            </w:pPr>
            <w:r w:rsidRPr="00843D0B">
              <w:rPr>
                <w:i/>
                <w:iCs/>
                <w:strike/>
                <w:sz w:val="16"/>
                <w:szCs w:val="16"/>
              </w:rPr>
              <w:t>committed (C), mobilised (M) and/or spent (S)</w:t>
            </w:r>
          </w:p>
        </w:tc>
        <w:tc>
          <w:tcPr>
            <w:tcW w:w="2125" w:type="pct"/>
            <w:shd w:val="clear" w:color="auto" w:fill="D9D9D9" w:themeFill="background1" w:themeFillShade="D9"/>
          </w:tcPr>
          <w:p w14:paraId="0C6C5C26" w14:textId="77777777" w:rsidR="00C55000" w:rsidRPr="00843D0B" w:rsidRDefault="00C55000" w:rsidP="00E848E8">
            <w:pPr>
              <w:spacing w:before="120" w:after="60"/>
              <w:jc w:val="center"/>
              <w:rPr>
                <w:b/>
                <w:bCs/>
                <w:strike/>
                <w:sz w:val="16"/>
                <w:szCs w:val="18"/>
              </w:rPr>
            </w:pPr>
            <w:r w:rsidRPr="00843D0B">
              <w:rPr>
                <w:b/>
                <w:bCs/>
                <w:strike/>
                <w:sz w:val="16"/>
                <w:szCs w:val="18"/>
              </w:rPr>
              <w:t>Contribution to targeted Plan/Strategy/Action plan</w:t>
            </w:r>
          </w:p>
          <w:p w14:paraId="3417DC25" w14:textId="77777777" w:rsidR="00C55000" w:rsidRPr="00843D0B" w:rsidRDefault="00C55000" w:rsidP="00E848E8">
            <w:pPr>
              <w:spacing w:after="60"/>
              <w:jc w:val="center"/>
              <w:rPr>
                <w:i/>
                <w:iCs/>
                <w:strike/>
                <w:sz w:val="16"/>
                <w:szCs w:val="16"/>
              </w:rPr>
            </w:pPr>
            <w:r w:rsidRPr="00843D0B">
              <w:rPr>
                <w:i/>
                <w:iCs/>
                <w:strike/>
                <w:sz w:val="16"/>
                <w:szCs w:val="16"/>
              </w:rPr>
              <w:t>How did the SIP/SNAP project work with the complementary measure or action (e.g. regular phone calls, joint project or conference, common paper, etc.)?</w:t>
            </w:r>
          </w:p>
          <w:p w14:paraId="12655614" w14:textId="77777777" w:rsidR="00C55000" w:rsidRPr="00843D0B" w:rsidRDefault="00C55000" w:rsidP="00E848E8">
            <w:pPr>
              <w:spacing w:after="60"/>
              <w:jc w:val="center"/>
              <w:rPr>
                <w:i/>
                <w:iCs/>
                <w:strike/>
                <w:sz w:val="16"/>
                <w:szCs w:val="16"/>
              </w:rPr>
            </w:pPr>
            <w:r w:rsidRPr="00843D0B">
              <w:rPr>
                <w:i/>
                <w:iCs/>
                <w:strike/>
                <w:sz w:val="16"/>
                <w:szCs w:val="16"/>
              </w:rPr>
              <w:t>Which SIP/SNAP work packages or tasks are linked? Provide references, web links to reports, dates and other relevant information.</w:t>
            </w:r>
          </w:p>
          <w:p w14:paraId="54A4008D" w14:textId="77777777" w:rsidR="00C55000" w:rsidRPr="00843D0B" w:rsidRDefault="00C55000" w:rsidP="00E848E8">
            <w:pPr>
              <w:spacing w:after="120"/>
              <w:ind w:right="4"/>
              <w:jc w:val="center"/>
              <w:rPr>
                <w:rFonts w:eastAsia="Calibri" w:cs="Arial"/>
                <w:b/>
                <w:bCs/>
                <w:strike/>
                <w:sz w:val="18"/>
                <w:szCs w:val="18"/>
              </w:rPr>
            </w:pPr>
            <w:r w:rsidRPr="00843D0B">
              <w:rPr>
                <w:i/>
                <w:iCs/>
                <w:strike/>
                <w:sz w:val="16"/>
                <w:szCs w:val="16"/>
              </w:rPr>
              <w:t>Highlight how the SIP/SNAP project facilitated the implementation of the complementary measure or action.</w:t>
            </w:r>
          </w:p>
        </w:tc>
      </w:tr>
      <w:tr w:rsidR="00C55000" w:rsidRPr="00331884" w14:paraId="1E617C45" w14:textId="77777777" w:rsidTr="00E848E8">
        <w:trPr>
          <w:trHeight w:val="851"/>
        </w:trPr>
        <w:tc>
          <w:tcPr>
            <w:tcW w:w="912" w:type="pct"/>
          </w:tcPr>
          <w:p w14:paraId="0B141EFD" w14:textId="77777777" w:rsidR="00C55000" w:rsidRPr="00331884" w:rsidRDefault="00C55000" w:rsidP="00E848E8">
            <w:pPr>
              <w:spacing w:before="120" w:after="120"/>
              <w:ind w:right="4"/>
              <w:rPr>
                <w:rFonts w:eastAsia="Calibri" w:cs="Arial"/>
                <w:sz w:val="18"/>
                <w:szCs w:val="18"/>
              </w:rPr>
            </w:pPr>
            <w:r w:rsidRPr="00331884">
              <w:rPr>
                <w:rFonts w:eastAsia="Calibri" w:cs="Arial"/>
                <w:sz w:val="18"/>
                <w:szCs w:val="18"/>
              </w:rPr>
              <w:t>Insert text</w:t>
            </w:r>
          </w:p>
          <w:p w14:paraId="1DF57A19" w14:textId="77777777" w:rsidR="00C55000" w:rsidRPr="00331884" w:rsidRDefault="00C55000" w:rsidP="00E848E8">
            <w:pPr>
              <w:spacing w:before="120" w:after="120"/>
              <w:ind w:right="4"/>
              <w:rPr>
                <w:sz w:val="18"/>
                <w:szCs w:val="18"/>
              </w:rPr>
            </w:pPr>
          </w:p>
        </w:tc>
        <w:tc>
          <w:tcPr>
            <w:tcW w:w="517" w:type="pct"/>
          </w:tcPr>
          <w:p w14:paraId="6D59CEAC" w14:textId="77777777" w:rsidR="00C55000" w:rsidRPr="00331884" w:rsidRDefault="00C55000" w:rsidP="00E848E8">
            <w:pPr>
              <w:spacing w:before="120" w:after="120"/>
              <w:ind w:right="4"/>
              <w:rPr>
                <w:rFonts w:eastAsia="Calibri" w:cs="Arial"/>
                <w:sz w:val="18"/>
                <w:szCs w:val="18"/>
              </w:rPr>
            </w:pPr>
            <w:r w:rsidRPr="00331884">
              <w:rPr>
                <w:rFonts w:eastAsia="Calibri" w:cs="Arial"/>
                <w:sz w:val="18"/>
                <w:szCs w:val="18"/>
              </w:rPr>
              <w:t>Insert text</w:t>
            </w:r>
          </w:p>
          <w:p w14:paraId="295A822A" w14:textId="77777777" w:rsidR="00C55000" w:rsidRPr="00331884" w:rsidRDefault="00C55000" w:rsidP="00E848E8">
            <w:pPr>
              <w:spacing w:before="120" w:after="120"/>
              <w:ind w:right="4"/>
              <w:rPr>
                <w:sz w:val="18"/>
                <w:szCs w:val="18"/>
              </w:rPr>
            </w:pPr>
          </w:p>
        </w:tc>
        <w:tc>
          <w:tcPr>
            <w:tcW w:w="636" w:type="pct"/>
          </w:tcPr>
          <w:p w14:paraId="10404B78" w14:textId="77777777" w:rsidR="00C55000" w:rsidRPr="00331884" w:rsidRDefault="00C55000" w:rsidP="00E848E8">
            <w:pPr>
              <w:spacing w:before="120" w:after="120"/>
              <w:ind w:right="4"/>
              <w:rPr>
                <w:rFonts w:eastAsia="Calibri" w:cs="Arial"/>
                <w:sz w:val="18"/>
                <w:szCs w:val="18"/>
              </w:rPr>
            </w:pPr>
            <w:r w:rsidRPr="00331884">
              <w:rPr>
                <w:rFonts w:eastAsia="Calibri" w:cs="Arial"/>
                <w:sz w:val="18"/>
                <w:szCs w:val="18"/>
              </w:rPr>
              <w:t>EUR XXX million</w:t>
            </w:r>
          </w:p>
          <w:p w14:paraId="0D9BF5A4" w14:textId="77777777" w:rsidR="00C55000" w:rsidRPr="00331884" w:rsidRDefault="00C55000" w:rsidP="00E848E8">
            <w:pPr>
              <w:spacing w:before="120" w:after="120"/>
              <w:ind w:right="4"/>
              <w:rPr>
                <w:sz w:val="18"/>
                <w:szCs w:val="18"/>
              </w:rPr>
            </w:pPr>
          </w:p>
        </w:tc>
        <w:tc>
          <w:tcPr>
            <w:tcW w:w="810" w:type="pct"/>
          </w:tcPr>
          <w:p w14:paraId="332B4D26" w14:textId="77777777" w:rsidR="00C55000" w:rsidRPr="00331884" w:rsidRDefault="00C55000" w:rsidP="00E848E8">
            <w:pPr>
              <w:spacing w:before="120" w:after="120"/>
              <w:ind w:right="4"/>
              <w:rPr>
                <w:rFonts w:eastAsia="Calibri" w:cs="Arial"/>
                <w:sz w:val="18"/>
                <w:szCs w:val="18"/>
                <w:lang w:val="fr-BE"/>
              </w:rPr>
            </w:pPr>
            <w:r w:rsidRPr="00331884">
              <w:rPr>
                <w:rFonts w:eastAsia="Calibri" w:cs="Arial"/>
                <w:sz w:val="18"/>
                <w:szCs w:val="18"/>
                <w:lang w:val="fr-BE"/>
              </w:rPr>
              <w:t>[EUR XXX million (C)]</w:t>
            </w:r>
          </w:p>
          <w:p w14:paraId="1F3B89F7" w14:textId="77777777" w:rsidR="00C55000" w:rsidRPr="00331884" w:rsidRDefault="00C55000" w:rsidP="00E848E8">
            <w:pPr>
              <w:spacing w:before="120" w:after="120"/>
              <w:ind w:right="4"/>
              <w:rPr>
                <w:rFonts w:eastAsia="Calibri" w:cs="Arial"/>
                <w:sz w:val="18"/>
                <w:szCs w:val="18"/>
                <w:lang w:val="fr-BE"/>
              </w:rPr>
            </w:pPr>
            <w:r w:rsidRPr="00331884">
              <w:rPr>
                <w:rFonts w:eastAsia="Calibri" w:cs="Arial"/>
                <w:sz w:val="18"/>
                <w:szCs w:val="18"/>
                <w:lang w:val="fr-BE"/>
              </w:rPr>
              <w:t>[EUR XXX million (M)]</w:t>
            </w:r>
          </w:p>
          <w:p w14:paraId="4A28966E" w14:textId="77777777" w:rsidR="00C55000" w:rsidRPr="00331884" w:rsidRDefault="00C55000" w:rsidP="00E848E8">
            <w:pPr>
              <w:spacing w:before="120" w:after="120"/>
              <w:ind w:right="4"/>
              <w:rPr>
                <w:rFonts w:eastAsia="Calibri" w:cs="Arial"/>
                <w:sz w:val="18"/>
                <w:szCs w:val="18"/>
              </w:rPr>
            </w:pPr>
            <w:r w:rsidRPr="00331884">
              <w:rPr>
                <w:rFonts w:eastAsia="Calibri" w:cs="Arial"/>
                <w:sz w:val="18"/>
                <w:szCs w:val="18"/>
              </w:rPr>
              <w:t>[EUR XXX million (S)]</w:t>
            </w:r>
          </w:p>
          <w:p w14:paraId="121FE1AA" w14:textId="77777777" w:rsidR="00C55000" w:rsidRPr="00331884" w:rsidRDefault="00C55000" w:rsidP="00E848E8">
            <w:pPr>
              <w:spacing w:before="120" w:after="120"/>
              <w:ind w:right="4"/>
              <w:rPr>
                <w:sz w:val="18"/>
                <w:szCs w:val="18"/>
              </w:rPr>
            </w:pPr>
          </w:p>
        </w:tc>
        <w:tc>
          <w:tcPr>
            <w:tcW w:w="2125" w:type="pct"/>
          </w:tcPr>
          <w:p w14:paraId="6C20F938" w14:textId="77777777" w:rsidR="00C55000" w:rsidRPr="00331884" w:rsidRDefault="00C55000" w:rsidP="00E848E8">
            <w:pPr>
              <w:spacing w:before="120" w:after="120"/>
              <w:ind w:right="4"/>
              <w:rPr>
                <w:rFonts w:eastAsia="Calibri" w:cs="Arial"/>
                <w:sz w:val="18"/>
                <w:szCs w:val="18"/>
              </w:rPr>
            </w:pPr>
            <w:r w:rsidRPr="00331884">
              <w:rPr>
                <w:rFonts w:eastAsia="Calibri" w:cs="Arial"/>
                <w:sz w:val="18"/>
                <w:szCs w:val="18"/>
              </w:rPr>
              <w:t>Insert text</w:t>
            </w:r>
          </w:p>
          <w:p w14:paraId="4805B79A" w14:textId="77777777" w:rsidR="00C55000" w:rsidRPr="00331884" w:rsidRDefault="00C55000" w:rsidP="00E848E8">
            <w:pPr>
              <w:spacing w:before="120" w:after="120"/>
              <w:rPr>
                <w:sz w:val="18"/>
                <w:szCs w:val="18"/>
              </w:rPr>
            </w:pPr>
          </w:p>
        </w:tc>
      </w:tr>
    </w:tbl>
    <w:p w14:paraId="1CE91712" w14:textId="77777777" w:rsidR="00C55000" w:rsidRDefault="00C55000" w:rsidP="00C55000">
      <w:pPr>
        <w:rPr>
          <w:noProof/>
        </w:rPr>
      </w:pPr>
      <w:r w:rsidRPr="009F361C">
        <w:rPr>
          <w:rFonts w:cs="Arial"/>
          <w:noProof/>
          <w:color w:val="B5B5B5"/>
          <w:sz w:val="16"/>
          <w:szCs w:val="16"/>
        </w:rPr>
        <w:t>#</w:t>
      </w:r>
      <w:r>
        <w:rPr>
          <w:rFonts w:cs="Arial"/>
          <w:noProof/>
          <w:color w:val="B5B5B5"/>
          <w:sz w:val="16"/>
          <w:szCs w:val="16"/>
        </w:rPr>
        <w:t>§</w:t>
      </w:r>
      <w:r w:rsidRPr="009F361C">
        <w:rPr>
          <w:rFonts w:cs="Arial"/>
          <w:noProof/>
          <w:color w:val="B5B5B5"/>
          <w:sz w:val="16"/>
          <w:szCs w:val="16"/>
        </w:rPr>
        <w:t>IMP-ACT-IA</w:t>
      </w:r>
      <w:r>
        <w:rPr>
          <w:rFonts w:cs="Arial"/>
          <w:noProof/>
          <w:color w:val="B5B5B5"/>
          <w:sz w:val="16"/>
          <w:szCs w:val="16"/>
        </w:rPr>
        <w:t>§</w:t>
      </w:r>
      <w:r w:rsidRPr="009F361C">
        <w:rPr>
          <w:rFonts w:cs="Arial"/>
          <w:noProof/>
          <w:color w:val="B5B5B5"/>
          <w:sz w:val="16"/>
          <w:szCs w:val="16"/>
        </w:rPr>
        <w:t>#</w:t>
      </w:r>
    </w:p>
    <w:p w14:paraId="3526C343" w14:textId="77777777" w:rsidR="00591B52" w:rsidRDefault="00591B52" w:rsidP="00A47BAB">
      <w:pPr>
        <w:rPr>
          <w:lang w:eastAsia="en-GB"/>
        </w:rPr>
      </w:pPr>
    </w:p>
    <w:p w14:paraId="2B1DC43F" w14:textId="77777777" w:rsidR="00C55000" w:rsidRDefault="00C55000" w:rsidP="00A47BAB">
      <w:pPr>
        <w:rPr>
          <w:lang w:eastAsia="en-GB"/>
        </w:rPr>
        <w:sectPr w:rsidR="00C55000" w:rsidSect="00054D3E">
          <w:headerReference w:type="default" r:id="rId13"/>
          <w:footerReference w:type="default" r:id="rId14"/>
          <w:pgSz w:w="11906" w:h="16838"/>
          <w:pgMar w:top="1560" w:right="1588" w:bottom="1276" w:left="1588" w:header="709" w:footer="709" w:gutter="0"/>
          <w:cols w:space="708"/>
          <w:docGrid w:linePitch="360"/>
        </w:sectPr>
      </w:pPr>
    </w:p>
    <w:p w14:paraId="2FFE75BC" w14:textId="77777777" w:rsidR="008556EC" w:rsidRDefault="008556EC" w:rsidP="008556EC">
      <w:bookmarkStart w:id="33" w:name="_Toc495508573"/>
      <w:bookmarkStart w:id="34" w:name="_Toc495592684"/>
      <w:r w:rsidRPr="000E722D">
        <w:rPr>
          <w:rFonts w:cs="Arial"/>
          <w:noProof/>
          <w:color w:val="B5B5B5"/>
          <w:sz w:val="16"/>
          <w:szCs w:val="16"/>
          <w:lang w:val="en-US"/>
        </w:rPr>
        <w:lastRenderedPageBreak/>
        <w:t>#@WRK-PLA-WP@#</w:t>
      </w:r>
    </w:p>
    <w:p w14:paraId="4FF786C3" w14:textId="77777777" w:rsidR="00200D1C" w:rsidRPr="00117DA4" w:rsidRDefault="00C505B1" w:rsidP="008B7631">
      <w:pPr>
        <w:pStyle w:val="Heading2"/>
      </w:pPr>
      <w:bookmarkStart w:id="35" w:name="_Toc227846967"/>
      <w:r>
        <w:t>3</w:t>
      </w:r>
      <w:r w:rsidR="00200D1C" w:rsidRPr="00EB7BE5">
        <w:t xml:space="preserve">. </w:t>
      </w:r>
      <w:r w:rsidR="00170015" w:rsidRPr="00EB7BE5">
        <w:t>IMPLEMENTATION</w:t>
      </w:r>
      <w:bookmarkEnd w:id="33"/>
      <w:bookmarkEnd w:id="34"/>
      <w:bookmarkEnd w:id="35"/>
    </w:p>
    <w:p w14:paraId="65F9BC08" w14:textId="77777777" w:rsidR="00A8725B" w:rsidRPr="00117DA4" w:rsidRDefault="00C505B1" w:rsidP="008B7631">
      <w:pPr>
        <w:pStyle w:val="Heading3"/>
      </w:pPr>
      <w:bookmarkStart w:id="36" w:name="_Toc495508574"/>
      <w:bookmarkStart w:id="37" w:name="_Toc495592685"/>
      <w:bookmarkStart w:id="38" w:name="_Toc497146903"/>
      <w:bookmarkStart w:id="39" w:name="_Toc227846968"/>
      <w:r>
        <w:t>3</w:t>
      </w:r>
      <w:r w:rsidR="00A47BAB">
        <w:t>.1</w:t>
      </w:r>
      <w:r w:rsidR="00200D1C" w:rsidRPr="51F6A2C3">
        <w:t xml:space="preserve"> </w:t>
      </w:r>
      <w:bookmarkEnd w:id="36"/>
      <w:bookmarkEnd w:id="37"/>
      <w:bookmarkEnd w:id="38"/>
      <w:r w:rsidR="00A52D5D" w:rsidRPr="00B65761">
        <w:t>Work packages, activities, resources and timing</w:t>
      </w:r>
      <w:bookmarkEnd w:id="39"/>
    </w:p>
    <w:tbl>
      <w:tblPr>
        <w:tblW w:w="9236"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1E0" w:firstRow="1" w:lastRow="1" w:firstColumn="1" w:lastColumn="1" w:noHBand="0" w:noVBand="0"/>
      </w:tblPr>
      <w:tblGrid>
        <w:gridCol w:w="9236"/>
      </w:tblGrid>
      <w:tr w:rsidR="00200D1C" w:rsidRPr="00200D1C" w14:paraId="3CF1A645" w14:textId="77777777" w:rsidTr="00C55000">
        <w:trPr>
          <w:trHeight w:val="588"/>
        </w:trPr>
        <w:tc>
          <w:tcPr>
            <w:tcW w:w="9236" w:type="dxa"/>
            <w:shd w:val="clear" w:color="auto" w:fill="D9D9D9" w:themeFill="background1" w:themeFillShade="D9"/>
          </w:tcPr>
          <w:p w14:paraId="38AF6CE7" w14:textId="77777777" w:rsidR="005F3529" w:rsidRPr="009236BA" w:rsidRDefault="00200D1C" w:rsidP="51F6A2C3">
            <w:pPr>
              <w:spacing w:before="240" w:after="240" w:line="240" w:lineRule="auto"/>
              <w:jc w:val="both"/>
              <w:rPr>
                <w:rFonts w:eastAsia="Times New Roman" w:cs="Arial"/>
                <w:b/>
                <w:bCs/>
                <w:color w:val="595959"/>
              </w:rPr>
            </w:pPr>
            <w:r w:rsidRPr="51F6A2C3">
              <w:rPr>
                <w:rFonts w:eastAsia="Times New Roman" w:cs="Arial"/>
                <w:b/>
                <w:bCs/>
                <w:color w:val="595959"/>
              </w:rPr>
              <w:t>WORK PACKAGES</w:t>
            </w:r>
            <w:r w:rsidR="007E2E50" w:rsidRPr="51F6A2C3">
              <w:rPr>
                <w:rFonts w:eastAsia="Times New Roman" w:cs="Arial"/>
                <w:i/>
                <w:iCs/>
                <w:color w:val="595959"/>
                <w:sz w:val="16"/>
                <w:szCs w:val="16"/>
              </w:rPr>
              <w:t xml:space="preserve"> </w:t>
            </w:r>
          </w:p>
        </w:tc>
      </w:tr>
    </w:tbl>
    <w:p w14:paraId="1D84826E" w14:textId="77777777" w:rsidR="00200D1C" w:rsidRPr="00200D1C" w:rsidRDefault="00200D1C" w:rsidP="00117DA4">
      <w:pPr>
        <w:rPr>
          <w:lang w:eastAsia="en-GB"/>
        </w:rPr>
      </w:pPr>
    </w:p>
    <w:p w14:paraId="7F8C75DF" w14:textId="77777777" w:rsidR="00200D1C" w:rsidRPr="00110BC6" w:rsidRDefault="00200D1C" w:rsidP="008B7631">
      <w:pPr>
        <w:pStyle w:val="Heading4"/>
        <w:rPr>
          <w:sz w:val="18"/>
          <w:szCs w:val="18"/>
        </w:rPr>
      </w:pPr>
      <w:bookmarkStart w:id="40" w:name="_Toc495592686"/>
      <w:bookmarkStart w:id="41" w:name="_Toc227846969"/>
      <w:r w:rsidRPr="00110BC6">
        <w:t xml:space="preserve">Work </w:t>
      </w:r>
      <w:r w:rsidR="00837BBB">
        <w:t>P</w:t>
      </w:r>
      <w:r w:rsidRPr="00A32534">
        <w:t>ackage</w:t>
      </w:r>
      <w:r w:rsidRPr="51F6A2C3">
        <w:t xml:space="preserve"> </w:t>
      </w:r>
      <w:bookmarkEnd w:id="40"/>
      <w:r w:rsidR="00532BC3">
        <w:t>1</w:t>
      </w:r>
      <w:bookmarkEnd w:id="41"/>
    </w:p>
    <w:tbl>
      <w:tblPr>
        <w:tblW w:w="4842" w:type="pct"/>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3012"/>
        <w:gridCol w:w="6066"/>
      </w:tblGrid>
      <w:tr w:rsidR="00200D1C" w:rsidRPr="00200D1C" w14:paraId="0123AFAA" w14:textId="77777777" w:rsidTr="008E043B">
        <w:trPr>
          <w:trHeight w:val="417"/>
        </w:trPr>
        <w:tc>
          <w:tcPr>
            <w:tcW w:w="5000" w:type="pct"/>
            <w:gridSpan w:val="2"/>
            <w:tcBorders>
              <w:bottom w:val="single" w:sz="12" w:space="0" w:color="A6A6A6" w:themeColor="background1" w:themeShade="A6"/>
            </w:tcBorders>
            <w:shd w:val="clear" w:color="auto" w:fill="D9D9D9" w:themeFill="background1" w:themeFillShade="D9"/>
          </w:tcPr>
          <w:p w14:paraId="4A92E9E4" w14:textId="0FF63140" w:rsidR="00200D1C" w:rsidRPr="00420A4A" w:rsidRDefault="00837BBB" w:rsidP="51F6A2C3">
            <w:pPr>
              <w:spacing w:before="240" w:after="240" w:line="240" w:lineRule="auto"/>
              <w:rPr>
                <w:rFonts w:eastAsia="Times New Roman" w:cs="Arial"/>
                <w:b/>
                <w:bCs/>
                <w:color w:val="595959"/>
              </w:rPr>
            </w:pPr>
            <w:r w:rsidRPr="51F6A2C3">
              <w:rPr>
                <w:rFonts w:eastAsia="Times New Roman" w:cs="Arial"/>
                <w:b/>
                <w:bCs/>
                <w:color w:val="595959"/>
              </w:rPr>
              <w:t>Work P</w:t>
            </w:r>
            <w:r w:rsidR="00200D1C" w:rsidRPr="51F6A2C3">
              <w:rPr>
                <w:rFonts w:eastAsia="Times New Roman" w:cs="Arial"/>
                <w:b/>
                <w:bCs/>
                <w:color w:val="595959"/>
              </w:rPr>
              <w:t xml:space="preserve">ackage </w:t>
            </w:r>
            <w:r w:rsidR="00532BC3" w:rsidRPr="51F6A2C3">
              <w:rPr>
                <w:rFonts w:eastAsia="Times New Roman" w:cs="Arial"/>
                <w:b/>
                <w:bCs/>
                <w:color w:val="595959"/>
              </w:rPr>
              <w:t>1</w:t>
            </w:r>
            <w:r w:rsidR="00200D1C" w:rsidRPr="51F6A2C3">
              <w:rPr>
                <w:rFonts w:eastAsia="Times New Roman" w:cs="Arial"/>
                <w:b/>
                <w:bCs/>
                <w:color w:val="595959"/>
              </w:rPr>
              <w:t xml:space="preserve">: </w:t>
            </w:r>
            <w:r w:rsidR="005F3529" w:rsidRPr="51F6A2C3">
              <w:rPr>
                <w:rFonts w:eastAsia="Times New Roman" w:cs="Arial"/>
                <w:b/>
                <w:bCs/>
                <w:color w:val="595959"/>
              </w:rPr>
              <w:t>[</w:t>
            </w:r>
            <w:r w:rsidR="00BF6A1A" w:rsidRPr="00BF6A1A">
              <w:rPr>
                <w:rFonts w:eastAsia="Times New Roman" w:cs="Arial"/>
                <w:b/>
                <w:bCs/>
                <w:color w:val="595959"/>
              </w:rPr>
              <w:t>Project management and coordination</w:t>
            </w:r>
            <w:r w:rsidR="00BB55C3" w:rsidRPr="51F6A2C3">
              <w:rPr>
                <w:rFonts w:eastAsia="Times New Roman" w:cs="Arial"/>
                <w:b/>
                <w:bCs/>
                <w:color w:val="595959"/>
              </w:rPr>
              <w:t>]</w:t>
            </w:r>
          </w:p>
        </w:tc>
      </w:tr>
      <w:tr w:rsidR="00200D1C" w:rsidRPr="00200D1C" w14:paraId="1A0BEEF1" w14:textId="77777777" w:rsidTr="008E043B">
        <w:tc>
          <w:tcPr>
            <w:tcW w:w="5000" w:type="pct"/>
            <w:gridSpan w:val="2"/>
            <w:shd w:val="clear" w:color="auto" w:fill="D9D9D9" w:themeFill="background1" w:themeFillShade="D9"/>
          </w:tcPr>
          <w:p w14:paraId="5116CC72" w14:textId="77777777" w:rsidR="00200D1C" w:rsidRPr="00D14AA2" w:rsidRDefault="00E40C70" w:rsidP="51F6A2C3">
            <w:pPr>
              <w:spacing w:before="120" w:after="120" w:line="240" w:lineRule="auto"/>
              <w:rPr>
                <w:rFonts w:eastAsia="Times New Roman" w:cs="Arial"/>
                <w:b/>
                <w:bCs/>
                <w:color w:val="595959"/>
                <w:sz w:val="18"/>
                <w:szCs w:val="18"/>
              </w:rPr>
            </w:pPr>
            <w:r w:rsidRPr="51F6A2C3">
              <w:rPr>
                <w:rFonts w:eastAsia="Times New Roman" w:cs="Arial"/>
                <w:b/>
                <w:bCs/>
                <w:color w:val="595959"/>
                <w:sz w:val="18"/>
                <w:szCs w:val="18"/>
              </w:rPr>
              <w:t>A</w:t>
            </w:r>
            <w:r w:rsidR="00200D1C" w:rsidRPr="51F6A2C3">
              <w:rPr>
                <w:rFonts w:eastAsia="Times New Roman" w:cs="Arial"/>
                <w:b/>
                <w:bCs/>
                <w:color w:val="595959"/>
                <w:sz w:val="18"/>
                <w:szCs w:val="18"/>
              </w:rPr>
              <w:t xml:space="preserve">ctivities </w:t>
            </w:r>
          </w:p>
          <w:p w14:paraId="72AE1A63" w14:textId="77777777" w:rsidR="003A659F" w:rsidRPr="003A659F" w:rsidRDefault="003A659F" w:rsidP="51F6A2C3">
            <w:pPr>
              <w:spacing w:before="120" w:after="60" w:line="240" w:lineRule="auto"/>
              <w:jc w:val="both"/>
              <w:rPr>
                <w:rFonts w:eastAsia="Times New Roman" w:cs="Arial"/>
                <w:i/>
                <w:iCs/>
                <w:sz w:val="16"/>
                <w:szCs w:val="16"/>
                <w:lang w:eastAsia="en-GB"/>
              </w:rPr>
            </w:pPr>
            <w:r w:rsidRPr="51F6A2C3">
              <w:rPr>
                <w:rFonts w:eastAsia="Times New Roman" w:cs="Arial"/>
                <w:i/>
                <w:iCs/>
                <w:kern w:val="32"/>
                <w:sz w:val="16"/>
                <w:szCs w:val="16"/>
                <w:lang w:eastAsia="en-GB"/>
              </w:rPr>
              <w:t xml:space="preserve">Explain the work carried out for each work package during the reporting period, giving details of the work carried out by each participant </w:t>
            </w:r>
            <w:r w:rsidRPr="00AF2ECC">
              <w:rPr>
                <w:rFonts w:eastAsia="Times New Roman" w:cs="Arial"/>
                <w:i/>
                <w:iCs/>
                <w:kern w:val="32"/>
                <w:sz w:val="16"/>
                <w:szCs w:val="16"/>
                <w:lang w:eastAsia="en-GB"/>
              </w:rPr>
              <w:t>involved.</w:t>
            </w:r>
            <w:r w:rsidR="00AF2ECC" w:rsidRPr="00AF2ECC">
              <w:rPr>
                <w:rFonts w:eastAsia="Times New Roman" w:cs="Arial"/>
                <w:i/>
                <w:iCs/>
                <w:kern w:val="32"/>
                <w:sz w:val="16"/>
                <w:szCs w:val="16"/>
                <w:lang w:eastAsia="en-GB"/>
              </w:rPr>
              <w:t xml:space="preserve"> Please summarise in a few sentences what was done in the previous period, when applicable.</w:t>
            </w:r>
          </w:p>
          <w:p w14:paraId="1C373FA1" w14:textId="77777777" w:rsidR="003A659F" w:rsidRPr="003A659F" w:rsidRDefault="003A659F" w:rsidP="51F6A2C3">
            <w:pPr>
              <w:spacing w:after="60" w:line="240" w:lineRule="auto"/>
              <w:jc w:val="both"/>
              <w:rPr>
                <w:rFonts w:eastAsia="Times New Roman" w:cs="Arial"/>
                <w:i/>
                <w:iCs/>
                <w:sz w:val="16"/>
                <w:szCs w:val="16"/>
                <w:lang w:eastAsia="en-GB"/>
              </w:rPr>
            </w:pPr>
            <w:r w:rsidRPr="51F6A2C3">
              <w:rPr>
                <w:rFonts w:cs="Arial"/>
                <w:i/>
                <w:iCs/>
                <w:sz w:val="16"/>
                <w:szCs w:val="16"/>
              </w:rPr>
              <w:t xml:space="preserve">Explain the reasons for </w:t>
            </w:r>
            <w:r w:rsidRPr="51F6A2C3">
              <w:rPr>
                <w:rFonts w:cs="Arial"/>
                <w:i/>
                <w:iCs/>
                <w:sz w:val="16"/>
                <w:szCs w:val="16"/>
                <w:u w:val="single"/>
              </w:rPr>
              <w:t>deviations</w:t>
            </w:r>
            <w:r w:rsidRPr="51F6A2C3">
              <w:rPr>
                <w:rFonts w:cs="Arial"/>
                <w:i/>
                <w:iCs/>
                <w:sz w:val="16"/>
                <w:szCs w:val="16"/>
              </w:rPr>
              <w:t xml:space="preserve"> from </w:t>
            </w:r>
            <w:r w:rsidRPr="51F6A2C3">
              <w:rPr>
                <w:rFonts w:eastAsia="Times New Roman" w:cs="Arial"/>
                <w:i/>
                <w:iCs/>
                <w:color w:val="595959"/>
                <w:sz w:val="16"/>
                <w:szCs w:val="16"/>
              </w:rPr>
              <w:t>Annex 1 of the Grant Agreement</w:t>
            </w:r>
            <w:r w:rsidRPr="51F6A2C3">
              <w:rPr>
                <w:rFonts w:cs="Arial"/>
                <w:i/>
                <w:iCs/>
                <w:sz w:val="16"/>
                <w:szCs w:val="16"/>
              </w:rPr>
              <w:t>, the consequences and the proposed corrective actions.</w:t>
            </w:r>
          </w:p>
          <w:p w14:paraId="0E90BA1D" w14:textId="77777777" w:rsidR="003A659F" w:rsidRPr="003A659F" w:rsidRDefault="003A659F" w:rsidP="51F6A2C3">
            <w:pPr>
              <w:spacing w:after="60" w:line="240" w:lineRule="auto"/>
              <w:jc w:val="both"/>
              <w:rPr>
                <w:rFonts w:cs="Arial"/>
                <w:i/>
                <w:iCs/>
                <w:sz w:val="16"/>
                <w:szCs w:val="16"/>
              </w:rPr>
            </w:pPr>
            <w:r w:rsidRPr="51F6A2C3">
              <w:rPr>
                <w:rFonts w:cs="Arial"/>
                <w:i/>
                <w:iCs/>
                <w:sz w:val="16"/>
                <w:szCs w:val="16"/>
              </w:rPr>
              <w:t xml:space="preserve">Include explanations for tasks not fully implemented, critical objectives not fully achieved and/or not being on schedule. Explain also the impact on other tasks, on the available resources and the planning. Where necessary, make reference to the deliverables in the report text. </w:t>
            </w:r>
            <w:r w:rsidR="00AF2ECC" w:rsidRPr="00AF2ECC">
              <w:rPr>
                <w:rFonts w:cs="Arial"/>
                <w:i/>
                <w:iCs/>
                <w:sz w:val="16"/>
                <w:szCs w:val="16"/>
              </w:rPr>
              <w:t>In case of major deviations from on the planned budget, please refer to section 4.3.</w:t>
            </w:r>
          </w:p>
          <w:p w14:paraId="6140ADF8" w14:textId="77777777" w:rsidR="003A659F" w:rsidRDefault="00C4658D" w:rsidP="51F6A2C3">
            <w:pPr>
              <w:spacing w:after="60" w:line="240" w:lineRule="auto"/>
              <w:jc w:val="both"/>
              <w:rPr>
                <w:i/>
                <w:iCs/>
                <w:sz w:val="16"/>
                <w:szCs w:val="16"/>
              </w:rPr>
            </w:pPr>
            <w:r w:rsidRPr="003F4E7A">
              <w:rPr>
                <w:i/>
                <w:iCs/>
                <w:sz w:val="16"/>
                <w:szCs w:val="16"/>
              </w:rPr>
              <w:t>Focus only on</w:t>
            </w:r>
            <w:r w:rsidR="003A659F" w:rsidRPr="003F4E7A">
              <w:rPr>
                <w:i/>
                <w:iCs/>
                <w:sz w:val="16"/>
                <w:szCs w:val="16"/>
              </w:rPr>
              <w:t xml:space="preserve"> the </w:t>
            </w:r>
            <w:r w:rsidR="003A659F" w:rsidRPr="003F4E7A">
              <w:rPr>
                <w:b/>
                <w:bCs/>
                <w:i/>
                <w:iCs/>
                <w:sz w:val="16"/>
                <w:szCs w:val="16"/>
              </w:rPr>
              <w:t>main</w:t>
            </w:r>
            <w:r w:rsidR="003A659F" w:rsidRPr="003F4E7A">
              <w:rPr>
                <w:i/>
                <w:iCs/>
                <w:sz w:val="16"/>
                <w:szCs w:val="16"/>
              </w:rPr>
              <w:t xml:space="preserve"> </w:t>
            </w:r>
            <w:r w:rsidR="003A659F" w:rsidRPr="003F4E7A">
              <w:rPr>
                <w:b/>
                <w:bCs/>
                <w:i/>
                <w:iCs/>
                <w:sz w:val="16"/>
                <w:szCs w:val="16"/>
              </w:rPr>
              <w:t>results</w:t>
            </w:r>
            <w:r w:rsidRPr="003F4E7A">
              <w:rPr>
                <w:b/>
                <w:bCs/>
                <w:i/>
                <w:iCs/>
                <w:sz w:val="16"/>
                <w:szCs w:val="16"/>
              </w:rPr>
              <w:t xml:space="preserve"> </w:t>
            </w:r>
            <w:r w:rsidR="003A659F" w:rsidRPr="003F4E7A">
              <w:rPr>
                <w:i/>
                <w:iCs/>
                <w:sz w:val="16"/>
                <w:szCs w:val="16"/>
              </w:rPr>
              <w:t xml:space="preserve">as well as important </w:t>
            </w:r>
            <w:r w:rsidR="003A659F" w:rsidRPr="003F4E7A">
              <w:rPr>
                <w:b/>
                <w:bCs/>
                <w:i/>
                <w:iCs/>
                <w:sz w:val="16"/>
                <w:szCs w:val="16"/>
              </w:rPr>
              <w:t>lessons learned</w:t>
            </w:r>
            <w:r w:rsidR="003A659F" w:rsidRPr="003F4E7A">
              <w:rPr>
                <w:i/>
                <w:iCs/>
                <w:sz w:val="16"/>
                <w:szCs w:val="16"/>
              </w:rPr>
              <w:t>. The technical details</w:t>
            </w:r>
            <w:r w:rsidRPr="003F4E7A">
              <w:rPr>
                <w:i/>
                <w:iCs/>
                <w:sz w:val="16"/>
                <w:szCs w:val="16"/>
              </w:rPr>
              <w:t xml:space="preserve"> </w:t>
            </w:r>
            <w:r w:rsidR="003A659F" w:rsidRPr="003F4E7A">
              <w:rPr>
                <w:i/>
                <w:iCs/>
                <w:sz w:val="16"/>
                <w:szCs w:val="16"/>
              </w:rPr>
              <w:t>should be</w:t>
            </w:r>
            <w:r w:rsidRPr="003F4E7A">
              <w:rPr>
                <w:i/>
                <w:iCs/>
                <w:sz w:val="16"/>
                <w:szCs w:val="16"/>
              </w:rPr>
              <w:t xml:space="preserve"> provided</w:t>
            </w:r>
            <w:r w:rsidR="003A659F" w:rsidRPr="003F4E7A">
              <w:rPr>
                <w:i/>
                <w:iCs/>
                <w:sz w:val="16"/>
                <w:szCs w:val="16"/>
              </w:rPr>
              <w:t xml:space="preserve"> in the deliverables.</w:t>
            </w:r>
          </w:p>
          <w:p w14:paraId="095EEF38" w14:textId="77777777" w:rsidR="00C4658D" w:rsidRPr="00C4658D" w:rsidRDefault="00C4658D" w:rsidP="00915C46">
            <w:pPr>
              <w:spacing w:after="120" w:line="240" w:lineRule="auto"/>
              <w:jc w:val="both"/>
              <w:rPr>
                <w:rFonts w:eastAsia="Times New Roman" w:cs="Arial"/>
                <w:i/>
                <w:iCs/>
                <w:color w:val="595959"/>
                <w:sz w:val="16"/>
                <w:szCs w:val="16"/>
                <w:lang w:eastAsia="en-GB"/>
              </w:rPr>
            </w:pPr>
            <w:r w:rsidRPr="003F4E7A">
              <w:rPr>
                <w:i/>
                <w:iCs/>
                <w:sz w:val="16"/>
                <w:szCs w:val="16"/>
              </w:rPr>
              <w:t>Additionally, f</w:t>
            </w:r>
            <w:r w:rsidR="00265F47" w:rsidRPr="003F4E7A">
              <w:rPr>
                <w:i/>
                <w:iCs/>
                <w:sz w:val="16"/>
                <w:szCs w:val="16"/>
              </w:rPr>
              <w:t>or Operating Grants</w:t>
            </w:r>
            <w:r w:rsidR="00915C46">
              <w:rPr>
                <w:i/>
                <w:iCs/>
                <w:sz w:val="16"/>
                <w:szCs w:val="16"/>
              </w:rPr>
              <w:t xml:space="preserve">, </w:t>
            </w:r>
            <w:r w:rsidRPr="003F4E7A">
              <w:rPr>
                <w:rFonts w:eastAsia="Times New Roman" w:cs="Arial"/>
                <w:i/>
                <w:iCs/>
                <w:color w:val="595959"/>
                <w:sz w:val="16"/>
                <w:szCs w:val="16"/>
                <w:lang w:eastAsia="en-GB"/>
              </w:rPr>
              <w:t>r</w:t>
            </w:r>
            <w:r w:rsidR="00265F47" w:rsidRPr="003F4E7A">
              <w:rPr>
                <w:rFonts w:eastAsia="Times New Roman" w:cs="Arial"/>
                <w:i/>
                <w:iCs/>
                <w:color w:val="595959"/>
                <w:sz w:val="16"/>
                <w:szCs w:val="16"/>
                <w:lang w:eastAsia="en-GB"/>
              </w:rPr>
              <w:t>eport</w:t>
            </w:r>
            <w:r w:rsidR="00265F47" w:rsidRPr="51F6A2C3">
              <w:rPr>
                <w:rFonts w:eastAsia="Times New Roman" w:cs="Arial"/>
                <w:i/>
                <w:iCs/>
                <w:color w:val="595959"/>
                <w:sz w:val="16"/>
                <w:szCs w:val="16"/>
                <w:lang w:eastAsia="en-GB"/>
              </w:rPr>
              <w:t xml:space="preserve"> </w:t>
            </w:r>
            <w:r w:rsidR="00915C46">
              <w:rPr>
                <w:rFonts w:eastAsia="Times New Roman" w:cs="Arial"/>
                <w:i/>
                <w:iCs/>
                <w:color w:val="595959"/>
                <w:sz w:val="16"/>
                <w:szCs w:val="16"/>
                <w:lang w:eastAsia="en-GB"/>
              </w:rPr>
              <w:t>u</w:t>
            </w:r>
            <w:r w:rsidR="00915C46" w:rsidRPr="003F4E7A">
              <w:rPr>
                <w:rFonts w:eastAsia="Times New Roman" w:cs="Arial"/>
                <w:i/>
                <w:iCs/>
                <w:color w:val="595959"/>
                <w:sz w:val="16"/>
                <w:szCs w:val="16"/>
                <w:lang w:eastAsia="en-GB"/>
              </w:rPr>
              <w:t>nder Work Package 1</w:t>
            </w:r>
            <w:r w:rsidR="00915C46">
              <w:rPr>
                <w:rFonts w:eastAsia="Times New Roman" w:cs="Arial"/>
                <w:i/>
                <w:iCs/>
                <w:color w:val="595959"/>
                <w:sz w:val="16"/>
                <w:szCs w:val="16"/>
                <w:lang w:eastAsia="en-GB"/>
              </w:rPr>
              <w:t xml:space="preserve"> </w:t>
            </w:r>
            <w:r w:rsidR="00265F47" w:rsidRPr="51F6A2C3">
              <w:rPr>
                <w:rFonts w:eastAsia="Times New Roman" w:cs="Arial"/>
                <w:i/>
                <w:iCs/>
                <w:color w:val="595959"/>
                <w:sz w:val="16"/>
                <w:szCs w:val="16"/>
                <w:lang w:eastAsia="en-GB"/>
              </w:rPr>
              <w:t xml:space="preserve">on </w:t>
            </w:r>
            <w:r w:rsidR="00265F47" w:rsidRPr="51F6A2C3">
              <w:rPr>
                <w:rFonts w:eastAsia="Times New Roman" w:cs="Arial"/>
                <w:i/>
                <w:iCs/>
                <w:color w:val="595959"/>
                <w:sz w:val="16"/>
                <w:szCs w:val="16"/>
                <w:u w:val="single"/>
                <w:lang w:eastAsia="en-GB"/>
              </w:rPr>
              <w:t>changes</w:t>
            </w:r>
            <w:r w:rsidR="00265F47" w:rsidRPr="51F6A2C3">
              <w:rPr>
                <w:rFonts w:eastAsia="Times New Roman" w:cs="Arial"/>
                <w:i/>
                <w:iCs/>
                <w:color w:val="595959"/>
                <w:sz w:val="16"/>
                <w:szCs w:val="16"/>
                <w:lang w:eastAsia="en-GB"/>
              </w:rPr>
              <w:t xml:space="preserve"> in your organisation’s capacity (if any) to become a more efficient stakeholder in the </w:t>
            </w:r>
            <w:r w:rsidR="003F4E7A">
              <w:rPr>
                <w:rFonts w:eastAsia="Times New Roman" w:cs="Arial"/>
                <w:i/>
                <w:iCs/>
                <w:color w:val="595959"/>
                <w:sz w:val="16"/>
                <w:szCs w:val="16"/>
                <w:lang w:eastAsia="en-GB"/>
              </w:rPr>
              <w:t>EU</w:t>
            </w:r>
            <w:r w:rsidR="00265F47" w:rsidRPr="51F6A2C3">
              <w:rPr>
                <w:rFonts w:eastAsia="Times New Roman" w:cs="Arial"/>
                <w:i/>
                <w:iCs/>
                <w:color w:val="595959"/>
                <w:sz w:val="16"/>
                <w:szCs w:val="16"/>
                <w:lang w:eastAsia="en-GB"/>
              </w:rPr>
              <w:t>’s policy process. Report on the proposed actions and their status to develop the organisation, widen the grassroots or members base, diversify and sustain the organisation's fundraising strategy and the strategy to reduce your dependence on LIFE operating grants.</w:t>
            </w:r>
          </w:p>
        </w:tc>
      </w:tr>
      <w:tr w:rsidR="00626FCE" w:rsidRPr="00740D31" w14:paraId="2E56DF40" w14:textId="77777777" w:rsidTr="008E043B">
        <w:trPr>
          <w:trHeight w:val="37"/>
        </w:trPr>
        <w:tc>
          <w:tcPr>
            <w:tcW w:w="5000" w:type="pct"/>
            <w:gridSpan w:val="2"/>
          </w:tcPr>
          <w:p w14:paraId="56DA64D9" w14:textId="40DC9FAF" w:rsidR="00626FCE" w:rsidRPr="007D500E" w:rsidRDefault="00626FCE" w:rsidP="4D76D3B0">
            <w:pPr>
              <w:spacing w:before="120" w:after="120" w:line="240" w:lineRule="auto"/>
              <w:rPr>
                <w:rFonts w:eastAsia="Times New Roman" w:cs="Arial"/>
                <w:b/>
                <w:bCs/>
                <w:color w:val="C0504D" w:themeColor="accent2"/>
                <w:sz w:val="18"/>
                <w:szCs w:val="18"/>
              </w:rPr>
            </w:pPr>
            <w:r w:rsidRPr="007D500E">
              <w:rPr>
                <w:rFonts w:eastAsia="Times New Roman" w:cs="Arial"/>
                <w:b/>
                <w:bCs/>
                <w:color w:val="C0504D" w:themeColor="accent2"/>
                <w:sz w:val="18"/>
                <w:szCs w:val="18"/>
              </w:rPr>
              <w:t>T1.1 [</w:t>
            </w:r>
            <w:r w:rsidR="00BF6A1A" w:rsidRPr="007D500E">
              <w:rPr>
                <w:rFonts w:eastAsia="Times New Roman" w:cs="Arial"/>
                <w:b/>
                <w:bCs/>
                <w:color w:val="C0504D" w:themeColor="accent2"/>
                <w:sz w:val="18"/>
                <w:szCs w:val="18"/>
              </w:rPr>
              <w:t>Coordination and management</w:t>
            </w:r>
            <w:r w:rsidRPr="007D500E">
              <w:rPr>
                <w:rFonts w:eastAsia="Times New Roman" w:cs="Arial"/>
                <w:b/>
                <w:bCs/>
                <w:color w:val="C0504D" w:themeColor="accent2"/>
                <w:sz w:val="18"/>
                <w:szCs w:val="18"/>
              </w:rPr>
              <w:t>] ([Implemented])</w:t>
            </w:r>
          </w:p>
          <w:p w14:paraId="40ABD360" w14:textId="20BE4BD6" w:rsidR="0015491D" w:rsidRPr="0015491D" w:rsidRDefault="0015491D" w:rsidP="00980F10">
            <w:pPr>
              <w:spacing w:before="120" w:after="120"/>
              <w:jc w:val="both"/>
              <w:rPr>
                <w:rFonts w:eastAsia="Times New Roman" w:cs="Arial"/>
                <w:szCs w:val="20"/>
              </w:rPr>
            </w:pPr>
            <w:r w:rsidRPr="0015491D">
              <w:rPr>
                <w:rFonts w:eastAsia="Times New Roman" w:cs="Arial"/>
                <w:szCs w:val="20"/>
              </w:rPr>
              <w:t>During the reporting period, Task 1.1 was implemented as planned through the continuous coordination and day-to-day management of the project by the Coordinator, supported by the contribution of all partners. In line with Annex 1, the task covered the systematic monitoring of the progress of work packages, milestones and deliverables, the coordination of technical and financial follow-up, the organisation of project meetings, and the maintenance of communication flows among partners, task leaders and work package leaders. This coordination function was essential for ensuring continuity of implementation across the consortium and for addressing emerging issues in a timely and structured manner.</w:t>
            </w:r>
          </w:p>
          <w:p w14:paraId="0E5F8CC0" w14:textId="3F701693" w:rsidR="0015491D" w:rsidRPr="0015491D" w:rsidRDefault="0015491D" w:rsidP="00980F10">
            <w:pPr>
              <w:spacing w:before="120" w:after="120"/>
              <w:jc w:val="both"/>
              <w:rPr>
                <w:rFonts w:eastAsia="Times New Roman" w:cs="Arial"/>
                <w:szCs w:val="20"/>
              </w:rPr>
            </w:pPr>
            <w:r w:rsidRPr="0015491D">
              <w:rPr>
                <w:rFonts w:eastAsia="Times New Roman" w:cs="Arial"/>
                <w:szCs w:val="20"/>
              </w:rPr>
              <w:t>The coordination activities started with the project kick-off meeting, which took place in Syros in October 2024 and marked the formal beginning of implementation. During the reporting period, further progress meetings were organised, including a major progress review meeting in September 2025 and another in April 2026. These meetings supported the overall review of project progress, technical coordination across work packages, discussion of implementation status and planning of the next steps. They functioned as key points of consolidation, allowing the consortium to review achievements, identify issues requiring attention and ensure alignment between the different work packages and partners.</w:t>
            </w:r>
          </w:p>
          <w:p w14:paraId="6886035A" w14:textId="4A1EEA55" w:rsidR="0015491D" w:rsidRPr="0015491D" w:rsidRDefault="0015491D" w:rsidP="00980F10">
            <w:pPr>
              <w:spacing w:before="120" w:after="120"/>
              <w:jc w:val="both"/>
              <w:rPr>
                <w:rFonts w:eastAsia="Times New Roman" w:cs="Arial"/>
                <w:szCs w:val="20"/>
              </w:rPr>
            </w:pPr>
            <w:r w:rsidRPr="0015491D">
              <w:rPr>
                <w:rFonts w:eastAsia="Times New Roman" w:cs="Arial"/>
                <w:szCs w:val="20"/>
              </w:rPr>
              <w:t xml:space="preserve">In addition to the larger project meetings, project coordination was also supported through the regular operation of the Steering Committee. According to the implementation practice followed during the </w:t>
            </w:r>
            <w:r w:rsidRPr="0015491D">
              <w:rPr>
                <w:rFonts w:eastAsia="Times New Roman" w:cs="Arial"/>
                <w:szCs w:val="20"/>
              </w:rPr>
              <w:lastRenderedPageBreak/>
              <w:t>reporting period, Steering Committee meetings were held on a monthly basis, involving the core partners NTUA, CRES, EUDITI and Kelemenis, and, where relevant depending on the agenda, also the Epirus Bank. These meetings played a central role in maintaining close internal coordination and in allowing rapid follow-up on cross-cutting matters affecting project implementation. In practice, they helped ensure continuity between formal reporting milestones and everyday project management needs.</w:t>
            </w:r>
          </w:p>
          <w:p w14:paraId="1EBA3D59" w14:textId="1F108C0F" w:rsidR="0015491D" w:rsidRPr="0015491D" w:rsidRDefault="0015491D" w:rsidP="00980F10">
            <w:pPr>
              <w:spacing w:before="120" w:after="120"/>
              <w:jc w:val="both"/>
              <w:rPr>
                <w:rFonts w:eastAsia="Times New Roman" w:cs="Arial"/>
                <w:szCs w:val="20"/>
              </w:rPr>
            </w:pPr>
            <w:r w:rsidRPr="0015491D">
              <w:rPr>
                <w:rFonts w:eastAsia="Times New Roman" w:cs="Arial"/>
                <w:szCs w:val="20"/>
              </w:rPr>
              <w:t>A further important element of Task 1.1 was the close monitoring of project progress and the targeted follow-up of areas where tighter coordination was required. During the reporting period, this included in particular the coordination needs associated with WP2 governance-related issues, the timing of WP4 pilot operation activities, and the collection and integration of inputs from partners. The Coordinator maintained an active role in following these matters and in supporting corrective or adaptive coordination where necessary, in order to avoid disruption and preserve the overall implementation flow of the project. This was especially important in cases where progress depended on the timely interaction of several partners or on decisions affecting multiple work packages.</w:t>
            </w:r>
          </w:p>
          <w:p w14:paraId="73F1F897" w14:textId="096E4C2A" w:rsidR="0015491D" w:rsidRPr="0015491D" w:rsidRDefault="0015491D" w:rsidP="00980F10">
            <w:pPr>
              <w:spacing w:before="120" w:after="120"/>
              <w:jc w:val="both"/>
              <w:rPr>
                <w:rFonts w:eastAsia="Times New Roman" w:cs="Arial"/>
                <w:szCs w:val="20"/>
              </w:rPr>
            </w:pPr>
            <w:r w:rsidRPr="0015491D">
              <w:rPr>
                <w:rFonts w:eastAsia="Times New Roman" w:cs="Arial"/>
                <w:szCs w:val="20"/>
              </w:rPr>
              <w:t>The Coordinator also ensured structured collection of partner inputs at key moments of implementation, in particular in connection with progress meetings and overall reporting preparation. Partners were requested to provide technical and financial progress information on a regular basis, allowing the project to maintain an updated internal picture of implementation status and supporting the preparation of formal reporting to the granting authority. In parallel, central monitoring of financial progress was also carried out by the Coordinator, contributing to the overall management of the project and to the timely preparation of the interim reporting phase.</w:t>
            </w:r>
          </w:p>
          <w:p w14:paraId="4C17345E" w14:textId="77777777" w:rsidR="0015491D" w:rsidRDefault="0015491D" w:rsidP="00980F10">
            <w:pPr>
              <w:spacing w:before="120" w:after="120"/>
              <w:jc w:val="both"/>
              <w:rPr>
                <w:rFonts w:eastAsia="Times New Roman" w:cs="Arial"/>
                <w:szCs w:val="20"/>
              </w:rPr>
            </w:pPr>
            <w:r w:rsidRPr="0015491D">
              <w:rPr>
                <w:rFonts w:eastAsia="Times New Roman" w:cs="Arial"/>
                <w:szCs w:val="20"/>
              </w:rPr>
              <w:t xml:space="preserve">In addition, the Coordinator supported the establishment of the Advisory Board through the necessary contacts and communication actions, contributing to its formation as part of the broader governance and management structure of the project. The coordination role also extended to liaison with central government bodies where relevant to project implementation. </w:t>
            </w:r>
          </w:p>
          <w:p w14:paraId="24DABD68" w14:textId="0E177905" w:rsidR="0015491D" w:rsidRPr="0015491D" w:rsidRDefault="0015491D" w:rsidP="00980F10">
            <w:pPr>
              <w:spacing w:before="120" w:after="120"/>
              <w:jc w:val="both"/>
              <w:rPr>
                <w:rFonts w:eastAsia="Times New Roman" w:cs="Arial"/>
                <w:b/>
                <w:bCs/>
                <w:color w:val="31849B" w:themeColor="accent5" w:themeShade="BF"/>
                <w:szCs w:val="20"/>
                <w:lang w:val="el-GR"/>
              </w:rPr>
            </w:pPr>
            <w:r w:rsidRPr="0015491D">
              <w:rPr>
                <w:rFonts w:eastAsia="Times New Roman" w:cs="Arial"/>
                <w:b/>
                <w:bCs/>
                <w:color w:val="31849B" w:themeColor="accent5" w:themeShade="BF"/>
                <w:szCs w:val="20"/>
                <w:lang w:val="el-GR"/>
              </w:rPr>
              <w:t>[</w:t>
            </w:r>
            <w:r w:rsidRPr="0015491D">
              <w:rPr>
                <w:rFonts w:eastAsia="Times New Roman" w:cs="Arial"/>
                <w:b/>
                <w:bCs/>
                <w:color w:val="31849B" w:themeColor="accent5" w:themeShade="BF"/>
                <w:szCs w:val="20"/>
              </w:rPr>
              <w:t>Placeholder</w:t>
            </w:r>
            <w:r w:rsidRPr="0015491D">
              <w:rPr>
                <w:rFonts w:eastAsia="Times New Roman" w:cs="Arial"/>
                <w:b/>
                <w:bCs/>
                <w:color w:val="31849B" w:themeColor="accent5" w:themeShade="BF"/>
                <w:szCs w:val="20"/>
                <w:lang w:val="el-GR"/>
              </w:rPr>
              <w:t xml:space="preserve"> ΙΝΩ </w:t>
            </w:r>
            <w:r w:rsidRPr="0015491D">
              <w:rPr>
                <w:b/>
                <w:bCs/>
                <w:color w:val="31849B" w:themeColor="accent5" w:themeShade="BF"/>
                <w:lang w:val="el-GR"/>
              </w:rPr>
              <w:t xml:space="preserve">σύντομη αναφορά στην επικοινωνία με </w:t>
            </w:r>
            <w:r w:rsidRPr="0015491D">
              <w:rPr>
                <w:b/>
                <w:bCs/>
                <w:color w:val="31849B" w:themeColor="accent5" w:themeShade="BF"/>
              </w:rPr>
              <w:t>CINEA</w:t>
            </w:r>
            <w:r w:rsidRPr="0015491D">
              <w:rPr>
                <w:b/>
                <w:bCs/>
                <w:color w:val="31849B" w:themeColor="accent5" w:themeShade="BF"/>
                <w:lang w:val="el-GR"/>
              </w:rPr>
              <w:t xml:space="preserve"> κατά την πρώτη </w:t>
            </w:r>
            <w:r>
              <w:rPr>
                <w:b/>
                <w:bCs/>
                <w:color w:val="31849B" w:themeColor="accent5" w:themeShade="BF"/>
                <w:lang w:val="el-GR"/>
              </w:rPr>
              <w:t>περίοδο αναφοράς</w:t>
            </w:r>
            <w:r w:rsidRPr="0015491D">
              <w:rPr>
                <w:b/>
                <w:bCs/>
                <w:color w:val="31849B" w:themeColor="accent5" w:themeShade="BF"/>
                <w:lang w:val="el-GR"/>
              </w:rPr>
              <w:t xml:space="preserve">, καθώς και σε τυχόν </w:t>
            </w:r>
            <w:r>
              <w:rPr>
                <w:b/>
                <w:bCs/>
                <w:color w:val="31849B" w:themeColor="accent5" w:themeShade="BF"/>
                <w:lang w:val="el-GR"/>
              </w:rPr>
              <w:t>επικοινωνία</w:t>
            </w:r>
            <w:r w:rsidRPr="0015491D">
              <w:rPr>
                <w:b/>
                <w:bCs/>
                <w:color w:val="31849B" w:themeColor="accent5" w:themeShade="BF"/>
                <w:lang w:val="el-GR"/>
              </w:rPr>
              <w:t xml:space="preserve"> π.χ. </w:t>
            </w:r>
            <w:r>
              <w:rPr>
                <w:b/>
                <w:bCs/>
                <w:color w:val="31849B" w:themeColor="accent5" w:themeShade="BF"/>
                <w:lang w:val="el-GR"/>
              </w:rPr>
              <w:t xml:space="preserve">με </w:t>
            </w:r>
            <w:r w:rsidRPr="0015491D">
              <w:rPr>
                <w:b/>
                <w:bCs/>
                <w:color w:val="31849B" w:themeColor="accent5" w:themeShade="BF"/>
                <w:lang w:val="el-GR"/>
              </w:rPr>
              <w:t>ΥΠΕΝ)</w:t>
            </w:r>
            <w:r w:rsidRPr="0015491D">
              <w:rPr>
                <w:rFonts w:eastAsia="Times New Roman" w:cs="Arial"/>
                <w:b/>
                <w:bCs/>
                <w:color w:val="31849B" w:themeColor="accent5" w:themeShade="BF"/>
                <w:szCs w:val="20"/>
                <w:lang w:val="el-GR"/>
              </w:rPr>
              <w:t>.</w:t>
            </w:r>
          </w:p>
          <w:p w14:paraId="76A0FEB1" w14:textId="77777777" w:rsidR="0015491D" w:rsidRPr="0015491D" w:rsidRDefault="0015491D" w:rsidP="0015491D">
            <w:pPr>
              <w:spacing w:before="120" w:after="120" w:line="240" w:lineRule="auto"/>
              <w:jc w:val="both"/>
              <w:rPr>
                <w:rFonts w:eastAsia="Times New Roman" w:cs="Arial"/>
                <w:szCs w:val="20"/>
                <w:lang w:val="el-GR"/>
              </w:rPr>
            </w:pPr>
          </w:p>
          <w:p w14:paraId="40581CDB" w14:textId="10FEE539" w:rsidR="00626FCE" w:rsidRPr="007D500E" w:rsidRDefault="00626FCE" w:rsidP="0015491D">
            <w:pPr>
              <w:spacing w:before="120" w:after="120" w:line="240" w:lineRule="auto"/>
              <w:rPr>
                <w:rFonts w:eastAsia="Times New Roman" w:cs="Arial"/>
                <w:b/>
                <w:bCs/>
                <w:color w:val="C0504D" w:themeColor="accent2"/>
                <w:sz w:val="18"/>
                <w:szCs w:val="18"/>
              </w:rPr>
            </w:pPr>
            <w:r w:rsidRPr="007D500E">
              <w:rPr>
                <w:rFonts w:eastAsia="Times New Roman" w:cs="Arial"/>
                <w:b/>
                <w:bCs/>
                <w:color w:val="C0504D" w:themeColor="accent2"/>
                <w:sz w:val="18"/>
                <w:szCs w:val="18"/>
              </w:rPr>
              <w:t>T1.2 [</w:t>
            </w:r>
            <w:r w:rsidR="00BF6A1A" w:rsidRPr="007D500E">
              <w:rPr>
                <w:rFonts w:eastAsia="Times New Roman" w:cs="Arial"/>
                <w:b/>
                <w:bCs/>
                <w:color w:val="C0504D" w:themeColor="accent2"/>
                <w:sz w:val="18"/>
                <w:szCs w:val="18"/>
              </w:rPr>
              <w:t>Quality control and Green Management</w:t>
            </w:r>
            <w:r w:rsidRPr="007D500E">
              <w:rPr>
                <w:rFonts w:eastAsia="Times New Roman" w:cs="Arial"/>
                <w:b/>
                <w:bCs/>
                <w:color w:val="C0504D" w:themeColor="accent2"/>
                <w:sz w:val="18"/>
                <w:szCs w:val="18"/>
              </w:rPr>
              <w:t>] ([Implemented])</w:t>
            </w:r>
          </w:p>
          <w:p w14:paraId="434B5E1E" w14:textId="3045442F" w:rsidR="001E4AF8" w:rsidRPr="001E4AF8" w:rsidRDefault="001E4AF8" w:rsidP="00980F10">
            <w:pPr>
              <w:spacing w:before="120" w:after="120"/>
              <w:jc w:val="both"/>
              <w:rPr>
                <w:rFonts w:eastAsia="Times New Roman" w:cs="Arial"/>
                <w:szCs w:val="20"/>
              </w:rPr>
            </w:pPr>
            <w:r w:rsidRPr="001E4AF8">
              <w:rPr>
                <w:rFonts w:eastAsia="Times New Roman" w:cs="Arial"/>
                <w:szCs w:val="20"/>
              </w:rPr>
              <w:t>During the reporting period, Task 1.2 was implemented through the preparation and adoption of the RenoInGR Quality Control and Green Management Handbook (Deliverable D1.1), which established the core framework for quality assurance, internal control, documentation standards and green management across the project. In line with Annex 1, the task aimed to ensure the sound implementation of the project not only through technical quality control, but also through clear administrative and financial guidance, internal review procedures and a structured approach to reducing the environmental footprint of project activities. The resulting handbook therefore functions as a common reference document for the consortium and as an operational tool supporting consistency, compliance and internal coordination.</w:t>
            </w:r>
          </w:p>
          <w:p w14:paraId="1F4433E8" w14:textId="6C5597F0" w:rsidR="001E4AF8" w:rsidRPr="001E4AF8" w:rsidRDefault="001E4AF8" w:rsidP="00980F10">
            <w:pPr>
              <w:spacing w:before="120" w:after="120"/>
              <w:jc w:val="both"/>
              <w:rPr>
                <w:rFonts w:eastAsia="Times New Roman" w:cs="Arial"/>
                <w:szCs w:val="20"/>
              </w:rPr>
            </w:pPr>
            <w:r w:rsidRPr="001E4AF8">
              <w:rPr>
                <w:rFonts w:eastAsia="Times New Roman" w:cs="Arial"/>
                <w:szCs w:val="20"/>
              </w:rPr>
              <w:t xml:space="preserve">A key achievement of the task was the establishment of a formal quality management structure within the project. As described in D1.1, the RenoInGR organisational framework includes the Project Coordinator, the Steering Committee, the Quality Control and Green Management Committee, the Impact Assessment Committee, the Work Package Leaders and the Task Leaders, each with defined responsibilities in relation to project quality, monitoring and review. In particular, the Quality Control and Green Management Committee, composed of the Coordinating Partner and EUDITI, was given </w:t>
            </w:r>
            <w:r w:rsidRPr="001E4AF8">
              <w:rPr>
                <w:rFonts w:eastAsia="Times New Roman" w:cs="Arial"/>
                <w:szCs w:val="20"/>
              </w:rPr>
              <w:lastRenderedPageBreak/>
              <w:t>a specific role in evaluating the quality of project outputs, identifying areas for improvement, recommending corrective actions and supporting peer review processes. This gave the project an explicit internal quality governance mechanism rather than relying on ad hoc review practices.</w:t>
            </w:r>
          </w:p>
          <w:p w14:paraId="79E92E49" w14:textId="2AB2BC5D" w:rsidR="001E4AF8" w:rsidRPr="001E4AF8" w:rsidRDefault="001E4AF8" w:rsidP="00980F10">
            <w:pPr>
              <w:spacing w:before="120" w:after="120"/>
              <w:jc w:val="both"/>
              <w:rPr>
                <w:rFonts w:eastAsia="Times New Roman" w:cs="Arial"/>
                <w:szCs w:val="20"/>
              </w:rPr>
            </w:pPr>
            <w:r w:rsidRPr="001E4AF8">
              <w:rPr>
                <w:rFonts w:eastAsia="Times New Roman" w:cs="Arial"/>
                <w:szCs w:val="20"/>
              </w:rPr>
              <w:t>The handbook also translated quality assurance into concrete procedures applicable to the day-to-day implementation of the project. It defined quality control requirements for ICT-related elements, document handling, deliverables preparation, reporting, presentations, timesheets, logos and acknowledgements. A particularly important part of this framework concerns the preparation, review and submission of deliverables. D1.1 establishes a structured procedure covering the preparation of the table of contents, the collection of partner contributions, editing and review, final approval and submission. It also requires that deliverables undergo review by at least two reviewers other than the responsible authoring partner where necessary, thus reinforcing consistency, completeness and compliance with project standards. In this sense, Task 1.2 contributed directly to the reliability and professional quality of the project’s documentary outputs.</w:t>
            </w:r>
          </w:p>
          <w:p w14:paraId="2E38BEFA" w14:textId="25F0FE19" w:rsidR="001E4AF8" w:rsidRPr="001E4AF8" w:rsidRDefault="001E4AF8" w:rsidP="00980F10">
            <w:pPr>
              <w:spacing w:before="120" w:after="120"/>
              <w:jc w:val="both"/>
              <w:rPr>
                <w:rFonts w:eastAsia="Times New Roman" w:cs="Arial"/>
                <w:szCs w:val="20"/>
              </w:rPr>
            </w:pPr>
            <w:r w:rsidRPr="001E4AF8">
              <w:rPr>
                <w:rFonts w:eastAsia="Times New Roman" w:cs="Arial"/>
                <w:szCs w:val="20"/>
              </w:rPr>
              <w:t>Another important dimension of the task is that it goes beyond quality control of formal deliverables and addresses the broader quality of project documentation and communication. The handbook introduced standardisation rules for project reports, PowerPoint presentations, timesheets and branding. It provided common presentation templates, document conventions, file-format guidance, project logo rules and the required EU acknowledgement text, thereby ensuring a coherent and compliant project identity across internal and external outputs. This is especially important in a multi-partner project environment, where consistency in communication and documentation contributes significantly to overall quality, traceability and professionalism.</w:t>
            </w:r>
          </w:p>
          <w:p w14:paraId="63B35EFE" w14:textId="2950D568" w:rsidR="001E4AF8" w:rsidRPr="00740D31" w:rsidRDefault="001E4AF8" w:rsidP="00980F10">
            <w:pPr>
              <w:spacing w:before="120" w:after="120"/>
              <w:jc w:val="both"/>
              <w:rPr>
                <w:rFonts w:eastAsia="Times New Roman" w:cs="Arial"/>
                <w:szCs w:val="20"/>
                <w:lang w:val="en-US"/>
              </w:rPr>
            </w:pPr>
            <w:r w:rsidRPr="001E4AF8">
              <w:rPr>
                <w:rFonts w:eastAsia="Times New Roman" w:cs="Arial"/>
                <w:szCs w:val="20"/>
              </w:rPr>
              <w:t>A further major output of Task 1.2 is the incorporation of a dedicated Green Management Plan into the overall quality framework. The handbook explicitly addresses the need to minimise the environmental footprint of the project, both collectively and at partner level, in line with the broader sustainability orientation of the LIFE Programme. The green management measures set out in D1.1 include prioritisation of online meetings where possible, preference for local implementation of activities in order to reduce travel-related emissions, preference for sea transport over air travel for island-related mobility where feasible, minimisation of printed materials, promotion of green day-to-day practices and alignment of procurement activities with green procurement principles. It also foresees that these practices will be monitored by the Project Coordinator, supported by the Quality Control and Green Management Committee, and reviewed on a semester basis during progress meetings.</w:t>
            </w:r>
          </w:p>
          <w:p w14:paraId="162681F5" w14:textId="77777777" w:rsidR="001E4AF8" w:rsidRPr="001E4AF8" w:rsidRDefault="001E4AF8" w:rsidP="00980F10">
            <w:pPr>
              <w:spacing w:before="120" w:after="120"/>
              <w:jc w:val="both"/>
              <w:rPr>
                <w:rFonts w:eastAsia="Times New Roman" w:cs="Arial"/>
                <w:szCs w:val="20"/>
              </w:rPr>
            </w:pPr>
            <w:r w:rsidRPr="001E4AF8">
              <w:rPr>
                <w:rFonts w:eastAsia="Times New Roman" w:cs="Arial"/>
                <w:szCs w:val="20"/>
              </w:rPr>
              <w:t>The task also established mechanisms for overall project quality control beyond routine document review. D1.1 foresees the possibility of internal quality audits in cases where significant problems arise during implementation, with the participation of the Project Coordinator and additional technically relevant consortium representatives. It also defines a system for corrective and preventive actions, including the documentation of nonconformities, the identification of affected partners, the formulation of actions to be taken and follow-up on their implementation. These provisions are important because they make quality management actionable: the project is not limited to setting standards, but also provides procedures for identifying problems, documenting them and responding to them in a structured way.</w:t>
            </w:r>
          </w:p>
          <w:p w14:paraId="5CDC25CD" w14:textId="5A4ECBA6" w:rsidR="000D3F05" w:rsidRPr="007D500E" w:rsidRDefault="000D3F05" w:rsidP="001E4AF8">
            <w:pPr>
              <w:spacing w:before="120" w:after="120" w:line="240" w:lineRule="auto"/>
              <w:rPr>
                <w:rFonts w:eastAsia="Times New Roman" w:cs="Arial"/>
                <w:b/>
                <w:bCs/>
                <w:color w:val="C0504D" w:themeColor="accent2"/>
                <w:sz w:val="18"/>
                <w:szCs w:val="18"/>
              </w:rPr>
            </w:pPr>
            <w:r w:rsidRPr="007D500E">
              <w:rPr>
                <w:rFonts w:eastAsia="Times New Roman" w:cs="Arial"/>
                <w:b/>
                <w:bCs/>
                <w:color w:val="C0504D" w:themeColor="accent2"/>
                <w:sz w:val="18"/>
                <w:szCs w:val="18"/>
              </w:rPr>
              <w:t>T1.3 [Risk Management] ([Implemented])</w:t>
            </w:r>
          </w:p>
          <w:p w14:paraId="303EDA7A" w14:textId="4DEF03AC" w:rsidR="001E4AF8" w:rsidRPr="001E4AF8" w:rsidRDefault="001E4AF8" w:rsidP="00980F10">
            <w:pPr>
              <w:spacing w:before="120" w:after="120"/>
              <w:jc w:val="both"/>
              <w:rPr>
                <w:rFonts w:eastAsia="Times New Roman" w:cs="Arial"/>
                <w:szCs w:val="20"/>
              </w:rPr>
            </w:pPr>
            <w:r w:rsidRPr="001E4AF8">
              <w:rPr>
                <w:rFonts w:eastAsia="Times New Roman" w:cs="Arial"/>
                <w:szCs w:val="20"/>
              </w:rPr>
              <w:t xml:space="preserve">During the reporting period, Task 1.3 was implemented through the preparation of the first Risk Management Plan of the RenoInGR project, as documented in Deliverable D1.2. In line with Annex 1, the aim of the task was to provide a structured framework for identifying, assessing, monitoring and </w:t>
            </w:r>
            <w:r w:rsidRPr="001E4AF8">
              <w:rPr>
                <w:rFonts w:eastAsia="Times New Roman" w:cs="Arial"/>
                <w:szCs w:val="20"/>
              </w:rPr>
              <w:lastRenderedPageBreak/>
              <w:t>mitigating risks that could affect the successful implementation of the project. The resulting document established a common methodology for risk management across the consortium and created the basis for a more proactive and coordinated approach to anticipating barriers, planning contingencies and safeguarding implementation continuity.</w:t>
            </w:r>
          </w:p>
          <w:p w14:paraId="018BA826" w14:textId="656CC75B" w:rsidR="001E4AF8" w:rsidRPr="001E4AF8" w:rsidRDefault="001E4AF8" w:rsidP="00980F10">
            <w:pPr>
              <w:spacing w:before="120" w:after="120"/>
              <w:jc w:val="both"/>
              <w:rPr>
                <w:rFonts w:eastAsia="Times New Roman" w:cs="Arial"/>
                <w:szCs w:val="20"/>
              </w:rPr>
            </w:pPr>
            <w:r w:rsidRPr="001E4AF8">
              <w:rPr>
                <w:rFonts w:eastAsia="Times New Roman" w:cs="Arial"/>
                <w:szCs w:val="20"/>
              </w:rPr>
              <w:t>A central achievement of the task was the formalisation of a clear risk management methodology. As described in D1.2, the project adopted a structured process built around four main steps: risk identification, risk assessment, risk categorisation and risk monitoring. The methodology is based on a simplified probability-impact matrix using a three-level scale for likelihood and impact, resulting in a risk level score from 1 to 9. This approach provided a practical and proportionate internal tool for evaluating risks across the project and for distinguishing between low, medium and higher-priority risks. By introducing a common assessment method from an early stage, the project improved its ability to discuss risks in a shared framework and to link them to specific mitigation strategies.</w:t>
            </w:r>
          </w:p>
          <w:p w14:paraId="56FFE2FB" w14:textId="1928E127" w:rsidR="001E4AF8" w:rsidRPr="001E4AF8" w:rsidRDefault="001E4AF8" w:rsidP="00980F10">
            <w:pPr>
              <w:spacing w:before="120" w:after="120"/>
              <w:jc w:val="both"/>
              <w:rPr>
                <w:rFonts w:eastAsia="Times New Roman" w:cs="Arial"/>
                <w:szCs w:val="20"/>
              </w:rPr>
            </w:pPr>
            <w:r w:rsidRPr="001E4AF8">
              <w:rPr>
                <w:rFonts w:eastAsia="Times New Roman" w:cs="Arial"/>
                <w:szCs w:val="20"/>
              </w:rPr>
              <w:t>The first version of the Risk Management Plan identified a total of 26 risks, grouped into four broad categories: coordination and management risks, internal risks, external risks and market-oriented risks. These risks were compiled on the basis of input from the Project Coordinator, Work Package Leaders and partners, and were also aligned with the critical risks identified in the Grant Agreement. The list covers risks affecting both the general implementation environment and specific work packages, including issues such as lack of overall coordination, ineffective management, conflicts within the consortium, delays in deliverables, low interest from municipalities, low interest from EnPC companies, limited attractiveness of financing schemes, sustainability of the OSS after project end, underperformance of suppliers, policy changes, lack of resources due to inflation and unexpected leave of key actors. This broad coverage is important because it shows that the task did not focus only on internal administrative risks, but also addressed strategic, operational, market and governance-related threats relevant to the success of RenoInGR.</w:t>
            </w:r>
          </w:p>
          <w:p w14:paraId="5378A633" w14:textId="7FB9B39C" w:rsidR="001E4AF8" w:rsidRPr="001E4AF8" w:rsidRDefault="001E4AF8" w:rsidP="00980F10">
            <w:pPr>
              <w:spacing w:before="120" w:after="120"/>
              <w:jc w:val="both"/>
              <w:rPr>
                <w:rFonts w:eastAsia="Times New Roman" w:cs="Arial"/>
                <w:szCs w:val="20"/>
              </w:rPr>
            </w:pPr>
            <w:r w:rsidRPr="001E4AF8">
              <w:rPr>
                <w:rFonts w:eastAsia="Times New Roman" w:cs="Arial"/>
                <w:szCs w:val="20"/>
              </w:rPr>
              <w:t>The analysis indicates that the majority of the identified risks were assessed as low or medium. Only one risk was categorised as high at this stage, namely the risk of delays in the municipalities’ response after the cooperation agreement signing (R10), which received a risk level of 6. This is a particularly relevant finding for the project, since many subsequent implementation steps depend on the timely cooperation of municipalities and the provision of the necessary information and decisions at local level. More generally, the risk profile reflected in D1.2 is consistent with the nature of the project: most risks are manageable, but a number of them require continued monitoring because they may affect timing, engagement, pilot execution and the broader uptake of OSS services.</w:t>
            </w:r>
          </w:p>
          <w:p w14:paraId="759400C5" w14:textId="122C676E" w:rsidR="001E4AF8" w:rsidRPr="001E4AF8" w:rsidRDefault="001E4AF8" w:rsidP="00980F10">
            <w:pPr>
              <w:spacing w:before="120" w:after="120"/>
              <w:jc w:val="both"/>
              <w:rPr>
                <w:rFonts w:eastAsia="Times New Roman" w:cs="Arial"/>
                <w:szCs w:val="20"/>
              </w:rPr>
            </w:pPr>
            <w:r w:rsidRPr="001E4AF8">
              <w:rPr>
                <w:rFonts w:eastAsia="Times New Roman" w:cs="Arial"/>
                <w:szCs w:val="20"/>
              </w:rPr>
              <w:t>Another important contribution of Task 1.3 is that it did not stop at identifying risks, but linked each risk to corresponding mitigation measures and contingency actions. D1.2 presents a dedicated mitigation table covering all recorded risks individually. The proposed measures include, among others, strengthened coordination and monitoring mechanisms, redistribution of tasks if delays occur, replacement logic in case of municipality or partner underperformance, increased bilateral engagement with municipalities, co-creation and outreach actions for attracting EnPC companies, continuous review and improvement of the OSS virtual office, adaptation to inflation-related resource pressures, close contract monitoring for suppliers, and planning for post-project sustainability through a business plan. In this way, the Risk Management Plan operates not only as a diagnostic document but also as a practical management tool that links identified risks to response strategies.</w:t>
            </w:r>
          </w:p>
          <w:p w14:paraId="5DD99062" w14:textId="4C888EE6" w:rsidR="001E4AF8" w:rsidRPr="001E4AF8" w:rsidRDefault="001E4AF8" w:rsidP="00980F10">
            <w:pPr>
              <w:spacing w:before="120" w:after="120"/>
              <w:jc w:val="both"/>
              <w:rPr>
                <w:rFonts w:eastAsia="Times New Roman" w:cs="Arial"/>
                <w:szCs w:val="20"/>
              </w:rPr>
            </w:pPr>
            <w:r w:rsidRPr="001E4AF8">
              <w:rPr>
                <w:rFonts w:eastAsia="Times New Roman" w:cs="Arial"/>
                <w:szCs w:val="20"/>
              </w:rPr>
              <w:t xml:space="preserve">The task also clarified the roles and responsibilities related to risk management. According to D1.2, the Project Coordinator and the broader management structure retain overall responsibility for monitoring and coordinating the response to risks, while Work Package Leaders are expected to </w:t>
            </w:r>
            <w:r w:rsidRPr="001E4AF8">
              <w:rPr>
                <w:rFonts w:eastAsia="Times New Roman" w:cs="Arial"/>
                <w:szCs w:val="20"/>
              </w:rPr>
              <w:lastRenderedPageBreak/>
              <w:t>identify, assess and manage risks relevant to their own work packages and report developments to the Coordinator. This dual-level approach is important because it combines central oversight with distributed responsibility and allows both project-wide and work-package-specific risks to be addressed in a timely manner. It also reinforces the link between risk management and everyday project governance rather than treating risk planning as an isolated exercise.</w:t>
            </w:r>
          </w:p>
          <w:p w14:paraId="04A30484" w14:textId="7E84F66F" w:rsidR="000D3F05" w:rsidRPr="001E4AF8" w:rsidRDefault="001E4AF8" w:rsidP="00980F10">
            <w:pPr>
              <w:spacing w:before="120" w:after="120"/>
              <w:jc w:val="both"/>
              <w:rPr>
                <w:rFonts w:eastAsia="Times New Roman" w:cs="Arial"/>
                <w:szCs w:val="20"/>
              </w:rPr>
            </w:pPr>
            <w:r w:rsidRPr="001E4AF8">
              <w:rPr>
                <w:rFonts w:eastAsia="Times New Roman" w:cs="Arial"/>
                <w:szCs w:val="20"/>
              </w:rPr>
              <w:t>A further strength of Task 1.3 is that the Risk Management Plan was explicitly designed as a living document. D1.2 makes clear that the risk table and mitigation measures will be reviewed and updated during implementation in order to reflect emerging conditions, the evolution of previously identified risks and the effectiveness of the mitigation measures already in place. The plan therefore supports continuous monitoring rather than one-off assessment. This is particularly relevant in a project such as RenoInGR, where risks may evolve significantly as the project moves from initial setup and service development towards pilot implementation, governance maturation, financing pathways and broader uptake activities. In line with Annex 1, a second updated version of the Risk Management Plan is foreseen at M24.</w:t>
            </w:r>
          </w:p>
          <w:p w14:paraId="405AD4F0" w14:textId="414B4CD4" w:rsidR="000D3F05" w:rsidRPr="007D500E" w:rsidRDefault="000D3F05" w:rsidP="000D3F05">
            <w:pPr>
              <w:spacing w:before="120" w:after="120" w:line="240" w:lineRule="auto"/>
              <w:rPr>
                <w:rFonts w:eastAsia="Times New Roman" w:cs="Arial"/>
                <w:b/>
                <w:bCs/>
                <w:color w:val="C0504D" w:themeColor="accent2"/>
                <w:sz w:val="18"/>
                <w:szCs w:val="18"/>
              </w:rPr>
            </w:pPr>
            <w:r w:rsidRPr="007D500E">
              <w:rPr>
                <w:rFonts w:eastAsia="Times New Roman" w:cs="Arial"/>
                <w:b/>
                <w:bCs/>
                <w:color w:val="C0504D" w:themeColor="accent2"/>
                <w:sz w:val="18"/>
                <w:szCs w:val="18"/>
              </w:rPr>
              <w:t>T1.4 [Monitoring of project impacts and evaluation] ([Implemented] [Not implemented] [Partially implemented])</w:t>
            </w:r>
          </w:p>
          <w:p w14:paraId="04AD8F3D" w14:textId="4C6E1DA3" w:rsidR="00742E79" w:rsidRPr="00742E79" w:rsidRDefault="00742E79" w:rsidP="00980F10">
            <w:pPr>
              <w:spacing w:before="120" w:after="120"/>
              <w:jc w:val="both"/>
              <w:rPr>
                <w:rFonts w:eastAsia="Times New Roman" w:cs="Arial"/>
                <w:szCs w:val="20"/>
              </w:rPr>
            </w:pPr>
            <w:r w:rsidRPr="00742E79">
              <w:rPr>
                <w:rFonts w:eastAsia="Times New Roman" w:cs="Arial"/>
                <w:szCs w:val="20"/>
              </w:rPr>
              <w:t>During the reporting period, Task 1.4 was implemented through the establishment and progressive operation of a structured monitoring and impact-evaluation framework for the RenoInGR project. In line with Annex 1, the task aimed to define, monitor and interpret the key indicators needed to assess project progress, achievements and expected impacts in relation to the project’s specific objectives and the broader requirements of the LIFE Programme. This was achieved through the preparation of the PPI and impact evaluation framework under Deliverable D1.3, its subsequent updates at later reporting stages, and the complementary KPI framework developed under Deliverable D1.4, including the reporting of the relevant indicators through the LIFE KPI webtool.</w:t>
            </w:r>
          </w:p>
          <w:p w14:paraId="2E374393" w14:textId="3773D693" w:rsidR="00742E79" w:rsidRPr="00742E79" w:rsidRDefault="00742E79" w:rsidP="00980F10">
            <w:pPr>
              <w:spacing w:before="120" w:after="120"/>
              <w:jc w:val="both"/>
              <w:rPr>
                <w:rFonts w:eastAsia="Times New Roman" w:cs="Arial"/>
                <w:szCs w:val="20"/>
              </w:rPr>
            </w:pPr>
            <w:r w:rsidRPr="00742E79">
              <w:rPr>
                <w:rFonts w:eastAsia="Times New Roman" w:cs="Arial"/>
                <w:szCs w:val="20"/>
              </w:rPr>
              <w:t>A first important result of the task was the early establishment of the Project Performance Indicators (PPIs) framework. As documented in the initial D1.3 version, the project defined a set of operational performance indicators intended to monitor short- and medium-term progress in areas such as outreach, workshops, website activity, initial contacts with municipalities, expected conversion into investments, building-related implementation outputs and dissemination performance. The PPI framework was explicitly linked to the project’s specific objectives and to the internal management needs of the consortium, thus providing a practical basis for continuous implementation monitoring. The framework was not treated as static, but was updated in subsequent reporting periods, including the Month 12 and Month 18 updates, thereby ensuring continuity of monitoring and progressive adjustment of the evidence base.</w:t>
            </w:r>
          </w:p>
          <w:p w14:paraId="3712437C" w14:textId="71FB8F81" w:rsidR="00742E79" w:rsidRPr="00742E79" w:rsidRDefault="00742E79" w:rsidP="00980F10">
            <w:pPr>
              <w:spacing w:before="120" w:after="120"/>
              <w:jc w:val="both"/>
              <w:rPr>
                <w:rFonts w:eastAsia="Times New Roman" w:cs="Arial"/>
                <w:szCs w:val="20"/>
              </w:rPr>
            </w:pPr>
            <w:r w:rsidRPr="00742E79">
              <w:rPr>
                <w:rFonts w:eastAsia="Times New Roman" w:cs="Arial"/>
                <w:szCs w:val="20"/>
              </w:rPr>
              <w:t>The monitoring work carried out under D1.3 shows that the project has maintained a consistent and transparent approach to assessing implementation progress over time. The Month 12 and Month 18 updates confirm that the overall structure of the monitoring framework, the interpretation logic and the long-term impact evaluation methodology remained unchanged, while selected numerical values were updated to reflect project evolution. These updates also make clear that many of the implementation-related indicators remain at zero not because of underperformance, but because the project is still in a preparatory and early implementation phase in which the core renovation, investment and large-scale deployment effects are expected to materialise later. This distinction is important, because it demonstrates that the project’s monitoring framework is being used not only to record values but also to interpret them in light of the planned sequencing of activities.</w:t>
            </w:r>
          </w:p>
          <w:p w14:paraId="55247DF6" w14:textId="5ABD3A5A" w:rsidR="00742E79" w:rsidRPr="00742E79" w:rsidRDefault="00742E79" w:rsidP="00980F10">
            <w:pPr>
              <w:spacing w:before="120" w:after="120"/>
              <w:jc w:val="both"/>
              <w:rPr>
                <w:rFonts w:eastAsia="Times New Roman" w:cs="Arial"/>
                <w:szCs w:val="20"/>
              </w:rPr>
            </w:pPr>
            <w:r w:rsidRPr="00742E79">
              <w:rPr>
                <w:rFonts w:eastAsia="Times New Roman" w:cs="Arial"/>
                <w:szCs w:val="20"/>
              </w:rPr>
              <w:lastRenderedPageBreak/>
              <w:t>At the same time, the PPI updates also record areas of notable early progress. These include the organisation of workshops, the successful completion of two national-level workshops, and participation levels exceeding initial expectations, with approximately 80 participants per national workshop against an initial target of 50 per event. The monitoring framework also captured early evolution in project website visits and initial contacts with local authorities, while recognising that other indicators linked to building renovations, investment mobilisation, energy savings and digital outreach are structurally expected to become more active in later stages of implementation. This demonstrates that the monitoring system is sufficiently sensitive to distinguish between early engagement outputs and the more delayed technical and financial effects expected from subsequent phases of the project.</w:t>
            </w:r>
          </w:p>
          <w:p w14:paraId="6E5F3355" w14:textId="591554B1" w:rsidR="00742E79" w:rsidRPr="00742E79" w:rsidRDefault="00742E79" w:rsidP="00980F10">
            <w:pPr>
              <w:spacing w:before="120" w:after="120"/>
              <w:jc w:val="both"/>
              <w:rPr>
                <w:rFonts w:eastAsia="Times New Roman" w:cs="Arial"/>
                <w:szCs w:val="20"/>
              </w:rPr>
            </w:pPr>
            <w:r w:rsidRPr="00742E79">
              <w:rPr>
                <w:rFonts w:eastAsia="Times New Roman" w:cs="Arial"/>
                <w:szCs w:val="20"/>
              </w:rPr>
              <w:t xml:space="preserve">A second major component of Task 1.4 was the </w:t>
            </w:r>
            <w:r>
              <w:rPr>
                <w:rFonts w:eastAsia="Times New Roman" w:cs="Arial"/>
                <w:szCs w:val="20"/>
              </w:rPr>
              <w:t>analysis</w:t>
            </w:r>
            <w:r w:rsidRPr="00742E79">
              <w:rPr>
                <w:rFonts w:eastAsia="Times New Roman" w:cs="Arial"/>
                <w:szCs w:val="20"/>
              </w:rPr>
              <w:t xml:space="preserve"> of the Key Performance Indicators (KPIs) framework through Deliverable D1.4. While the PPIs focus on project-internal operational progress, D1.4 establishes the strategic indicator framework used to capture the project’s broader impacts in line with the LIFE KPI Webtool and the LIFE Regulation. As described in the deliverable, the KPI framework distinguishes between Clean Energy Transition–specific KPIs and Horizontal KPIs, covering areas such as primary and final energy savings, renewable energy generation, greenhouse gas emissions reduction, investments in sustainable energy, legislation and policy impacts, innovation uptake, skills, communication, employment, governance, catalytic effects and awareness. The framework also defines measurement methods, data sources, reporting frequencies, assumptions and validation procedures. This gives the project a more robust strategic monitoring basis and ensures alignment with EU-level reporting expectations.</w:t>
            </w:r>
          </w:p>
          <w:p w14:paraId="40C44F12" w14:textId="225EED48" w:rsidR="00742E79" w:rsidRPr="00740D31" w:rsidRDefault="00742E79" w:rsidP="00980F10">
            <w:pPr>
              <w:spacing w:before="120" w:after="120"/>
              <w:jc w:val="both"/>
              <w:rPr>
                <w:rFonts w:eastAsia="Times New Roman" w:cs="Arial"/>
                <w:szCs w:val="20"/>
                <w:lang w:val="en-US"/>
              </w:rPr>
            </w:pPr>
            <w:r w:rsidRPr="00742E79">
              <w:rPr>
                <w:rFonts w:eastAsia="Times New Roman" w:cs="Arial"/>
                <w:szCs w:val="20"/>
              </w:rPr>
              <w:t>Importantly, the KPI framework is explicitly connected to the LIFE KPI webtool and to the formal reporting obligations of the project. D1.4 states that the KPIs were structured in accordance with the mandatory reporting logic of the LIFE KPI Webtool and aligned with Annex II of Regulation (EU) 2021/783. It also defines the distinction between KPIs and PPIs, clarifying that PPIs monitor the means and operational progress of project implementation, while KPIs measure the higher-level ends and long-term impact dimensions. According to the project implementation practice, the relevant KPIs have also been reported in the LIFE KPI webtool in line with the agreed schedule. This means that Task 1.4 does not only support internal evaluation but also ensures compatibility between project-level monitoring and the formal performance-reporting framework required by the LIFE Programme.</w:t>
            </w:r>
          </w:p>
          <w:p w14:paraId="60057533" w14:textId="77777777" w:rsidR="00742E79" w:rsidRPr="00742E79" w:rsidRDefault="00742E79" w:rsidP="00980F10">
            <w:pPr>
              <w:spacing w:before="120" w:after="120"/>
              <w:jc w:val="both"/>
              <w:rPr>
                <w:rFonts w:eastAsia="Times New Roman" w:cs="Arial"/>
                <w:szCs w:val="20"/>
              </w:rPr>
            </w:pPr>
            <w:r w:rsidRPr="00742E79">
              <w:rPr>
                <w:rFonts w:eastAsia="Times New Roman" w:cs="Arial"/>
                <w:szCs w:val="20"/>
              </w:rPr>
              <w:t>Another important feature of Task 1.4 is the integration of medium- and long-term impact logic into ongoing project monitoring. Both the D1.3 and D1.4 deliverables emphasise that the evaluation approach extends beyond immediate implementation outputs and is intended to support impact assessment up to five years after project completion. The expected impacts include, among others, continued OSS operation after project end, increasing annual renovation rates, large-scale municipal building renovation, cumulative investment mobilisation, substantial energy savings and renewable energy generation, greenhouse-gas reductions, job creation and wider stakeholder engagement. By linking current monitoring data with these future impact pathways, the project has already established the conceptual and methodological basis for later assessment of sustainability, replication and long-term transformation.</w:t>
            </w:r>
          </w:p>
          <w:p w14:paraId="63BF5E76" w14:textId="07321235" w:rsidR="000D3F05" w:rsidRPr="007D500E" w:rsidRDefault="000D3F05" w:rsidP="00742E79">
            <w:pPr>
              <w:spacing w:before="120" w:after="120" w:line="240" w:lineRule="auto"/>
              <w:rPr>
                <w:rFonts w:eastAsia="Times New Roman" w:cs="Arial"/>
                <w:b/>
                <w:bCs/>
                <w:color w:val="C0504D" w:themeColor="accent2"/>
                <w:sz w:val="18"/>
                <w:szCs w:val="18"/>
              </w:rPr>
            </w:pPr>
            <w:r w:rsidRPr="007D500E">
              <w:rPr>
                <w:rFonts w:eastAsia="Times New Roman" w:cs="Arial"/>
                <w:b/>
                <w:bCs/>
                <w:color w:val="C0504D" w:themeColor="accent2"/>
                <w:sz w:val="18"/>
                <w:szCs w:val="18"/>
              </w:rPr>
              <w:t>T1.5 [Contribution to common information and dissemination activities] ([Partially implemented])</w:t>
            </w:r>
          </w:p>
          <w:p w14:paraId="57B1E761" w14:textId="3BD66FBD" w:rsidR="00671DD4" w:rsidRPr="00671DD4" w:rsidRDefault="00671DD4" w:rsidP="00980F10">
            <w:pPr>
              <w:spacing w:before="120" w:after="120"/>
              <w:jc w:val="both"/>
              <w:rPr>
                <w:rFonts w:eastAsia="Times New Roman" w:cs="Arial"/>
                <w:szCs w:val="20"/>
              </w:rPr>
            </w:pPr>
            <w:r w:rsidRPr="00671DD4">
              <w:rPr>
                <w:rFonts w:eastAsia="Times New Roman" w:cs="Arial"/>
                <w:szCs w:val="20"/>
              </w:rPr>
              <w:t xml:space="preserve">During the reporting period, Task 1.5 was partially implemented through the project’s contribution to common information obligations and standard communication processes linked to the LIFE reporting framework. In line with Annex 1, this task concerns the project’s contribution, upon invitation by CINEA, to common information and dissemination activities supporting synergies and the wider visibility of LIFE Programme and European Commission supported actions. At the present stage, no </w:t>
            </w:r>
            <w:r w:rsidRPr="00671DD4">
              <w:rPr>
                <w:rFonts w:eastAsia="Times New Roman" w:cs="Arial"/>
                <w:szCs w:val="20"/>
              </w:rPr>
              <w:lastRenderedPageBreak/>
              <w:t>major stand-alone common dissemination action is confirmed in the reporting material available for this draft. However, the project has contributed to the common information framework of the programme through its structured monitoring and reporting activities.</w:t>
            </w:r>
          </w:p>
          <w:p w14:paraId="12218D98" w14:textId="2C896979" w:rsidR="00671DD4" w:rsidRPr="00671DD4" w:rsidRDefault="00671DD4" w:rsidP="00980F10">
            <w:pPr>
              <w:spacing w:before="120" w:after="120"/>
              <w:jc w:val="both"/>
              <w:rPr>
                <w:rFonts w:eastAsia="Times New Roman" w:cs="Arial"/>
                <w:szCs w:val="20"/>
              </w:rPr>
            </w:pPr>
            <w:r w:rsidRPr="00671DD4">
              <w:rPr>
                <w:rFonts w:eastAsia="Times New Roman" w:cs="Arial"/>
                <w:szCs w:val="20"/>
              </w:rPr>
              <w:t>More broadly, the project has maintained the reporting and visibility conditions necessary for participation in wider LIFE-level information processes. The monitoring framework established under WP1 and the associated KPI reporting work have ensured that RenoInGR data, outputs and impact logic are organised in a form compatible with the common reporting requirements of the programme. In this sense, even where a specific separate dissemination action at programme level is not yet explicitly documented in the present draft, the project has contributed to the shared information environment of LIFE through standardised reporting, impact-related documentation and visibility compliance.</w:t>
            </w:r>
          </w:p>
          <w:p w14:paraId="056C6357" w14:textId="3FD45D42" w:rsidR="00671DD4" w:rsidRPr="00671DD4" w:rsidRDefault="00671DD4" w:rsidP="00980F10">
            <w:pPr>
              <w:spacing w:before="120" w:after="120"/>
              <w:jc w:val="both"/>
              <w:rPr>
                <w:rFonts w:eastAsia="Times New Roman" w:cs="Arial"/>
                <w:szCs w:val="20"/>
                <w:lang w:val="el-GR"/>
              </w:rPr>
            </w:pPr>
            <w:r w:rsidRPr="00671DD4">
              <w:rPr>
                <w:rFonts w:eastAsia="Times New Roman" w:cs="Arial"/>
                <w:szCs w:val="20"/>
                <w:lang w:val="el-GR"/>
              </w:rPr>
              <w:t>[</w:t>
            </w:r>
            <w:r w:rsidRPr="00671DD4">
              <w:rPr>
                <w:rFonts w:eastAsia="Times New Roman" w:cs="Arial"/>
                <w:szCs w:val="20"/>
              </w:rPr>
              <w:t>Placeholder</w:t>
            </w:r>
            <w:r w:rsidRPr="00671DD4">
              <w:rPr>
                <w:rFonts w:eastAsia="Times New Roman" w:cs="Arial"/>
                <w:szCs w:val="20"/>
                <w:lang w:val="el-GR"/>
              </w:rPr>
              <w:t xml:space="preserve">: να προστεθούν εδώ συγκεκριμένες κοινές δράσεις ενημέρωσης ή διάχυσης που υλοποιήθηκαν κατόπιν πρόσκλησης της </w:t>
            </w:r>
            <w:r w:rsidRPr="00671DD4">
              <w:rPr>
                <w:rFonts w:eastAsia="Times New Roman" w:cs="Arial"/>
                <w:szCs w:val="20"/>
              </w:rPr>
              <w:t>CINEA</w:t>
            </w:r>
            <w:r w:rsidRPr="00671DD4">
              <w:rPr>
                <w:rFonts w:eastAsia="Times New Roman" w:cs="Arial"/>
                <w:szCs w:val="20"/>
                <w:lang w:val="el-GR"/>
              </w:rPr>
              <w:t xml:space="preserve"> κατά την περίοδο αναφοράς,</w:t>
            </w:r>
            <w:r>
              <w:rPr>
                <w:rFonts w:eastAsia="Times New Roman" w:cs="Arial"/>
                <w:szCs w:val="20"/>
                <w:lang w:val="el-GR"/>
              </w:rPr>
              <w:t xml:space="preserve"> όπως ένα </w:t>
            </w:r>
            <w:r>
              <w:rPr>
                <w:rFonts w:eastAsia="Times New Roman" w:cs="Arial"/>
                <w:szCs w:val="20"/>
                <w:lang w:val="en-US"/>
              </w:rPr>
              <w:t>template</w:t>
            </w:r>
            <w:r>
              <w:rPr>
                <w:rFonts w:eastAsia="Times New Roman" w:cs="Arial"/>
                <w:szCs w:val="20"/>
                <w:lang w:val="el-GR"/>
              </w:rPr>
              <w:t xml:space="preserve"> παρουσίασης που μας είχε ζητηθεί</w:t>
            </w:r>
            <w:r w:rsidRPr="00671DD4">
              <w:rPr>
                <w:rStyle w:val="PageNumber"/>
                <w:lang w:val="el-GR"/>
              </w:rPr>
              <w:t xml:space="preserve"> </w:t>
            </w:r>
            <w:r w:rsidRPr="00671DD4">
              <w:rPr>
                <w:rFonts w:eastAsia="Times New Roman" w:cs="Arial"/>
                <w:szCs w:val="20"/>
                <w:lang w:val="el-GR"/>
              </w:rPr>
              <w:t>.]</w:t>
            </w:r>
          </w:p>
          <w:p w14:paraId="2A2BBA01" w14:textId="77777777" w:rsidR="00671DD4" w:rsidRPr="00671DD4" w:rsidRDefault="00671DD4" w:rsidP="00980F10">
            <w:pPr>
              <w:spacing w:before="120" w:after="120"/>
              <w:jc w:val="both"/>
              <w:rPr>
                <w:rFonts w:eastAsia="Times New Roman" w:cs="Arial"/>
                <w:szCs w:val="20"/>
                <w:lang w:val="el-GR"/>
              </w:rPr>
            </w:pPr>
          </w:p>
          <w:p w14:paraId="358AF146" w14:textId="256CFAF9" w:rsidR="00626FCE" w:rsidRPr="00671DD4" w:rsidRDefault="00671DD4" w:rsidP="00980F10">
            <w:pPr>
              <w:spacing w:before="120" w:after="120"/>
              <w:rPr>
                <w:rFonts w:eastAsia="Times New Roman" w:cs="Arial"/>
                <w:color w:val="C0504D" w:themeColor="accent2"/>
                <w:sz w:val="18"/>
                <w:szCs w:val="18"/>
                <w:lang w:val="el-GR"/>
              </w:rPr>
            </w:pPr>
            <w:r w:rsidRPr="00671DD4">
              <w:rPr>
                <w:rFonts w:eastAsia="Times New Roman" w:cs="Arial"/>
                <w:szCs w:val="20"/>
                <w:lang w:val="el-GR"/>
              </w:rPr>
              <w:t>[</w:t>
            </w:r>
            <w:r w:rsidRPr="00671DD4">
              <w:rPr>
                <w:rFonts w:eastAsia="Times New Roman" w:cs="Arial"/>
                <w:szCs w:val="20"/>
              </w:rPr>
              <w:t>Placeholder</w:t>
            </w:r>
            <w:r w:rsidRPr="00671DD4">
              <w:rPr>
                <w:rFonts w:eastAsia="Times New Roman" w:cs="Arial"/>
                <w:szCs w:val="20"/>
                <w:lang w:val="el-GR"/>
              </w:rPr>
              <w:t xml:space="preserve">: να διευκρινιστεί αν το έργο παρείχε συγκεκριμένο υλικό, δεδομένα, βασικά σημεία προόδου ή άλλο επικοινωνιακό περιεχόμενο προς την </w:t>
            </w:r>
            <w:r w:rsidRPr="00671DD4">
              <w:rPr>
                <w:rFonts w:eastAsia="Times New Roman" w:cs="Arial"/>
                <w:szCs w:val="20"/>
              </w:rPr>
              <w:t>CINEA</w:t>
            </w:r>
            <w:r w:rsidRPr="00671DD4">
              <w:rPr>
                <w:rFonts w:eastAsia="Times New Roman" w:cs="Arial"/>
                <w:szCs w:val="20"/>
                <w:lang w:val="el-GR"/>
              </w:rPr>
              <w:t xml:space="preserve"> πέραν των τυπικών υποχρεώσεων </w:t>
            </w:r>
            <w:r w:rsidRPr="00671DD4">
              <w:rPr>
                <w:rFonts w:eastAsia="Times New Roman" w:cs="Arial"/>
                <w:szCs w:val="20"/>
              </w:rPr>
              <w:t>reporting</w:t>
            </w:r>
            <w:r w:rsidRPr="00671DD4">
              <w:rPr>
                <w:rFonts w:eastAsia="Times New Roman" w:cs="Arial"/>
                <w:szCs w:val="20"/>
                <w:lang w:val="el-GR"/>
              </w:rPr>
              <w:t>.]</w:t>
            </w:r>
          </w:p>
        </w:tc>
      </w:tr>
      <w:tr w:rsidR="00502422" w:rsidRPr="00200D1C" w14:paraId="4C927227" w14:textId="77777777" w:rsidTr="008E043B">
        <w:tc>
          <w:tcPr>
            <w:tcW w:w="1659" w:type="pct"/>
            <w:shd w:val="clear" w:color="auto" w:fill="E6E6E6"/>
          </w:tcPr>
          <w:p w14:paraId="55BF6567" w14:textId="77777777" w:rsidR="00502422" w:rsidRPr="00502422" w:rsidRDefault="00734BDD" w:rsidP="00E40C70">
            <w:pPr>
              <w:spacing w:before="120" w:after="120" w:line="240" w:lineRule="auto"/>
              <w:rPr>
                <w:rFonts w:eastAsia="Times New Roman" w:cs="Arial"/>
                <w:color w:val="595959"/>
                <w:sz w:val="18"/>
                <w:szCs w:val="18"/>
              </w:rPr>
            </w:pPr>
            <w:r>
              <w:rPr>
                <w:rFonts w:eastAsia="Times New Roman" w:cs="Arial"/>
                <w:color w:val="595959"/>
                <w:sz w:val="18"/>
                <w:szCs w:val="18"/>
              </w:rPr>
              <w:lastRenderedPageBreak/>
              <w:t>Other issues</w:t>
            </w:r>
            <w:r w:rsidR="00502422" w:rsidRPr="00502422">
              <w:rPr>
                <w:rFonts w:eastAsia="Times New Roman" w:cs="Arial"/>
                <w:color w:val="595959"/>
                <w:sz w:val="18"/>
                <w:szCs w:val="18"/>
              </w:rPr>
              <w:t xml:space="preserve"> </w:t>
            </w:r>
          </w:p>
          <w:p w14:paraId="2AA20160" w14:textId="77777777" w:rsidR="00047C7E" w:rsidRDefault="00502422" w:rsidP="51F6A2C3">
            <w:pPr>
              <w:spacing w:before="120" w:after="120" w:line="240" w:lineRule="auto"/>
              <w:rPr>
                <w:rFonts w:eastAsia="Times New Roman" w:cs="Arial"/>
                <w:b/>
                <w:bCs/>
                <w:color w:val="595959"/>
                <w:sz w:val="18"/>
                <w:szCs w:val="18"/>
              </w:rPr>
            </w:pPr>
            <w:r w:rsidRPr="51F6A2C3">
              <w:rPr>
                <w:rFonts w:eastAsia="Times New Roman" w:cs="Arial"/>
                <w:i/>
                <w:iCs/>
                <w:color w:val="595959"/>
                <w:sz w:val="16"/>
                <w:szCs w:val="16"/>
              </w:rPr>
              <w:t xml:space="preserve">Mention and explain </w:t>
            </w:r>
            <w:r w:rsidR="00F77F71" w:rsidRPr="51F6A2C3">
              <w:rPr>
                <w:rFonts w:eastAsia="Times New Roman" w:cs="Arial"/>
                <w:i/>
                <w:iCs/>
                <w:color w:val="595959"/>
                <w:sz w:val="16"/>
                <w:szCs w:val="16"/>
              </w:rPr>
              <w:t>unexpected</w:t>
            </w:r>
            <w:r w:rsidRPr="51F6A2C3">
              <w:rPr>
                <w:rFonts w:eastAsia="Times New Roman" w:cs="Arial"/>
                <w:i/>
                <w:iCs/>
                <w:color w:val="595959"/>
                <w:sz w:val="16"/>
                <w:szCs w:val="16"/>
              </w:rPr>
              <w:t xml:space="preserve"> events and adjustments that had to be made.</w:t>
            </w:r>
            <w:r w:rsidR="008247CF" w:rsidRPr="51F6A2C3">
              <w:rPr>
                <w:rFonts w:eastAsia="Times New Roman" w:cs="Arial"/>
                <w:i/>
                <w:iCs/>
                <w:color w:val="595959"/>
                <w:sz w:val="16"/>
                <w:szCs w:val="16"/>
              </w:rPr>
              <w:t xml:space="preserve"> Explain impact on other </w:t>
            </w:r>
            <w:r w:rsidR="008247CF" w:rsidRPr="00AF2ECC">
              <w:rPr>
                <w:rFonts w:eastAsia="Times New Roman" w:cs="Arial"/>
                <w:i/>
                <w:iCs/>
                <w:color w:val="595959"/>
                <w:sz w:val="16"/>
                <w:szCs w:val="16"/>
              </w:rPr>
              <w:t>tasks, available resources and planning</w:t>
            </w:r>
            <w:r w:rsidR="00ED407C" w:rsidRPr="00AF2ECC">
              <w:rPr>
                <w:rFonts w:eastAsia="Times New Roman" w:cs="Arial"/>
                <w:i/>
                <w:iCs/>
                <w:color w:val="595959"/>
                <w:sz w:val="16"/>
                <w:szCs w:val="16"/>
              </w:rPr>
              <w:t>/timing</w:t>
            </w:r>
            <w:r w:rsidR="008247CF" w:rsidRPr="00AF2ECC">
              <w:rPr>
                <w:rFonts w:eastAsia="Times New Roman" w:cs="Arial"/>
                <w:i/>
                <w:iCs/>
                <w:color w:val="595959"/>
                <w:sz w:val="16"/>
                <w:szCs w:val="16"/>
              </w:rPr>
              <w:t>.</w:t>
            </w:r>
            <w:r w:rsidR="00047C7E" w:rsidRPr="00AF2ECC">
              <w:rPr>
                <w:rFonts w:eastAsia="Times New Roman" w:cs="Arial"/>
                <w:i/>
                <w:iCs/>
                <w:color w:val="595959"/>
                <w:sz w:val="16"/>
                <w:szCs w:val="16"/>
              </w:rPr>
              <w:t xml:space="preserve"> </w:t>
            </w:r>
            <w:r w:rsidR="00AF2ECC" w:rsidRPr="00AF2ECC">
              <w:rPr>
                <w:rFonts w:cs="Arial"/>
                <w:i/>
                <w:iCs/>
                <w:sz w:val="16"/>
                <w:szCs w:val="16"/>
              </w:rPr>
              <w:t>In case of major deviations from the planned budget, please refer to section 4.3.</w:t>
            </w:r>
          </w:p>
        </w:tc>
        <w:tc>
          <w:tcPr>
            <w:tcW w:w="3341" w:type="pct"/>
            <w:shd w:val="clear" w:color="auto" w:fill="FFFFFF" w:themeFill="background1"/>
          </w:tcPr>
          <w:p w14:paraId="241B9B5D" w14:textId="7CBDAF1A" w:rsidR="006A4418" w:rsidRPr="00742E79" w:rsidRDefault="00742E79" w:rsidP="006A4418">
            <w:pPr>
              <w:spacing w:before="120" w:after="120" w:line="240" w:lineRule="auto"/>
              <w:ind w:right="4"/>
              <w:jc w:val="both"/>
              <w:rPr>
                <w:rFonts w:eastAsia="Calibri" w:cs="Arial"/>
                <w:color w:val="595959"/>
                <w:sz w:val="18"/>
                <w:szCs w:val="18"/>
                <w:lang w:val="el-GR"/>
              </w:rPr>
            </w:pPr>
            <w:r>
              <w:rPr>
                <w:rFonts w:eastAsia="Calibri" w:cs="Arial"/>
                <w:color w:val="595959"/>
                <w:sz w:val="18"/>
                <w:szCs w:val="18"/>
                <w:lang w:val="el-GR"/>
              </w:rPr>
              <w:t>Ν/Α</w:t>
            </w:r>
          </w:p>
          <w:p w14:paraId="5224104E" w14:textId="77777777" w:rsidR="00502422" w:rsidRPr="00B41F58" w:rsidRDefault="00502422" w:rsidP="00502422">
            <w:pPr>
              <w:spacing w:before="120" w:after="120" w:line="240" w:lineRule="auto"/>
              <w:rPr>
                <w:rFonts w:eastAsia="Times New Roman" w:cs="Arial"/>
                <w:color w:val="595959"/>
                <w:sz w:val="18"/>
                <w:szCs w:val="20"/>
              </w:rPr>
            </w:pPr>
          </w:p>
        </w:tc>
      </w:tr>
      <w:tr w:rsidR="00A8725B" w:rsidRPr="00200D1C" w14:paraId="01E7F039" w14:textId="77777777" w:rsidTr="008E043B">
        <w:tc>
          <w:tcPr>
            <w:tcW w:w="5000" w:type="pct"/>
            <w:gridSpan w:val="2"/>
            <w:shd w:val="clear" w:color="auto" w:fill="D9D9D9" w:themeFill="background1" w:themeFillShade="D9"/>
          </w:tcPr>
          <w:p w14:paraId="293218A3" w14:textId="77777777" w:rsidR="00A8725B" w:rsidRPr="00C93CB0" w:rsidRDefault="00A8725B" w:rsidP="51F6A2C3">
            <w:pPr>
              <w:spacing w:before="120" w:after="120" w:line="240" w:lineRule="auto"/>
              <w:rPr>
                <w:rFonts w:eastAsia="Times New Roman" w:cs="Arial"/>
                <w:b/>
                <w:bCs/>
                <w:color w:val="595959"/>
                <w:sz w:val="18"/>
                <w:szCs w:val="18"/>
              </w:rPr>
            </w:pPr>
            <w:r w:rsidRPr="51F6A2C3">
              <w:rPr>
                <w:rFonts w:eastAsia="Times New Roman" w:cs="Arial"/>
                <w:b/>
                <w:bCs/>
                <w:color w:val="595959"/>
                <w:sz w:val="18"/>
                <w:szCs w:val="18"/>
              </w:rPr>
              <w:t xml:space="preserve">Milestones </w:t>
            </w:r>
            <w:r w:rsidR="00CA7900" w:rsidRPr="51F6A2C3">
              <w:rPr>
                <w:rFonts w:eastAsia="Times New Roman" w:cs="Arial"/>
                <w:b/>
                <w:bCs/>
                <w:color w:val="595959"/>
                <w:sz w:val="18"/>
                <w:szCs w:val="18"/>
              </w:rPr>
              <w:t>and</w:t>
            </w:r>
            <w:r w:rsidRPr="51F6A2C3">
              <w:rPr>
                <w:rFonts w:eastAsia="Times New Roman" w:cs="Arial"/>
                <w:b/>
                <w:bCs/>
                <w:color w:val="595959"/>
                <w:sz w:val="18"/>
                <w:szCs w:val="18"/>
              </w:rPr>
              <w:t xml:space="preserve"> deliverables</w:t>
            </w:r>
            <w:r w:rsidR="007B3C33" w:rsidRPr="51F6A2C3">
              <w:rPr>
                <w:rFonts w:eastAsia="Times New Roman" w:cs="Arial"/>
                <w:b/>
                <w:bCs/>
                <w:color w:val="595959"/>
                <w:sz w:val="18"/>
                <w:szCs w:val="18"/>
              </w:rPr>
              <w:t xml:space="preserve"> </w:t>
            </w:r>
            <w:r w:rsidR="007B3C33" w:rsidRPr="51F6A2C3">
              <w:rPr>
                <w:rFonts w:cs="Arial"/>
                <w:b/>
                <w:bCs/>
                <w:sz w:val="18"/>
                <w:szCs w:val="18"/>
              </w:rPr>
              <w:t>(outputs/outcomes)</w:t>
            </w:r>
          </w:p>
        </w:tc>
      </w:tr>
      <w:tr w:rsidR="00A8725B" w:rsidRPr="00BC0C16" w14:paraId="63453E84" w14:textId="77777777" w:rsidTr="008E043B">
        <w:trPr>
          <w:trHeight w:val="37"/>
        </w:trPr>
        <w:tc>
          <w:tcPr>
            <w:tcW w:w="5000" w:type="pct"/>
            <w:gridSpan w:val="2"/>
            <w:shd w:val="clear" w:color="auto" w:fill="F2F2F2" w:themeFill="background1" w:themeFillShade="F2"/>
          </w:tcPr>
          <w:p w14:paraId="39F7675D" w14:textId="77777777" w:rsidR="00A8725B" w:rsidRPr="00C93CB0" w:rsidRDefault="00A8725B" w:rsidP="00AA7BA9">
            <w:pPr>
              <w:spacing w:before="120" w:after="120" w:line="240" w:lineRule="auto"/>
              <w:rPr>
                <w:rFonts w:cs="Arial"/>
                <w:sz w:val="16"/>
                <w:szCs w:val="16"/>
              </w:rPr>
            </w:pPr>
            <w:r w:rsidRPr="00C93CB0">
              <w:rPr>
                <w:rFonts w:cs="Arial"/>
                <w:sz w:val="18"/>
                <w:szCs w:val="18"/>
              </w:rPr>
              <w:t>See Technical Report (Part A).</w:t>
            </w:r>
          </w:p>
        </w:tc>
      </w:tr>
    </w:tbl>
    <w:p w14:paraId="727C35BA" w14:textId="77777777" w:rsidR="009C347D" w:rsidRDefault="009C347D" w:rsidP="00117DA4"/>
    <w:p w14:paraId="667AA65F" w14:textId="3537C0E7" w:rsidR="000D3F05" w:rsidRPr="00110BC6" w:rsidRDefault="000D3F05" w:rsidP="000D3F05">
      <w:pPr>
        <w:pStyle w:val="Heading4"/>
        <w:rPr>
          <w:sz w:val="18"/>
          <w:szCs w:val="18"/>
        </w:rPr>
      </w:pPr>
      <w:bookmarkStart w:id="42" w:name="_Toc227846970"/>
      <w:r w:rsidRPr="00110BC6">
        <w:t xml:space="preserve">Work </w:t>
      </w:r>
      <w:r>
        <w:t>P</w:t>
      </w:r>
      <w:r w:rsidRPr="00A32534">
        <w:t>ackage</w:t>
      </w:r>
      <w:r w:rsidRPr="51F6A2C3">
        <w:t xml:space="preserve"> </w:t>
      </w:r>
      <w:r>
        <w:t>2</w:t>
      </w:r>
      <w:bookmarkEnd w:id="42"/>
    </w:p>
    <w:tbl>
      <w:tblPr>
        <w:tblW w:w="4842" w:type="pct"/>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3012"/>
        <w:gridCol w:w="6066"/>
      </w:tblGrid>
      <w:tr w:rsidR="000D3F05" w:rsidRPr="00200D1C" w14:paraId="58F26121" w14:textId="77777777" w:rsidTr="00881652">
        <w:trPr>
          <w:trHeight w:val="417"/>
        </w:trPr>
        <w:tc>
          <w:tcPr>
            <w:tcW w:w="5000" w:type="pct"/>
            <w:gridSpan w:val="2"/>
            <w:tcBorders>
              <w:bottom w:val="single" w:sz="12" w:space="0" w:color="A6A6A6" w:themeColor="background1" w:themeShade="A6"/>
            </w:tcBorders>
            <w:shd w:val="clear" w:color="auto" w:fill="D9D9D9" w:themeFill="background1" w:themeFillShade="D9"/>
          </w:tcPr>
          <w:p w14:paraId="0A4D779C" w14:textId="6DB6ADB7" w:rsidR="000D3F05" w:rsidRPr="00420A4A" w:rsidRDefault="000D3F05" w:rsidP="00881652">
            <w:pPr>
              <w:spacing w:before="240" w:after="240" w:line="240" w:lineRule="auto"/>
              <w:rPr>
                <w:rFonts w:eastAsia="Times New Roman" w:cs="Arial"/>
                <w:b/>
                <w:bCs/>
                <w:color w:val="595959"/>
              </w:rPr>
            </w:pPr>
            <w:r w:rsidRPr="51F6A2C3">
              <w:rPr>
                <w:rFonts w:eastAsia="Times New Roman" w:cs="Arial"/>
                <w:b/>
                <w:bCs/>
                <w:color w:val="595959"/>
              </w:rPr>
              <w:t xml:space="preserve">Work Package </w:t>
            </w:r>
            <w:r>
              <w:rPr>
                <w:rFonts w:eastAsia="Times New Roman" w:cs="Arial"/>
                <w:b/>
                <w:bCs/>
                <w:color w:val="595959"/>
              </w:rPr>
              <w:t>2</w:t>
            </w:r>
            <w:r w:rsidRPr="51F6A2C3">
              <w:rPr>
                <w:rFonts w:eastAsia="Times New Roman" w:cs="Arial"/>
                <w:b/>
                <w:bCs/>
                <w:color w:val="595959"/>
              </w:rPr>
              <w:t>: [</w:t>
            </w:r>
            <w:r w:rsidRPr="000D3F05">
              <w:rPr>
                <w:rFonts w:eastAsia="Times New Roman" w:cs="Arial"/>
                <w:b/>
                <w:bCs/>
                <w:color w:val="595959"/>
              </w:rPr>
              <w:t>OSS Establishment and Governance</w:t>
            </w:r>
            <w:r w:rsidRPr="51F6A2C3">
              <w:rPr>
                <w:rFonts w:eastAsia="Times New Roman" w:cs="Arial"/>
                <w:b/>
                <w:bCs/>
                <w:color w:val="595959"/>
              </w:rPr>
              <w:t>]</w:t>
            </w:r>
          </w:p>
        </w:tc>
      </w:tr>
      <w:tr w:rsidR="000D3F05" w:rsidRPr="00200D1C" w14:paraId="6238CCE7" w14:textId="77777777" w:rsidTr="00881652">
        <w:tc>
          <w:tcPr>
            <w:tcW w:w="5000" w:type="pct"/>
            <w:gridSpan w:val="2"/>
            <w:shd w:val="clear" w:color="auto" w:fill="D9D9D9" w:themeFill="background1" w:themeFillShade="D9"/>
          </w:tcPr>
          <w:p w14:paraId="65851770" w14:textId="77777777" w:rsidR="000D3F05" w:rsidRPr="00D14AA2" w:rsidRDefault="000D3F05" w:rsidP="00881652">
            <w:pPr>
              <w:spacing w:before="120" w:after="120" w:line="240" w:lineRule="auto"/>
              <w:rPr>
                <w:rFonts w:eastAsia="Times New Roman" w:cs="Arial"/>
                <w:b/>
                <w:bCs/>
                <w:color w:val="595959"/>
                <w:sz w:val="18"/>
                <w:szCs w:val="18"/>
              </w:rPr>
            </w:pPr>
            <w:r w:rsidRPr="51F6A2C3">
              <w:rPr>
                <w:rFonts w:eastAsia="Times New Roman" w:cs="Arial"/>
                <w:b/>
                <w:bCs/>
                <w:color w:val="595959"/>
                <w:sz w:val="18"/>
                <w:szCs w:val="18"/>
              </w:rPr>
              <w:t xml:space="preserve">Activities </w:t>
            </w:r>
          </w:p>
          <w:p w14:paraId="3DE10578" w14:textId="77777777" w:rsidR="000D3F05" w:rsidRPr="003A659F" w:rsidRDefault="000D3F05" w:rsidP="00881652">
            <w:pPr>
              <w:spacing w:before="120" w:after="60" w:line="240" w:lineRule="auto"/>
              <w:jc w:val="both"/>
              <w:rPr>
                <w:rFonts w:eastAsia="Times New Roman" w:cs="Arial"/>
                <w:i/>
                <w:iCs/>
                <w:sz w:val="16"/>
                <w:szCs w:val="16"/>
                <w:lang w:eastAsia="en-GB"/>
              </w:rPr>
            </w:pPr>
            <w:r w:rsidRPr="51F6A2C3">
              <w:rPr>
                <w:rFonts w:eastAsia="Times New Roman" w:cs="Arial"/>
                <w:i/>
                <w:iCs/>
                <w:kern w:val="32"/>
                <w:sz w:val="16"/>
                <w:szCs w:val="16"/>
                <w:lang w:eastAsia="en-GB"/>
              </w:rPr>
              <w:t xml:space="preserve">Explain the work carried out for each work package during the reporting period, giving details of the work carried out by each participant </w:t>
            </w:r>
            <w:r w:rsidRPr="00AF2ECC">
              <w:rPr>
                <w:rFonts w:eastAsia="Times New Roman" w:cs="Arial"/>
                <w:i/>
                <w:iCs/>
                <w:kern w:val="32"/>
                <w:sz w:val="16"/>
                <w:szCs w:val="16"/>
                <w:lang w:eastAsia="en-GB"/>
              </w:rPr>
              <w:t>involved. Please summarise in a few sentences what was done in the previous period, when applicable.</w:t>
            </w:r>
          </w:p>
          <w:p w14:paraId="7C9BA801" w14:textId="77777777" w:rsidR="000D3F05" w:rsidRPr="003A659F" w:rsidRDefault="000D3F05" w:rsidP="00881652">
            <w:pPr>
              <w:spacing w:after="60" w:line="240" w:lineRule="auto"/>
              <w:jc w:val="both"/>
              <w:rPr>
                <w:rFonts w:eastAsia="Times New Roman" w:cs="Arial"/>
                <w:i/>
                <w:iCs/>
                <w:sz w:val="16"/>
                <w:szCs w:val="16"/>
                <w:lang w:eastAsia="en-GB"/>
              </w:rPr>
            </w:pPr>
            <w:r w:rsidRPr="51F6A2C3">
              <w:rPr>
                <w:rFonts w:cs="Arial"/>
                <w:i/>
                <w:iCs/>
                <w:sz w:val="16"/>
                <w:szCs w:val="16"/>
              </w:rPr>
              <w:t xml:space="preserve">Explain the reasons for </w:t>
            </w:r>
            <w:r w:rsidRPr="51F6A2C3">
              <w:rPr>
                <w:rFonts w:cs="Arial"/>
                <w:i/>
                <w:iCs/>
                <w:sz w:val="16"/>
                <w:szCs w:val="16"/>
                <w:u w:val="single"/>
              </w:rPr>
              <w:t>deviations</w:t>
            </w:r>
            <w:r w:rsidRPr="51F6A2C3">
              <w:rPr>
                <w:rFonts w:cs="Arial"/>
                <w:i/>
                <w:iCs/>
                <w:sz w:val="16"/>
                <w:szCs w:val="16"/>
              </w:rPr>
              <w:t xml:space="preserve"> from </w:t>
            </w:r>
            <w:r w:rsidRPr="51F6A2C3">
              <w:rPr>
                <w:rFonts w:eastAsia="Times New Roman" w:cs="Arial"/>
                <w:i/>
                <w:iCs/>
                <w:color w:val="595959"/>
                <w:sz w:val="16"/>
                <w:szCs w:val="16"/>
              </w:rPr>
              <w:t>Annex 1 of the Grant Agreement</w:t>
            </w:r>
            <w:r w:rsidRPr="51F6A2C3">
              <w:rPr>
                <w:rFonts w:cs="Arial"/>
                <w:i/>
                <w:iCs/>
                <w:sz w:val="16"/>
                <w:szCs w:val="16"/>
              </w:rPr>
              <w:t>, the consequences and the proposed corrective actions.</w:t>
            </w:r>
          </w:p>
          <w:p w14:paraId="7A891F47" w14:textId="77777777" w:rsidR="000D3F05" w:rsidRPr="003A659F" w:rsidRDefault="000D3F05" w:rsidP="00881652">
            <w:pPr>
              <w:spacing w:after="60" w:line="240" w:lineRule="auto"/>
              <w:jc w:val="both"/>
              <w:rPr>
                <w:rFonts w:cs="Arial"/>
                <w:i/>
                <w:iCs/>
                <w:sz w:val="16"/>
                <w:szCs w:val="16"/>
              </w:rPr>
            </w:pPr>
            <w:r w:rsidRPr="51F6A2C3">
              <w:rPr>
                <w:rFonts w:cs="Arial"/>
                <w:i/>
                <w:iCs/>
                <w:sz w:val="16"/>
                <w:szCs w:val="16"/>
              </w:rPr>
              <w:t xml:space="preserve">Include explanations for tasks not fully implemented, critical objectives not fully achieved and/or not being on schedule. Explain also the impact on other tasks, on the available resources and the planning. Where necessary, make reference to the deliverables in the report text. </w:t>
            </w:r>
            <w:r w:rsidRPr="00AF2ECC">
              <w:rPr>
                <w:rFonts w:cs="Arial"/>
                <w:i/>
                <w:iCs/>
                <w:sz w:val="16"/>
                <w:szCs w:val="16"/>
              </w:rPr>
              <w:t>In case of major deviations from on the planned budget, please refer to section 4.3.</w:t>
            </w:r>
          </w:p>
          <w:p w14:paraId="7981DCCD" w14:textId="77777777" w:rsidR="000D3F05" w:rsidRDefault="000D3F05" w:rsidP="00881652">
            <w:pPr>
              <w:spacing w:after="60" w:line="240" w:lineRule="auto"/>
              <w:jc w:val="both"/>
              <w:rPr>
                <w:i/>
                <w:iCs/>
                <w:sz w:val="16"/>
                <w:szCs w:val="16"/>
              </w:rPr>
            </w:pPr>
            <w:r w:rsidRPr="003F4E7A">
              <w:rPr>
                <w:i/>
                <w:iCs/>
                <w:sz w:val="16"/>
                <w:szCs w:val="16"/>
              </w:rPr>
              <w:t xml:space="preserve">Focus only on the </w:t>
            </w:r>
            <w:r w:rsidRPr="003F4E7A">
              <w:rPr>
                <w:b/>
                <w:bCs/>
                <w:i/>
                <w:iCs/>
                <w:sz w:val="16"/>
                <w:szCs w:val="16"/>
              </w:rPr>
              <w:t>main</w:t>
            </w:r>
            <w:r w:rsidRPr="003F4E7A">
              <w:rPr>
                <w:i/>
                <w:iCs/>
                <w:sz w:val="16"/>
                <w:szCs w:val="16"/>
              </w:rPr>
              <w:t xml:space="preserve"> </w:t>
            </w:r>
            <w:r w:rsidRPr="003F4E7A">
              <w:rPr>
                <w:b/>
                <w:bCs/>
                <w:i/>
                <w:iCs/>
                <w:sz w:val="16"/>
                <w:szCs w:val="16"/>
              </w:rPr>
              <w:t xml:space="preserve">results </w:t>
            </w:r>
            <w:r w:rsidRPr="003F4E7A">
              <w:rPr>
                <w:i/>
                <w:iCs/>
                <w:sz w:val="16"/>
                <w:szCs w:val="16"/>
              </w:rPr>
              <w:t xml:space="preserve">as well as important </w:t>
            </w:r>
            <w:r w:rsidRPr="003F4E7A">
              <w:rPr>
                <w:b/>
                <w:bCs/>
                <w:i/>
                <w:iCs/>
                <w:sz w:val="16"/>
                <w:szCs w:val="16"/>
              </w:rPr>
              <w:t>lessons learned</w:t>
            </w:r>
            <w:r w:rsidRPr="003F4E7A">
              <w:rPr>
                <w:i/>
                <w:iCs/>
                <w:sz w:val="16"/>
                <w:szCs w:val="16"/>
              </w:rPr>
              <w:t>. The technical details should be provided in the deliverables.</w:t>
            </w:r>
          </w:p>
          <w:p w14:paraId="0600A7FA" w14:textId="77777777" w:rsidR="000D3F05" w:rsidRPr="00C4658D" w:rsidRDefault="000D3F05" w:rsidP="00881652">
            <w:pPr>
              <w:spacing w:after="120" w:line="240" w:lineRule="auto"/>
              <w:jc w:val="both"/>
              <w:rPr>
                <w:rFonts w:eastAsia="Times New Roman" w:cs="Arial"/>
                <w:i/>
                <w:iCs/>
                <w:color w:val="595959"/>
                <w:sz w:val="16"/>
                <w:szCs w:val="16"/>
                <w:lang w:eastAsia="en-GB"/>
              </w:rPr>
            </w:pPr>
            <w:r w:rsidRPr="003F4E7A">
              <w:rPr>
                <w:i/>
                <w:iCs/>
                <w:sz w:val="16"/>
                <w:szCs w:val="16"/>
              </w:rPr>
              <w:lastRenderedPageBreak/>
              <w:t>Additionally, for Operating Grants</w:t>
            </w:r>
            <w:r>
              <w:rPr>
                <w:i/>
                <w:iCs/>
                <w:sz w:val="16"/>
                <w:szCs w:val="16"/>
              </w:rPr>
              <w:t xml:space="preserve">, </w:t>
            </w:r>
            <w:r w:rsidRPr="003F4E7A">
              <w:rPr>
                <w:rFonts w:eastAsia="Times New Roman" w:cs="Arial"/>
                <w:i/>
                <w:iCs/>
                <w:color w:val="595959"/>
                <w:sz w:val="16"/>
                <w:szCs w:val="16"/>
                <w:lang w:eastAsia="en-GB"/>
              </w:rPr>
              <w:t>report</w:t>
            </w:r>
            <w:r w:rsidRPr="51F6A2C3">
              <w:rPr>
                <w:rFonts w:eastAsia="Times New Roman" w:cs="Arial"/>
                <w:i/>
                <w:iCs/>
                <w:color w:val="595959"/>
                <w:sz w:val="16"/>
                <w:szCs w:val="16"/>
                <w:lang w:eastAsia="en-GB"/>
              </w:rPr>
              <w:t xml:space="preserve"> </w:t>
            </w:r>
            <w:r>
              <w:rPr>
                <w:rFonts w:eastAsia="Times New Roman" w:cs="Arial"/>
                <w:i/>
                <w:iCs/>
                <w:color w:val="595959"/>
                <w:sz w:val="16"/>
                <w:szCs w:val="16"/>
                <w:lang w:eastAsia="en-GB"/>
              </w:rPr>
              <w:t>u</w:t>
            </w:r>
            <w:r w:rsidRPr="003F4E7A">
              <w:rPr>
                <w:rFonts w:eastAsia="Times New Roman" w:cs="Arial"/>
                <w:i/>
                <w:iCs/>
                <w:color w:val="595959"/>
                <w:sz w:val="16"/>
                <w:szCs w:val="16"/>
                <w:lang w:eastAsia="en-GB"/>
              </w:rPr>
              <w:t>nder Work Package 1</w:t>
            </w:r>
            <w:r>
              <w:rPr>
                <w:rFonts w:eastAsia="Times New Roman" w:cs="Arial"/>
                <w:i/>
                <w:iCs/>
                <w:color w:val="595959"/>
                <w:sz w:val="16"/>
                <w:szCs w:val="16"/>
                <w:lang w:eastAsia="en-GB"/>
              </w:rPr>
              <w:t xml:space="preserve"> </w:t>
            </w:r>
            <w:r w:rsidRPr="51F6A2C3">
              <w:rPr>
                <w:rFonts w:eastAsia="Times New Roman" w:cs="Arial"/>
                <w:i/>
                <w:iCs/>
                <w:color w:val="595959"/>
                <w:sz w:val="16"/>
                <w:szCs w:val="16"/>
                <w:lang w:eastAsia="en-GB"/>
              </w:rPr>
              <w:t xml:space="preserve">on </w:t>
            </w:r>
            <w:r w:rsidRPr="51F6A2C3">
              <w:rPr>
                <w:rFonts w:eastAsia="Times New Roman" w:cs="Arial"/>
                <w:i/>
                <w:iCs/>
                <w:color w:val="595959"/>
                <w:sz w:val="16"/>
                <w:szCs w:val="16"/>
                <w:u w:val="single"/>
                <w:lang w:eastAsia="en-GB"/>
              </w:rPr>
              <w:t>changes</w:t>
            </w:r>
            <w:r w:rsidRPr="51F6A2C3">
              <w:rPr>
                <w:rFonts w:eastAsia="Times New Roman" w:cs="Arial"/>
                <w:i/>
                <w:iCs/>
                <w:color w:val="595959"/>
                <w:sz w:val="16"/>
                <w:szCs w:val="16"/>
                <w:lang w:eastAsia="en-GB"/>
              </w:rPr>
              <w:t xml:space="preserve"> in your organisation’s capacity (if any) to become a more efficient stakeholder in the </w:t>
            </w:r>
            <w:r>
              <w:rPr>
                <w:rFonts w:eastAsia="Times New Roman" w:cs="Arial"/>
                <w:i/>
                <w:iCs/>
                <w:color w:val="595959"/>
                <w:sz w:val="16"/>
                <w:szCs w:val="16"/>
                <w:lang w:eastAsia="en-GB"/>
              </w:rPr>
              <w:t>EU</w:t>
            </w:r>
            <w:r w:rsidRPr="51F6A2C3">
              <w:rPr>
                <w:rFonts w:eastAsia="Times New Roman" w:cs="Arial"/>
                <w:i/>
                <w:iCs/>
                <w:color w:val="595959"/>
                <w:sz w:val="16"/>
                <w:szCs w:val="16"/>
                <w:lang w:eastAsia="en-GB"/>
              </w:rPr>
              <w:t>’s policy process. Report on the proposed actions and their status to develop the organisation, widen the grassroots or members base, diversify and sustain the organisation's fundraising strategy and the strategy to reduce your dependence on LIFE operating grants.</w:t>
            </w:r>
          </w:p>
        </w:tc>
      </w:tr>
      <w:tr w:rsidR="000D3F05" w:rsidRPr="00200D1C" w14:paraId="634AFB5A" w14:textId="77777777" w:rsidTr="00881652">
        <w:trPr>
          <w:trHeight w:val="37"/>
        </w:trPr>
        <w:tc>
          <w:tcPr>
            <w:tcW w:w="5000" w:type="pct"/>
            <w:gridSpan w:val="2"/>
          </w:tcPr>
          <w:p w14:paraId="3819A4C4" w14:textId="7987511E" w:rsidR="000D3F05" w:rsidRPr="007D500E" w:rsidRDefault="000D3F05" w:rsidP="00980F10">
            <w:pPr>
              <w:spacing w:before="120" w:after="120"/>
              <w:rPr>
                <w:rFonts w:eastAsia="Times New Roman" w:cs="Arial"/>
                <w:b/>
                <w:bCs/>
                <w:color w:val="C0504D" w:themeColor="accent2"/>
                <w:sz w:val="18"/>
                <w:szCs w:val="18"/>
              </w:rPr>
            </w:pPr>
            <w:commentRangeStart w:id="43"/>
            <w:r w:rsidRPr="007D500E">
              <w:rPr>
                <w:rFonts w:eastAsia="Times New Roman" w:cs="Arial"/>
                <w:b/>
                <w:bCs/>
                <w:color w:val="C0504D" w:themeColor="accent2"/>
                <w:sz w:val="18"/>
                <w:szCs w:val="18"/>
              </w:rPr>
              <w:lastRenderedPageBreak/>
              <w:t xml:space="preserve">T2.1 </w:t>
            </w:r>
            <w:commentRangeEnd w:id="43"/>
            <w:r w:rsidR="00A23CBC" w:rsidRPr="007D500E">
              <w:rPr>
                <w:rStyle w:val="CommentReference"/>
                <w:rFonts w:eastAsia="Times New Roman" w:cs="Arial"/>
                <w:b/>
                <w:bCs/>
                <w:color w:val="C0504D" w:themeColor="accent2"/>
                <w:sz w:val="18"/>
                <w:szCs w:val="18"/>
              </w:rPr>
              <w:commentReference w:id="43"/>
            </w:r>
            <w:r w:rsidRPr="007D500E">
              <w:rPr>
                <w:rFonts w:eastAsia="Times New Roman" w:cs="Arial"/>
                <w:b/>
                <w:bCs/>
                <w:color w:val="C0504D" w:themeColor="accent2"/>
                <w:sz w:val="18"/>
                <w:szCs w:val="18"/>
              </w:rPr>
              <w:t>[Establishment of the OSS] ([Partially implemented])</w:t>
            </w:r>
          </w:p>
          <w:p w14:paraId="076B04CB" w14:textId="77777777" w:rsidR="00DE11C8" w:rsidRPr="005377EB" w:rsidRDefault="00DE11C8" w:rsidP="00980F10">
            <w:pPr>
              <w:spacing w:before="120" w:after="120"/>
              <w:jc w:val="both"/>
              <w:rPr>
                <w:rFonts w:eastAsia="Times New Roman" w:cs="Arial"/>
                <w:szCs w:val="20"/>
                <w:lang w:val="en-US"/>
              </w:rPr>
            </w:pPr>
            <w:r w:rsidRPr="005377EB">
              <w:rPr>
                <w:rFonts w:eastAsia="Times New Roman" w:cs="Arial"/>
                <w:szCs w:val="20"/>
                <w:lang w:val="en-US"/>
              </w:rPr>
              <w:t>During the reporting period, Task 2.1 was partially implemented through the operational establishment of the RenoInGR One-Stop-Shop under the legal and organisational structure of NTUA, while the final legal and governance configuration of the OSS remain</w:t>
            </w:r>
            <w:r>
              <w:rPr>
                <w:rFonts w:eastAsia="Times New Roman" w:cs="Arial"/>
                <w:szCs w:val="20"/>
                <w:lang w:val="en-US"/>
              </w:rPr>
              <w:t>s</w:t>
            </w:r>
            <w:r w:rsidRPr="005377EB">
              <w:rPr>
                <w:rFonts w:eastAsia="Times New Roman" w:cs="Arial"/>
                <w:szCs w:val="20"/>
                <w:lang w:val="en-US"/>
              </w:rPr>
              <w:t xml:space="preserve"> under development. In line with Annex 1, the establishment of the OSS was envisaged as a two-stage process, with an initial preparatory phase during which the OSS would operate under NTUA</w:t>
            </w:r>
            <w:r>
              <w:rPr>
                <w:rFonts w:eastAsia="Times New Roman" w:cs="Arial"/>
                <w:szCs w:val="20"/>
                <w:lang w:val="en-US"/>
              </w:rPr>
              <w:t>,</w:t>
            </w:r>
            <w:r w:rsidRPr="005377EB">
              <w:rPr>
                <w:rFonts w:eastAsia="Times New Roman" w:cs="Arial"/>
                <w:szCs w:val="20"/>
                <w:lang w:val="en-US"/>
              </w:rPr>
              <w:t xml:space="preserve"> and a later phase leading to the establishment of its full structure. At the current </w:t>
            </w:r>
            <w:r>
              <w:rPr>
                <w:rFonts w:eastAsia="Times New Roman" w:cs="Arial"/>
                <w:szCs w:val="20"/>
                <w:lang w:val="en-US"/>
              </w:rPr>
              <w:t>point in time</w:t>
            </w:r>
            <w:r w:rsidRPr="005377EB">
              <w:rPr>
                <w:rFonts w:eastAsia="Times New Roman" w:cs="Arial"/>
                <w:szCs w:val="20"/>
                <w:lang w:val="en-US"/>
              </w:rPr>
              <w:t xml:space="preserve">, the first part of this process has been implemented, allowing the OSS to begin functioning and supporting project activities, </w:t>
            </w:r>
            <w:r>
              <w:rPr>
                <w:rFonts w:eastAsia="Times New Roman" w:cs="Arial"/>
                <w:szCs w:val="20"/>
                <w:lang w:val="en-US"/>
              </w:rPr>
              <w:t xml:space="preserve">while options for its </w:t>
            </w:r>
            <w:r w:rsidRPr="005377EB">
              <w:rPr>
                <w:rFonts w:eastAsia="Times New Roman" w:cs="Arial"/>
                <w:szCs w:val="20"/>
                <w:lang w:val="en-US"/>
              </w:rPr>
              <w:t xml:space="preserve">final institutional form </w:t>
            </w:r>
            <w:r>
              <w:rPr>
                <w:rFonts w:eastAsia="Times New Roman" w:cs="Arial"/>
                <w:szCs w:val="20"/>
                <w:lang w:val="en-US"/>
              </w:rPr>
              <w:t xml:space="preserve">are still being examined, to be </w:t>
            </w:r>
            <w:r w:rsidRPr="005377EB">
              <w:rPr>
                <w:rFonts w:eastAsia="Times New Roman" w:cs="Arial"/>
                <w:szCs w:val="20"/>
                <w:lang w:val="en-US"/>
              </w:rPr>
              <w:t>concluded</w:t>
            </w:r>
            <w:r>
              <w:rPr>
                <w:rFonts w:eastAsia="Times New Roman" w:cs="Arial"/>
                <w:szCs w:val="20"/>
                <w:lang w:val="en-US"/>
              </w:rPr>
              <w:t xml:space="preserve"> later in the project</w:t>
            </w:r>
            <w:r w:rsidRPr="005377EB">
              <w:rPr>
                <w:rFonts w:eastAsia="Times New Roman" w:cs="Arial"/>
                <w:szCs w:val="20"/>
                <w:lang w:val="en-US"/>
              </w:rPr>
              <w:t>.</w:t>
            </w:r>
          </w:p>
          <w:p w14:paraId="2FA39FD0" w14:textId="77777777" w:rsidR="00DE11C8" w:rsidRPr="005377EB" w:rsidRDefault="00DE11C8" w:rsidP="00980F10">
            <w:pPr>
              <w:spacing w:before="120" w:after="120"/>
              <w:jc w:val="both"/>
              <w:rPr>
                <w:rFonts w:eastAsia="Times New Roman" w:cs="Arial"/>
                <w:szCs w:val="20"/>
                <w:lang w:val="en-US"/>
              </w:rPr>
            </w:pPr>
            <w:r w:rsidRPr="005377EB">
              <w:rPr>
                <w:rFonts w:eastAsia="Times New Roman" w:cs="Arial"/>
                <w:szCs w:val="20"/>
                <w:lang w:val="en-US"/>
              </w:rPr>
              <w:t>A key milestone of the first stage was the appointment, from the beginning of the project, of the first core staff member of the OSS. This person has functioned as the main employee of the One-Stop-Shop and has played a central operational role in supporting the establishment and day-to-day functioning of the service. In practice, this role has included participation in activities related to municipal mobilisation, support to communication with municipalities and regions, and assistance in the administrative follow-up of cooperation arrangements and other OSS-related processes. This first staffing step was particularly important because it ensured continuity, created an initial operational identity for the OSS and enabled knowledge and experience to begin accumulating within the structure from an early stage.</w:t>
            </w:r>
          </w:p>
          <w:p w14:paraId="3336ADA7" w14:textId="77777777" w:rsidR="00DE11C8" w:rsidRPr="005377EB" w:rsidRDefault="00DE11C8" w:rsidP="00980F10">
            <w:pPr>
              <w:spacing w:before="120" w:after="120"/>
              <w:jc w:val="both"/>
              <w:rPr>
                <w:rFonts w:eastAsia="Times New Roman" w:cs="Arial"/>
                <w:szCs w:val="20"/>
                <w:lang w:val="en-US"/>
              </w:rPr>
            </w:pPr>
            <w:r w:rsidRPr="005377EB">
              <w:rPr>
                <w:rFonts w:eastAsia="Times New Roman" w:cs="Arial"/>
                <w:szCs w:val="20"/>
                <w:lang w:val="en-US"/>
              </w:rPr>
              <w:t>Another important achievement under Task 2.1 was the establishment of the Advisory Board. As reflected in the project’s internal progress material, the Advisory Board has been formed and its members were announced during the first annual meeting. The Board includes representatives with relevant expertise and institutional background, such as members from the Ministry of Economy, the Hellenic Parliament, climate and greenhouse-gas-related advisory functions, the Ministry of Environment and Energy, and the ESCO market. More specifically, the appointed members include Dr. Styliani Alexopoulou, Dr. Asimina Gerasidi, Dr. Ioannis Sempos, Mr. Grigoris Grigoriadis and Mr. Georgios Kamaras. The function of the Advisory Board is non-executive and consultative, providing feedback, expertise and strategic input on OSS services, operation and quality-related matters. Its establishment therefore marks an important step in the maturation of the governance environment of the OSS, even if the full formal governance structure is not yet complete.</w:t>
            </w:r>
          </w:p>
          <w:p w14:paraId="53B0B742" w14:textId="77777777" w:rsidR="00DE11C8" w:rsidRPr="005377EB" w:rsidRDefault="00DE11C8" w:rsidP="00980F10">
            <w:pPr>
              <w:spacing w:before="120" w:after="120"/>
              <w:jc w:val="both"/>
              <w:rPr>
                <w:rFonts w:eastAsia="Times New Roman" w:cs="Arial"/>
                <w:szCs w:val="20"/>
                <w:lang w:val="en-US"/>
              </w:rPr>
            </w:pPr>
            <w:r w:rsidRPr="005377EB">
              <w:rPr>
                <w:rFonts w:eastAsia="Times New Roman" w:cs="Arial"/>
                <w:szCs w:val="20"/>
                <w:lang w:val="en-US"/>
              </w:rPr>
              <w:t xml:space="preserve">At the same time, the task has faced significant complexity in relation to the determination of the final legal structure and the full governance framework of the OSS. This part of Task 2.1 remains under development. As also reflected in the material prepared by the legal partner, the issue is not limited to selecting a formal legal vehicle, but involves broader questions concerning the compatibility of the future OSS structure with the Greek legal and administrative framework, the ability of the OSS to provide services to municipalities in a compliant and effective manner, the relationship with public-sector entities, and the conditions required for long-term sustainability and institutional legitimacy. Different legal options have been explored by </w:t>
            </w:r>
            <w:r>
              <w:rPr>
                <w:rFonts w:eastAsia="Times New Roman" w:cs="Arial"/>
                <w:szCs w:val="20"/>
                <w:lang w:val="en-US"/>
              </w:rPr>
              <w:t xml:space="preserve">Partner </w:t>
            </w:r>
            <w:r w:rsidRPr="005377EB">
              <w:rPr>
                <w:rFonts w:eastAsia="Times New Roman" w:cs="Arial"/>
                <w:szCs w:val="20"/>
                <w:lang w:val="en-US"/>
              </w:rPr>
              <w:t>Kelemenis and discussed, and the issue has also been the subject of exchanges with the relevant Ministry, including two meetings held during the reporting period. However, no final determination of the legal form had been reached by month 18, and the matter remained under examination.</w:t>
            </w:r>
          </w:p>
          <w:p w14:paraId="099AB0EF" w14:textId="26A6D3F4" w:rsidR="00954FCA" w:rsidRPr="00DE11C8" w:rsidRDefault="00DE11C8" w:rsidP="00980F10">
            <w:pPr>
              <w:spacing w:before="120" w:after="120"/>
              <w:jc w:val="both"/>
              <w:rPr>
                <w:rFonts w:eastAsia="Times New Roman" w:cs="Arial"/>
                <w:szCs w:val="20"/>
                <w:lang w:val="en-US"/>
              </w:rPr>
            </w:pPr>
            <w:r w:rsidRPr="005377EB">
              <w:rPr>
                <w:rFonts w:eastAsia="Times New Roman" w:cs="Arial"/>
                <w:szCs w:val="20"/>
                <w:lang w:val="en-US"/>
              </w:rPr>
              <w:lastRenderedPageBreak/>
              <w:t>This ongoing legal and institutional examination has also affected the pace of development of the full governance framework, including the formal establishment of the Governing Board. While first contacts and discussions have taken place regarding the future composition and operation of the Governing Board, its final formation has not yet been completed, as it is closely linked to the legal and institutional consolidation of the OSS. As a result, this aspect of Task 2.1 is delayed compared with the earlier planning reflected in Annex 1 and later project adjustments. However, this delay did not prevent the OSS from beginning to operate. The service is currently operating under NTUA, and this arrangement has enabled the project to proceed with OSS-related activities and pilot support while the final legal and governance issues continue to be explored. In this sense, the project has adopted a pragmatic and gradual approach, ensuring operational continuity without waiting for the complete institutional finalisation of the structure</w:t>
            </w:r>
            <w:r w:rsidR="00A23CBC" w:rsidRPr="00A23CBC">
              <w:rPr>
                <w:rFonts w:eastAsia="Times New Roman" w:cs="Arial"/>
                <w:szCs w:val="20"/>
                <w:lang w:val="en-US"/>
              </w:rPr>
              <w:t>.</w:t>
            </w:r>
          </w:p>
          <w:p w14:paraId="142DAF61" w14:textId="18473E97" w:rsidR="000D3F05" w:rsidRPr="007D500E" w:rsidRDefault="000D3F05" w:rsidP="00980F10">
            <w:pPr>
              <w:spacing w:before="120" w:after="120"/>
              <w:rPr>
                <w:rFonts w:eastAsia="Times New Roman" w:cs="Arial"/>
                <w:b/>
                <w:bCs/>
                <w:color w:val="C0504D" w:themeColor="accent2"/>
                <w:sz w:val="18"/>
                <w:szCs w:val="18"/>
              </w:rPr>
            </w:pPr>
            <w:r w:rsidRPr="007D500E">
              <w:rPr>
                <w:rFonts w:eastAsia="Times New Roman" w:cs="Arial"/>
                <w:b/>
                <w:bCs/>
                <w:color w:val="C0504D" w:themeColor="accent2"/>
                <w:sz w:val="18"/>
                <w:szCs w:val="18"/>
              </w:rPr>
              <w:t>T2.2 [Quality Assurance Plan, QAP] ([Implemented])</w:t>
            </w:r>
          </w:p>
          <w:p w14:paraId="35763E88" w14:textId="77777777" w:rsidR="00DE11C8" w:rsidRPr="005377EB" w:rsidRDefault="00DE11C8" w:rsidP="00980F10">
            <w:pPr>
              <w:spacing w:before="120" w:after="120"/>
              <w:jc w:val="both"/>
              <w:rPr>
                <w:rFonts w:eastAsia="Times New Roman" w:cs="Arial"/>
                <w:szCs w:val="20"/>
              </w:rPr>
            </w:pPr>
            <w:r w:rsidRPr="005377EB">
              <w:rPr>
                <w:rFonts w:eastAsia="Times New Roman" w:cs="Arial"/>
                <w:szCs w:val="20"/>
              </w:rPr>
              <w:t>During the reporting period, Task 2.2 was implemented through the development of the Quality Assurance Plan of the RenoInGR One-Stop-Shop, as documented in Deliverable D2.3. The QAP was prepared</w:t>
            </w:r>
            <w:r w:rsidRPr="005377EB">
              <w:rPr>
                <w:rFonts w:eastAsia="Times New Roman" w:cs="Arial"/>
                <w:szCs w:val="20"/>
                <w:lang w:val="en-US"/>
              </w:rPr>
              <w:t xml:space="preserve"> by NTUA with the contribution of CRES, Kelemenis, EUDITI</w:t>
            </w:r>
            <w:r w:rsidRPr="005377EB">
              <w:rPr>
                <w:rFonts w:eastAsia="Times New Roman" w:cs="Arial"/>
                <w:szCs w:val="20"/>
              </w:rPr>
              <w:t xml:space="preserve"> as a core element of the governance and operational framework of the OSS, with the objective to ensure sound operation, strengthen credibility and foster trust in the services to be provided to municipalities and other stakeholders. In line with Annex 1, the task aimed to establish a structured quality assurance system tailored to the specific nature of the RenoInGR OSS, which combines technical, administrative, financial, informational and communication-related support functions within a single coordinated framework.</w:t>
            </w:r>
          </w:p>
          <w:p w14:paraId="1449C059" w14:textId="77777777" w:rsidR="00DE11C8" w:rsidRPr="005377EB" w:rsidRDefault="00DE11C8" w:rsidP="00980F10">
            <w:pPr>
              <w:spacing w:before="120" w:after="120"/>
              <w:jc w:val="both"/>
              <w:rPr>
                <w:rFonts w:eastAsia="Times New Roman" w:cs="Arial"/>
                <w:szCs w:val="20"/>
              </w:rPr>
            </w:pPr>
            <w:r w:rsidRPr="005377EB">
              <w:rPr>
                <w:rFonts w:eastAsia="Times New Roman" w:cs="Arial"/>
                <w:szCs w:val="20"/>
              </w:rPr>
              <w:t>The work carried out under this task resulted in a comprehensive quality management framework rather than a high-level or purely descriptive plan. As set out in D2.3, the QAP defines the quality management approach, the quality objectives, the allocation of roles and responsibilities, the rules for document control and versioning, the service categories covered by quality assurance, the corresponding standard procedures, the quality controls, the record-keeping system, the KPI framework, the feedback and complaints mechanisms, as well as the review and update cycle of the plan itself. In this sense, Task 2.2 provided RenoInGR with an operational quality backbone for the OSS and not merely with a general statement of principles. The QAP creates a common reference system for how services should be delivered, documented, reviewed and progressively improved across the lifetime of the project.</w:t>
            </w:r>
          </w:p>
          <w:p w14:paraId="6C64E11C" w14:textId="77777777" w:rsidR="00DE11C8" w:rsidRPr="005377EB" w:rsidRDefault="00DE11C8" w:rsidP="00980F10">
            <w:pPr>
              <w:spacing w:before="120" w:after="120"/>
              <w:jc w:val="both"/>
              <w:rPr>
                <w:rFonts w:eastAsia="Times New Roman" w:cs="Arial"/>
                <w:szCs w:val="20"/>
              </w:rPr>
            </w:pPr>
            <w:r w:rsidRPr="005377EB">
              <w:rPr>
                <w:rFonts w:eastAsia="Times New Roman" w:cs="Arial"/>
                <w:szCs w:val="20"/>
              </w:rPr>
              <w:t xml:space="preserve">A major achievement of the task is that quality assurance was structured across the full range of OSS services, rather than being limited to internal administration. The plan covers </w:t>
            </w:r>
          </w:p>
          <w:p w14:paraId="751CD3A6" w14:textId="77777777" w:rsidR="00DE11C8" w:rsidRPr="005377EB" w:rsidRDefault="00DE11C8" w:rsidP="00980F10">
            <w:pPr>
              <w:pStyle w:val="ListParagraph"/>
              <w:numPr>
                <w:ilvl w:val="0"/>
                <w:numId w:val="33"/>
              </w:numPr>
              <w:spacing w:before="120" w:after="120"/>
              <w:jc w:val="both"/>
              <w:rPr>
                <w:rFonts w:eastAsia="Times New Roman" w:cs="Arial"/>
                <w:szCs w:val="20"/>
              </w:rPr>
            </w:pPr>
            <w:r>
              <w:rPr>
                <w:rFonts w:eastAsia="Times New Roman" w:cs="Arial"/>
                <w:szCs w:val="20"/>
              </w:rPr>
              <w:t>P</w:t>
            </w:r>
            <w:r w:rsidRPr="005377EB">
              <w:rPr>
                <w:rFonts w:eastAsia="Times New Roman" w:cs="Arial"/>
                <w:szCs w:val="20"/>
              </w:rPr>
              <w:t xml:space="preserve">roject development support services, like building pool formation, needs assessment, pre-feasibility and bundling; </w:t>
            </w:r>
          </w:p>
          <w:p w14:paraId="6DF07778" w14:textId="77777777" w:rsidR="00DE11C8" w:rsidRPr="005377EB" w:rsidRDefault="00DE11C8" w:rsidP="00980F10">
            <w:pPr>
              <w:pStyle w:val="ListParagraph"/>
              <w:numPr>
                <w:ilvl w:val="0"/>
                <w:numId w:val="33"/>
              </w:numPr>
              <w:spacing w:before="120" w:after="120"/>
              <w:jc w:val="both"/>
              <w:rPr>
                <w:rFonts w:eastAsia="Times New Roman" w:cs="Arial"/>
                <w:szCs w:val="20"/>
              </w:rPr>
            </w:pPr>
            <w:r>
              <w:rPr>
                <w:rFonts w:eastAsia="Times New Roman" w:cs="Arial"/>
                <w:szCs w:val="20"/>
              </w:rPr>
              <w:t>T</w:t>
            </w:r>
            <w:r w:rsidRPr="005377EB">
              <w:rPr>
                <w:rFonts w:eastAsia="Times New Roman" w:cs="Arial"/>
                <w:szCs w:val="20"/>
              </w:rPr>
              <w:t xml:space="preserve">he registry of external professionals and service providers; </w:t>
            </w:r>
          </w:p>
          <w:p w14:paraId="3D2433A6" w14:textId="77777777" w:rsidR="00DE11C8" w:rsidRPr="005377EB" w:rsidRDefault="00DE11C8" w:rsidP="00980F10">
            <w:pPr>
              <w:pStyle w:val="ListParagraph"/>
              <w:numPr>
                <w:ilvl w:val="0"/>
                <w:numId w:val="33"/>
              </w:numPr>
              <w:spacing w:before="120" w:after="120"/>
              <w:jc w:val="both"/>
              <w:rPr>
                <w:rFonts w:eastAsia="Times New Roman" w:cs="Arial"/>
                <w:szCs w:val="20"/>
              </w:rPr>
            </w:pPr>
            <w:r>
              <w:rPr>
                <w:rFonts w:eastAsia="Times New Roman" w:cs="Arial"/>
                <w:szCs w:val="20"/>
              </w:rPr>
              <w:t>F</w:t>
            </w:r>
            <w:r w:rsidRPr="005377EB">
              <w:rPr>
                <w:rFonts w:eastAsia="Times New Roman" w:cs="Arial"/>
                <w:szCs w:val="20"/>
              </w:rPr>
              <w:t xml:space="preserve">inancing information and support; </w:t>
            </w:r>
          </w:p>
          <w:p w14:paraId="30DE474A" w14:textId="77777777" w:rsidR="00DE11C8" w:rsidRPr="005377EB" w:rsidRDefault="00DE11C8" w:rsidP="00980F10">
            <w:pPr>
              <w:pStyle w:val="ListParagraph"/>
              <w:numPr>
                <w:ilvl w:val="0"/>
                <w:numId w:val="33"/>
              </w:numPr>
              <w:spacing w:before="120" w:after="120"/>
              <w:jc w:val="both"/>
              <w:rPr>
                <w:rFonts w:eastAsia="Times New Roman" w:cs="Arial"/>
                <w:szCs w:val="20"/>
              </w:rPr>
            </w:pPr>
            <w:r w:rsidRPr="005377EB">
              <w:rPr>
                <w:rFonts w:eastAsia="Times New Roman" w:cs="Arial"/>
                <w:szCs w:val="20"/>
              </w:rPr>
              <w:t xml:space="preserve">EPC and works preparatory guidance; </w:t>
            </w:r>
          </w:p>
          <w:p w14:paraId="5A61AF82" w14:textId="77777777" w:rsidR="00DE11C8" w:rsidRPr="005377EB" w:rsidRDefault="00DE11C8" w:rsidP="00980F10">
            <w:pPr>
              <w:pStyle w:val="ListParagraph"/>
              <w:numPr>
                <w:ilvl w:val="0"/>
                <w:numId w:val="33"/>
              </w:numPr>
              <w:spacing w:before="120" w:after="120"/>
              <w:jc w:val="both"/>
              <w:rPr>
                <w:rFonts w:eastAsia="Times New Roman" w:cs="Arial"/>
                <w:szCs w:val="20"/>
              </w:rPr>
            </w:pPr>
            <w:r>
              <w:rPr>
                <w:rFonts w:eastAsia="Times New Roman" w:cs="Arial"/>
                <w:szCs w:val="20"/>
              </w:rPr>
              <w:t>P</w:t>
            </w:r>
            <w:r w:rsidRPr="005377EB">
              <w:rPr>
                <w:rFonts w:eastAsia="Times New Roman" w:cs="Arial"/>
                <w:szCs w:val="20"/>
              </w:rPr>
              <w:t xml:space="preserve">ost-renovation support; communication, front-desk, onboarding, feedback and complaints services; </w:t>
            </w:r>
          </w:p>
          <w:p w14:paraId="7096EEF5" w14:textId="77777777" w:rsidR="00DE11C8" w:rsidRPr="005377EB" w:rsidRDefault="00DE11C8" w:rsidP="00980F10">
            <w:pPr>
              <w:pStyle w:val="ListParagraph"/>
              <w:numPr>
                <w:ilvl w:val="0"/>
                <w:numId w:val="33"/>
              </w:numPr>
              <w:spacing w:before="120" w:after="120"/>
              <w:jc w:val="both"/>
              <w:rPr>
                <w:rFonts w:eastAsia="Times New Roman" w:cs="Arial"/>
                <w:szCs w:val="20"/>
              </w:rPr>
            </w:pPr>
            <w:r>
              <w:rPr>
                <w:rFonts w:eastAsia="Times New Roman" w:cs="Arial"/>
                <w:szCs w:val="20"/>
              </w:rPr>
              <w:t>A</w:t>
            </w:r>
            <w:r w:rsidRPr="005377EB">
              <w:rPr>
                <w:rFonts w:eastAsia="Times New Roman" w:cs="Arial"/>
                <w:szCs w:val="20"/>
              </w:rPr>
              <w:t xml:space="preserve">s well as governance, capacity building and internal quality oversight. </w:t>
            </w:r>
          </w:p>
          <w:p w14:paraId="695A19F3" w14:textId="77777777" w:rsidR="00DE11C8" w:rsidRPr="005377EB" w:rsidRDefault="00DE11C8" w:rsidP="00980F10">
            <w:pPr>
              <w:spacing w:before="120" w:after="120"/>
              <w:jc w:val="both"/>
              <w:rPr>
                <w:rFonts w:eastAsia="Times New Roman" w:cs="Arial"/>
                <w:szCs w:val="20"/>
              </w:rPr>
            </w:pPr>
            <w:r w:rsidRPr="005377EB">
              <w:rPr>
                <w:rFonts w:eastAsia="Times New Roman" w:cs="Arial"/>
                <w:szCs w:val="20"/>
              </w:rPr>
              <w:t xml:space="preserve">Therefore it establishes a service-based quality architecture that maps each type of support offered by the OSS to specific procedures, templates, controls, indicators and records. </w:t>
            </w:r>
          </w:p>
          <w:p w14:paraId="40A25D50" w14:textId="77777777" w:rsidR="00DE11C8" w:rsidRPr="005377EB" w:rsidRDefault="00DE11C8" w:rsidP="00980F10">
            <w:pPr>
              <w:spacing w:before="120" w:after="120"/>
              <w:jc w:val="both"/>
              <w:rPr>
                <w:rFonts w:eastAsia="Times New Roman" w:cs="Arial"/>
                <w:szCs w:val="20"/>
              </w:rPr>
            </w:pPr>
            <w:r w:rsidRPr="005377EB">
              <w:rPr>
                <w:rFonts w:eastAsia="Times New Roman" w:cs="Arial"/>
                <w:szCs w:val="20"/>
              </w:rPr>
              <w:lastRenderedPageBreak/>
              <w:t xml:space="preserve">Another particularly important output of Task 2.2 is the operationalisation of quality assurance through Standard Operating Procedures. D2.3 does not stop at defining broad principles, but develops a structured SOP framework covering the main OSS functions. These procedures define, where relevant, the scope and objective of the service, the responsible actors, the required inputs, the main steps to be followed, the applicable quality controls, and the expected outputs and records. This applies, for example, to the building pool formation and selection process, the needs assessment and pre-feasibility process, the bundling methodology, the management of the registry of external professionals, the provision of financing information and preparatory guidance, the front-desk communication workflow, the handling of expressions of interest, the feedback management process, the complaints and escalation mechanism, and the governance and review procedures. </w:t>
            </w:r>
          </w:p>
          <w:p w14:paraId="2FE29E54" w14:textId="77777777" w:rsidR="00DE11C8" w:rsidRPr="005377EB" w:rsidRDefault="00DE11C8" w:rsidP="00980F10">
            <w:pPr>
              <w:spacing w:before="120" w:after="120"/>
              <w:jc w:val="both"/>
              <w:rPr>
                <w:rFonts w:eastAsia="Times New Roman" w:cs="Arial"/>
                <w:szCs w:val="20"/>
              </w:rPr>
            </w:pPr>
            <w:r w:rsidRPr="005377EB">
              <w:rPr>
                <w:rFonts w:eastAsia="Times New Roman" w:cs="Arial"/>
                <w:szCs w:val="20"/>
              </w:rPr>
              <w:t xml:space="preserve">A further major contribution is the clear definition of service boundaries and the explicit reinforcement of the non-binding advisory nature of the OSS. This is a highly important aspect of the RenoInGR model. The QAP clarifies that the OSS does not perform detailed technical design or engineering studies, does not act as project developer, contractor or procuring authority, does not make binding technical, financial or legal decisions on behalf of municipalities, and does not engage in procurement, contract award, works supervision or performance guarantees. These safeguards are not presented only as general disclaimers, but are embedded in procedures, communication rules and service design. </w:t>
            </w:r>
          </w:p>
          <w:p w14:paraId="23E0D54F" w14:textId="77777777" w:rsidR="00DE11C8" w:rsidRPr="005377EB" w:rsidRDefault="00DE11C8" w:rsidP="00980F10">
            <w:pPr>
              <w:spacing w:before="120" w:after="120"/>
              <w:jc w:val="both"/>
              <w:rPr>
                <w:rFonts w:eastAsia="Times New Roman" w:cs="Arial"/>
                <w:szCs w:val="20"/>
              </w:rPr>
            </w:pPr>
            <w:r w:rsidRPr="005377EB">
              <w:rPr>
                <w:rFonts w:eastAsia="Times New Roman" w:cs="Arial"/>
                <w:szCs w:val="20"/>
              </w:rPr>
              <w:t>The QAP also introduces a structured monitoring and quality control system through registers, internal documentation, controls and performance indicators. As described in D2.3, the KPI framework is explicitly linked to the relevant service categories and focuses on process- and activity-oriented indicators rather than external outcomes beyond the advisory scope of the OSS. These indicators cover, among others, the completeness of eligibility and pre-feasibility checks, bundling validation, processing of expressions of interest, responsiveness to incoming requests, management of feedback and complaints, execution of internal reviews, staff training and documentation of lessons learnt. Also the plan establishes a structured records and registers environment, including onboarding, feedback, complaints, training and review records, as well as document control principles and role-based access logic for QA-related files. Taken together, these elements provide the OSS with a traceable quality monitoring structure that can support internal accountability, evidence-based review and future reporting.</w:t>
            </w:r>
          </w:p>
          <w:p w14:paraId="0363F48C" w14:textId="77777777" w:rsidR="00DE11C8" w:rsidRPr="005377EB" w:rsidRDefault="00DE11C8" w:rsidP="00980F10">
            <w:pPr>
              <w:spacing w:before="120" w:after="120"/>
              <w:jc w:val="both"/>
              <w:rPr>
                <w:rFonts w:eastAsia="Times New Roman" w:cs="Arial"/>
                <w:szCs w:val="20"/>
              </w:rPr>
            </w:pPr>
            <w:r w:rsidRPr="005377EB">
              <w:rPr>
                <w:rFonts w:eastAsia="Times New Roman" w:cs="Arial"/>
                <w:szCs w:val="20"/>
              </w:rPr>
              <w:t>An equally important dimension of the task is the way in which it links quality assurance with learning and continuous improvement. It has not been conceived as a static compliance document, but as a living framework designed to evolve through operational use. D2.3 explicitly foresees periodic reviews, internal QAP checks, governance summaries, staff training and lessons learned procedures, as well as a later revision of the plan after the accumulation of implementation experience. This is particularly relevant because the RenoInGR OSS is still moving from establishment to pilot operation, and a number of procedures will need to be tested in real conditions through the support provided to municipalities and the operation of WP4 and other service-related activities. The pilot phase will therefore not only use the QAP, but also provide the evidence needed to assess whether the procedures, controls, registers and KPIs are proportionate, workable and sufficiently adapted to the actual needs of the OSS.</w:t>
            </w:r>
          </w:p>
          <w:p w14:paraId="4C909FB0" w14:textId="09FEDD16" w:rsidR="000D3F05" w:rsidRPr="00B6184F" w:rsidRDefault="00DE11C8" w:rsidP="00980F10">
            <w:pPr>
              <w:spacing w:before="120" w:after="120"/>
              <w:jc w:val="both"/>
              <w:rPr>
                <w:rFonts w:eastAsia="Times New Roman" w:cs="Arial"/>
                <w:szCs w:val="20"/>
              </w:rPr>
            </w:pPr>
            <w:r w:rsidRPr="005377EB">
              <w:rPr>
                <w:rFonts w:eastAsia="Times New Roman" w:cs="Arial"/>
                <w:szCs w:val="20"/>
              </w:rPr>
              <w:t xml:space="preserve">The relationship of the QAP with other work packages further underlines its strategic importance. As documented in D2.3, the quality framework is embedded in the broader implementation logic of RenoInGR and is directly linked to WP2, WP3 and WP4. WP2 provides the governance and operational setting within which the QAP is established; WP3 contributes standardised services, </w:t>
            </w:r>
            <w:r w:rsidRPr="005377EB">
              <w:rPr>
                <w:rFonts w:eastAsia="Times New Roman" w:cs="Arial"/>
                <w:szCs w:val="20"/>
              </w:rPr>
              <w:lastRenderedPageBreak/>
              <w:t>templates and digital channels that must operate consistently with the quality framework; and WP4 will provide the real implementation environment through which procedures and controls will be tested and refined. In this sense, it is not an isolated governance document, but a cross-cutting framework that connects OSS establishment, service standardisation, platform-supported delivery and pilot validation. It therefore supports both the present operational phase of the OSS and its future consolidation and replicability</w:t>
            </w:r>
            <w:r w:rsidR="00B6184F" w:rsidRPr="00B6184F">
              <w:rPr>
                <w:rFonts w:eastAsia="Times New Roman" w:cs="Arial"/>
                <w:szCs w:val="20"/>
              </w:rPr>
              <w:t>.</w:t>
            </w:r>
          </w:p>
        </w:tc>
      </w:tr>
      <w:tr w:rsidR="000D3F05" w:rsidRPr="00200D1C" w14:paraId="521805E2" w14:textId="77777777" w:rsidTr="00881652">
        <w:tc>
          <w:tcPr>
            <w:tcW w:w="1659" w:type="pct"/>
            <w:shd w:val="clear" w:color="auto" w:fill="E6E6E6"/>
          </w:tcPr>
          <w:p w14:paraId="4E99926C" w14:textId="77777777" w:rsidR="000D3F05" w:rsidRPr="00502422" w:rsidRDefault="000D3F05" w:rsidP="00881652">
            <w:pPr>
              <w:spacing w:before="120" w:after="120" w:line="240" w:lineRule="auto"/>
              <w:rPr>
                <w:rFonts w:eastAsia="Times New Roman" w:cs="Arial"/>
                <w:color w:val="595959"/>
                <w:sz w:val="18"/>
                <w:szCs w:val="18"/>
              </w:rPr>
            </w:pPr>
            <w:r>
              <w:rPr>
                <w:rFonts w:eastAsia="Times New Roman" w:cs="Arial"/>
                <w:color w:val="595959"/>
                <w:sz w:val="18"/>
                <w:szCs w:val="18"/>
              </w:rPr>
              <w:lastRenderedPageBreak/>
              <w:t>Other issues</w:t>
            </w:r>
            <w:r w:rsidRPr="00502422">
              <w:rPr>
                <w:rFonts w:eastAsia="Times New Roman" w:cs="Arial"/>
                <w:color w:val="595959"/>
                <w:sz w:val="18"/>
                <w:szCs w:val="18"/>
              </w:rPr>
              <w:t xml:space="preserve"> </w:t>
            </w:r>
          </w:p>
          <w:p w14:paraId="74931432" w14:textId="77777777" w:rsidR="000D3F05" w:rsidRDefault="000D3F05" w:rsidP="00881652">
            <w:pPr>
              <w:spacing w:before="120" w:after="120" w:line="240" w:lineRule="auto"/>
              <w:rPr>
                <w:rFonts w:eastAsia="Times New Roman" w:cs="Arial"/>
                <w:b/>
                <w:bCs/>
                <w:color w:val="595959"/>
                <w:sz w:val="18"/>
                <w:szCs w:val="18"/>
              </w:rPr>
            </w:pPr>
            <w:r w:rsidRPr="51F6A2C3">
              <w:rPr>
                <w:rFonts w:eastAsia="Times New Roman" w:cs="Arial"/>
                <w:i/>
                <w:iCs/>
                <w:color w:val="595959"/>
                <w:sz w:val="16"/>
                <w:szCs w:val="16"/>
              </w:rPr>
              <w:t xml:space="preserve">Mention and explain unexpected events and adjustments that had to be made. Explain impact on other </w:t>
            </w:r>
            <w:r w:rsidRPr="00AF2ECC">
              <w:rPr>
                <w:rFonts w:eastAsia="Times New Roman" w:cs="Arial"/>
                <w:i/>
                <w:iCs/>
                <w:color w:val="595959"/>
                <w:sz w:val="16"/>
                <w:szCs w:val="16"/>
              </w:rPr>
              <w:t xml:space="preserve">tasks, available resources and planning/timing. </w:t>
            </w:r>
            <w:r w:rsidRPr="00AF2ECC">
              <w:rPr>
                <w:rFonts w:cs="Arial"/>
                <w:i/>
                <w:iCs/>
                <w:sz w:val="16"/>
                <w:szCs w:val="16"/>
              </w:rPr>
              <w:t>In case of major deviations from the planned budget, please refer to section 4.3.</w:t>
            </w:r>
          </w:p>
        </w:tc>
        <w:tc>
          <w:tcPr>
            <w:tcW w:w="3341" w:type="pct"/>
            <w:shd w:val="clear" w:color="auto" w:fill="FFFFFF" w:themeFill="background1"/>
          </w:tcPr>
          <w:p w14:paraId="02B0C23B" w14:textId="69711D55" w:rsidR="000D3F05" w:rsidRPr="0015491D" w:rsidRDefault="00DE11C8" w:rsidP="00980F10">
            <w:pPr>
              <w:spacing w:before="120" w:after="120"/>
              <w:jc w:val="both"/>
              <w:rPr>
                <w:rFonts w:eastAsia="Times New Roman" w:cs="Arial"/>
                <w:color w:val="595959"/>
                <w:sz w:val="18"/>
                <w:szCs w:val="20"/>
                <w:lang w:val="en-US"/>
              </w:rPr>
            </w:pPr>
            <w:r>
              <w:t>The main cross-cutting issue affecting WP2 during the reporting period was the complexity of finalising the legal and governance structure of the OSS. While the OSS has been able to operate fully under NTUA, the formal establishment of a separate legal entity and the related governance arrangements proved more complex than anticipated, due to legal and institutional considerations linked to the Greek administrative framework and the future provision of services to municipalities. As a pragmatic adjustment, the project continued operating the OSS under NTUA while further legal examination and discussions with the competent authorities continued. This avoided disruption to OSS activities, but delayed the finalisation of the governance framework and the formal establishment of the Governing Board. No major budget deviation is associated with this issue at this stage, although it has affected planning and timing within WP2.</w:t>
            </w:r>
          </w:p>
        </w:tc>
      </w:tr>
      <w:tr w:rsidR="000D3F05" w:rsidRPr="00200D1C" w14:paraId="56BAE465" w14:textId="77777777" w:rsidTr="00881652">
        <w:tc>
          <w:tcPr>
            <w:tcW w:w="5000" w:type="pct"/>
            <w:gridSpan w:val="2"/>
            <w:shd w:val="clear" w:color="auto" w:fill="D9D9D9" w:themeFill="background1" w:themeFillShade="D9"/>
          </w:tcPr>
          <w:p w14:paraId="7EA68EA2" w14:textId="77777777" w:rsidR="000D3F05" w:rsidRPr="00C93CB0" w:rsidRDefault="000D3F05" w:rsidP="00881652">
            <w:pPr>
              <w:spacing w:before="120" w:after="120" w:line="240" w:lineRule="auto"/>
              <w:rPr>
                <w:rFonts w:eastAsia="Times New Roman" w:cs="Arial"/>
                <w:b/>
                <w:bCs/>
                <w:color w:val="595959"/>
                <w:sz w:val="18"/>
                <w:szCs w:val="18"/>
              </w:rPr>
            </w:pPr>
            <w:r w:rsidRPr="51F6A2C3">
              <w:rPr>
                <w:rFonts w:eastAsia="Times New Roman" w:cs="Arial"/>
                <w:b/>
                <w:bCs/>
                <w:color w:val="595959"/>
                <w:sz w:val="18"/>
                <w:szCs w:val="18"/>
              </w:rPr>
              <w:t xml:space="preserve">Milestones and deliverables </w:t>
            </w:r>
            <w:r w:rsidRPr="51F6A2C3">
              <w:rPr>
                <w:rFonts w:cs="Arial"/>
                <w:b/>
                <w:bCs/>
                <w:sz w:val="18"/>
                <w:szCs w:val="18"/>
              </w:rPr>
              <w:t>(outputs/outcomes)</w:t>
            </w:r>
          </w:p>
        </w:tc>
      </w:tr>
      <w:tr w:rsidR="000D3F05" w:rsidRPr="00BC0C16" w14:paraId="4E28DC05" w14:textId="77777777" w:rsidTr="00881652">
        <w:trPr>
          <w:trHeight w:val="37"/>
        </w:trPr>
        <w:tc>
          <w:tcPr>
            <w:tcW w:w="5000" w:type="pct"/>
            <w:gridSpan w:val="2"/>
            <w:shd w:val="clear" w:color="auto" w:fill="F2F2F2" w:themeFill="background1" w:themeFillShade="F2"/>
          </w:tcPr>
          <w:p w14:paraId="5AD8E728" w14:textId="77777777" w:rsidR="000D3F05" w:rsidRPr="00C93CB0" w:rsidRDefault="000D3F05" w:rsidP="00881652">
            <w:pPr>
              <w:spacing w:before="120" w:after="120" w:line="240" w:lineRule="auto"/>
              <w:rPr>
                <w:rFonts w:cs="Arial"/>
                <w:sz w:val="16"/>
                <w:szCs w:val="16"/>
              </w:rPr>
            </w:pPr>
            <w:r w:rsidRPr="00C93CB0">
              <w:rPr>
                <w:rFonts w:cs="Arial"/>
                <w:sz w:val="18"/>
                <w:szCs w:val="18"/>
              </w:rPr>
              <w:t>See Technical Report (Part A).</w:t>
            </w:r>
          </w:p>
        </w:tc>
      </w:tr>
    </w:tbl>
    <w:p w14:paraId="1426B9E9" w14:textId="77777777" w:rsidR="00C55000" w:rsidRDefault="00C55000" w:rsidP="51F6A2C3">
      <w:pPr>
        <w:autoSpaceDE w:val="0"/>
        <w:autoSpaceDN w:val="0"/>
        <w:adjustRightInd w:val="0"/>
        <w:spacing w:line="240" w:lineRule="auto"/>
        <w:rPr>
          <w:rFonts w:eastAsia="Times New Roman" w:cs="Arial"/>
          <w:i/>
          <w:iCs/>
          <w:sz w:val="18"/>
          <w:szCs w:val="18"/>
          <w:lang w:eastAsia="en-GB"/>
        </w:rPr>
      </w:pPr>
    </w:p>
    <w:p w14:paraId="0BC92BAD" w14:textId="28D94152" w:rsidR="000D3F05" w:rsidRPr="00110BC6" w:rsidRDefault="000D3F05" w:rsidP="000D3F05">
      <w:pPr>
        <w:pStyle w:val="Heading4"/>
        <w:rPr>
          <w:sz w:val="18"/>
          <w:szCs w:val="18"/>
        </w:rPr>
      </w:pPr>
      <w:bookmarkStart w:id="44" w:name="_Toc227846971"/>
      <w:r w:rsidRPr="00110BC6">
        <w:t xml:space="preserve">Work </w:t>
      </w:r>
      <w:r>
        <w:t>P</w:t>
      </w:r>
      <w:r w:rsidRPr="00A32534">
        <w:t>ackage</w:t>
      </w:r>
      <w:r w:rsidRPr="51F6A2C3">
        <w:t xml:space="preserve"> </w:t>
      </w:r>
      <w:r>
        <w:t>3</w:t>
      </w:r>
      <w:bookmarkEnd w:id="44"/>
    </w:p>
    <w:tbl>
      <w:tblPr>
        <w:tblW w:w="4842" w:type="pct"/>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1E0" w:firstRow="1" w:lastRow="1" w:firstColumn="1" w:lastColumn="1" w:noHBand="0" w:noVBand="0"/>
      </w:tblPr>
      <w:tblGrid>
        <w:gridCol w:w="3116"/>
        <w:gridCol w:w="6008"/>
      </w:tblGrid>
      <w:tr w:rsidR="000D3F05" w:rsidRPr="00200D1C" w14:paraId="1133C691" w14:textId="77777777" w:rsidTr="00F75306">
        <w:trPr>
          <w:trHeight w:val="417"/>
        </w:trPr>
        <w:tc>
          <w:tcPr>
            <w:tcW w:w="5000" w:type="pct"/>
            <w:gridSpan w:val="2"/>
            <w:tcBorders>
              <w:bottom w:val="single" w:sz="12" w:space="0" w:color="A6A6A6" w:themeColor="background1" w:themeShade="A6"/>
            </w:tcBorders>
            <w:shd w:val="clear" w:color="auto" w:fill="D9D9D9" w:themeFill="background1" w:themeFillShade="D9"/>
          </w:tcPr>
          <w:p w14:paraId="3F9D50DB" w14:textId="740C26CE" w:rsidR="000D3F05" w:rsidRPr="00420A4A" w:rsidRDefault="000D3F05" w:rsidP="00881652">
            <w:pPr>
              <w:spacing w:before="240" w:after="240" w:line="240" w:lineRule="auto"/>
              <w:rPr>
                <w:rFonts w:eastAsia="Times New Roman" w:cs="Arial"/>
                <w:b/>
                <w:bCs/>
                <w:color w:val="595959"/>
              </w:rPr>
            </w:pPr>
            <w:r w:rsidRPr="51F6A2C3">
              <w:rPr>
                <w:rFonts w:eastAsia="Times New Roman" w:cs="Arial"/>
                <w:b/>
                <w:bCs/>
                <w:color w:val="595959"/>
              </w:rPr>
              <w:t xml:space="preserve">Work Package </w:t>
            </w:r>
            <w:r>
              <w:rPr>
                <w:rFonts w:eastAsia="Times New Roman" w:cs="Arial"/>
                <w:b/>
                <w:bCs/>
                <w:color w:val="595959"/>
              </w:rPr>
              <w:t>3</w:t>
            </w:r>
            <w:r w:rsidRPr="51F6A2C3">
              <w:rPr>
                <w:rFonts w:eastAsia="Times New Roman" w:cs="Arial"/>
                <w:b/>
                <w:bCs/>
                <w:color w:val="595959"/>
              </w:rPr>
              <w:t>: [</w:t>
            </w:r>
            <w:r w:rsidRPr="000D3F05">
              <w:rPr>
                <w:rFonts w:eastAsia="Times New Roman" w:cs="Arial"/>
                <w:b/>
                <w:bCs/>
                <w:color w:val="595959"/>
              </w:rPr>
              <w:t>OSS Services development</w:t>
            </w:r>
            <w:r w:rsidRPr="51F6A2C3">
              <w:rPr>
                <w:rFonts w:eastAsia="Times New Roman" w:cs="Arial"/>
                <w:b/>
                <w:bCs/>
                <w:color w:val="595959"/>
              </w:rPr>
              <w:t>]</w:t>
            </w:r>
          </w:p>
        </w:tc>
      </w:tr>
      <w:tr w:rsidR="000D3F05" w:rsidRPr="00200D1C" w14:paraId="7322AC50" w14:textId="77777777" w:rsidTr="00F75306">
        <w:tc>
          <w:tcPr>
            <w:tcW w:w="5000" w:type="pct"/>
            <w:gridSpan w:val="2"/>
            <w:shd w:val="clear" w:color="auto" w:fill="D9D9D9" w:themeFill="background1" w:themeFillShade="D9"/>
          </w:tcPr>
          <w:p w14:paraId="0A555676" w14:textId="77777777" w:rsidR="000D3F05" w:rsidRPr="00D14AA2" w:rsidRDefault="000D3F05" w:rsidP="00881652">
            <w:pPr>
              <w:spacing w:before="120" w:after="120" w:line="240" w:lineRule="auto"/>
              <w:rPr>
                <w:rFonts w:eastAsia="Times New Roman" w:cs="Arial"/>
                <w:b/>
                <w:bCs/>
                <w:color w:val="595959"/>
                <w:sz w:val="18"/>
                <w:szCs w:val="18"/>
              </w:rPr>
            </w:pPr>
            <w:r w:rsidRPr="51F6A2C3">
              <w:rPr>
                <w:rFonts w:eastAsia="Times New Roman" w:cs="Arial"/>
                <w:b/>
                <w:bCs/>
                <w:color w:val="595959"/>
                <w:sz w:val="18"/>
                <w:szCs w:val="18"/>
              </w:rPr>
              <w:t xml:space="preserve">Activities </w:t>
            </w:r>
          </w:p>
          <w:p w14:paraId="06E29FAC" w14:textId="77777777" w:rsidR="000D3F05" w:rsidRPr="003A659F" w:rsidRDefault="000D3F05" w:rsidP="00881652">
            <w:pPr>
              <w:spacing w:before="120" w:after="60" w:line="240" w:lineRule="auto"/>
              <w:jc w:val="both"/>
              <w:rPr>
                <w:rFonts w:eastAsia="Times New Roman" w:cs="Arial"/>
                <w:i/>
                <w:iCs/>
                <w:sz w:val="16"/>
                <w:szCs w:val="16"/>
                <w:lang w:eastAsia="en-GB"/>
              </w:rPr>
            </w:pPr>
            <w:r w:rsidRPr="51F6A2C3">
              <w:rPr>
                <w:rFonts w:eastAsia="Times New Roman" w:cs="Arial"/>
                <w:i/>
                <w:iCs/>
                <w:kern w:val="32"/>
                <w:sz w:val="16"/>
                <w:szCs w:val="16"/>
                <w:lang w:eastAsia="en-GB"/>
              </w:rPr>
              <w:t xml:space="preserve">Explain the work carried out for each work package during the reporting period, giving details of the work carried out by each participant </w:t>
            </w:r>
            <w:r w:rsidRPr="00AF2ECC">
              <w:rPr>
                <w:rFonts w:eastAsia="Times New Roman" w:cs="Arial"/>
                <w:i/>
                <w:iCs/>
                <w:kern w:val="32"/>
                <w:sz w:val="16"/>
                <w:szCs w:val="16"/>
                <w:lang w:eastAsia="en-GB"/>
              </w:rPr>
              <w:t>involved. Please summarise in a few sentences what was done in the previous period, when applicable.</w:t>
            </w:r>
          </w:p>
          <w:p w14:paraId="3F1442CE" w14:textId="77777777" w:rsidR="000D3F05" w:rsidRPr="003A659F" w:rsidRDefault="000D3F05" w:rsidP="00881652">
            <w:pPr>
              <w:spacing w:after="60" w:line="240" w:lineRule="auto"/>
              <w:jc w:val="both"/>
              <w:rPr>
                <w:rFonts w:eastAsia="Times New Roman" w:cs="Arial"/>
                <w:i/>
                <w:iCs/>
                <w:sz w:val="16"/>
                <w:szCs w:val="16"/>
                <w:lang w:eastAsia="en-GB"/>
              </w:rPr>
            </w:pPr>
            <w:r w:rsidRPr="51F6A2C3">
              <w:rPr>
                <w:rFonts w:cs="Arial"/>
                <w:i/>
                <w:iCs/>
                <w:sz w:val="16"/>
                <w:szCs w:val="16"/>
              </w:rPr>
              <w:t xml:space="preserve">Explain the reasons for </w:t>
            </w:r>
            <w:r w:rsidRPr="51F6A2C3">
              <w:rPr>
                <w:rFonts w:cs="Arial"/>
                <w:i/>
                <w:iCs/>
                <w:sz w:val="16"/>
                <w:szCs w:val="16"/>
                <w:u w:val="single"/>
              </w:rPr>
              <w:t>deviations</w:t>
            </w:r>
            <w:r w:rsidRPr="51F6A2C3">
              <w:rPr>
                <w:rFonts w:cs="Arial"/>
                <w:i/>
                <w:iCs/>
                <w:sz w:val="16"/>
                <w:szCs w:val="16"/>
              </w:rPr>
              <w:t xml:space="preserve"> from </w:t>
            </w:r>
            <w:r w:rsidRPr="51F6A2C3">
              <w:rPr>
                <w:rFonts w:eastAsia="Times New Roman" w:cs="Arial"/>
                <w:i/>
                <w:iCs/>
                <w:color w:val="595959"/>
                <w:sz w:val="16"/>
                <w:szCs w:val="16"/>
              </w:rPr>
              <w:t>Annex 1 of the Grant Agreement</w:t>
            </w:r>
            <w:r w:rsidRPr="51F6A2C3">
              <w:rPr>
                <w:rFonts w:cs="Arial"/>
                <w:i/>
                <w:iCs/>
                <w:sz w:val="16"/>
                <w:szCs w:val="16"/>
              </w:rPr>
              <w:t>, the consequences and the proposed corrective actions.</w:t>
            </w:r>
          </w:p>
          <w:p w14:paraId="0753B0F5" w14:textId="77777777" w:rsidR="000D3F05" w:rsidRPr="003A659F" w:rsidRDefault="000D3F05" w:rsidP="00881652">
            <w:pPr>
              <w:spacing w:after="60" w:line="240" w:lineRule="auto"/>
              <w:jc w:val="both"/>
              <w:rPr>
                <w:rFonts w:cs="Arial"/>
                <w:i/>
                <w:iCs/>
                <w:sz w:val="16"/>
                <w:szCs w:val="16"/>
              </w:rPr>
            </w:pPr>
            <w:r w:rsidRPr="51F6A2C3">
              <w:rPr>
                <w:rFonts w:cs="Arial"/>
                <w:i/>
                <w:iCs/>
                <w:sz w:val="16"/>
                <w:szCs w:val="16"/>
              </w:rPr>
              <w:t xml:space="preserve">Include explanations for tasks not fully implemented, critical objectives not fully achieved and/or not being on schedule. Explain also the impact on other tasks, on the available resources and the planning. Where necessary, make reference to the deliverables in the report text. </w:t>
            </w:r>
            <w:r w:rsidRPr="00AF2ECC">
              <w:rPr>
                <w:rFonts w:cs="Arial"/>
                <w:i/>
                <w:iCs/>
                <w:sz w:val="16"/>
                <w:szCs w:val="16"/>
              </w:rPr>
              <w:t>In case of major deviations from on the planned budget, please refer to section 4.3.</w:t>
            </w:r>
          </w:p>
          <w:p w14:paraId="30B84B7F" w14:textId="77777777" w:rsidR="000D3F05" w:rsidRDefault="000D3F05" w:rsidP="00881652">
            <w:pPr>
              <w:spacing w:after="60" w:line="240" w:lineRule="auto"/>
              <w:jc w:val="both"/>
              <w:rPr>
                <w:i/>
                <w:iCs/>
                <w:sz w:val="16"/>
                <w:szCs w:val="16"/>
              </w:rPr>
            </w:pPr>
            <w:r w:rsidRPr="003F4E7A">
              <w:rPr>
                <w:i/>
                <w:iCs/>
                <w:sz w:val="16"/>
                <w:szCs w:val="16"/>
              </w:rPr>
              <w:t xml:space="preserve">Focus only on the </w:t>
            </w:r>
            <w:r w:rsidRPr="003F4E7A">
              <w:rPr>
                <w:b/>
                <w:bCs/>
                <w:i/>
                <w:iCs/>
                <w:sz w:val="16"/>
                <w:szCs w:val="16"/>
              </w:rPr>
              <w:t>main</w:t>
            </w:r>
            <w:r w:rsidRPr="003F4E7A">
              <w:rPr>
                <w:i/>
                <w:iCs/>
                <w:sz w:val="16"/>
                <w:szCs w:val="16"/>
              </w:rPr>
              <w:t xml:space="preserve"> </w:t>
            </w:r>
            <w:r w:rsidRPr="003F4E7A">
              <w:rPr>
                <w:b/>
                <w:bCs/>
                <w:i/>
                <w:iCs/>
                <w:sz w:val="16"/>
                <w:szCs w:val="16"/>
              </w:rPr>
              <w:t xml:space="preserve">results </w:t>
            </w:r>
            <w:r w:rsidRPr="003F4E7A">
              <w:rPr>
                <w:i/>
                <w:iCs/>
                <w:sz w:val="16"/>
                <w:szCs w:val="16"/>
              </w:rPr>
              <w:t xml:space="preserve">as well as important </w:t>
            </w:r>
            <w:r w:rsidRPr="003F4E7A">
              <w:rPr>
                <w:b/>
                <w:bCs/>
                <w:i/>
                <w:iCs/>
                <w:sz w:val="16"/>
                <w:szCs w:val="16"/>
              </w:rPr>
              <w:t>lessons learned</w:t>
            </w:r>
            <w:r w:rsidRPr="003F4E7A">
              <w:rPr>
                <w:i/>
                <w:iCs/>
                <w:sz w:val="16"/>
                <w:szCs w:val="16"/>
              </w:rPr>
              <w:t>. The technical details should be provided in the deliverables.</w:t>
            </w:r>
          </w:p>
          <w:p w14:paraId="29350C39" w14:textId="77777777" w:rsidR="000D3F05" w:rsidRPr="00C4658D" w:rsidRDefault="000D3F05" w:rsidP="00881652">
            <w:pPr>
              <w:spacing w:after="120" w:line="240" w:lineRule="auto"/>
              <w:jc w:val="both"/>
              <w:rPr>
                <w:rFonts w:eastAsia="Times New Roman" w:cs="Arial"/>
                <w:i/>
                <w:iCs/>
                <w:color w:val="595959"/>
                <w:sz w:val="16"/>
                <w:szCs w:val="16"/>
                <w:lang w:eastAsia="en-GB"/>
              </w:rPr>
            </w:pPr>
            <w:r w:rsidRPr="003F4E7A">
              <w:rPr>
                <w:i/>
                <w:iCs/>
                <w:sz w:val="16"/>
                <w:szCs w:val="16"/>
              </w:rPr>
              <w:t>Additionally, for Operating Grants</w:t>
            </w:r>
            <w:r>
              <w:rPr>
                <w:i/>
                <w:iCs/>
                <w:sz w:val="16"/>
                <w:szCs w:val="16"/>
              </w:rPr>
              <w:t xml:space="preserve">, </w:t>
            </w:r>
            <w:r w:rsidRPr="003F4E7A">
              <w:rPr>
                <w:rFonts w:eastAsia="Times New Roman" w:cs="Arial"/>
                <w:i/>
                <w:iCs/>
                <w:color w:val="595959"/>
                <w:sz w:val="16"/>
                <w:szCs w:val="16"/>
                <w:lang w:eastAsia="en-GB"/>
              </w:rPr>
              <w:t>report</w:t>
            </w:r>
            <w:r w:rsidRPr="51F6A2C3">
              <w:rPr>
                <w:rFonts w:eastAsia="Times New Roman" w:cs="Arial"/>
                <w:i/>
                <w:iCs/>
                <w:color w:val="595959"/>
                <w:sz w:val="16"/>
                <w:szCs w:val="16"/>
                <w:lang w:eastAsia="en-GB"/>
              </w:rPr>
              <w:t xml:space="preserve"> </w:t>
            </w:r>
            <w:r>
              <w:rPr>
                <w:rFonts w:eastAsia="Times New Roman" w:cs="Arial"/>
                <w:i/>
                <w:iCs/>
                <w:color w:val="595959"/>
                <w:sz w:val="16"/>
                <w:szCs w:val="16"/>
                <w:lang w:eastAsia="en-GB"/>
              </w:rPr>
              <w:t>u</w:t>
            </w:r>
            <w:r w:rsidRPr="003F4E7A">
              <w:rPr>
                <w:rFonts w:eastAsia="Times New Roman" w:cs="Arial"/>
                <w:i/>
                <w:iCs/>
                <w:color w:val="595959"/>
                <w:sz w:val="16"/>
                <w:szCs w:val="16"/>
                <w:lang w:eastAsia="en-GB"/>
              </w:rPr>
              <w:t>nder Work Package 1</w:t>
            </w:r>
            <w:r>
              <w:rPr>
                <w:rFonts w:eastAsia="Times New Roman" w:cs="Arial"/>
                <w:i/>
                <w:iCs/>
                <w:color w:val="595959"/>
                <w:sz w:val="16"/>
                <w:szCs w:val="16"/>
                <w:lang w:eastAsia="en-GB"/>
              </w:rPr>
              <w:t xml:space="preserve"> </w:t>
            </w:r>
            <w:r w:rsidRPr="51F6A2C3">
              <w:rPr>
                <w:rFonts w:eastAsia="Times New Roman" w:cs="Arial"/>
                <w:i/>
                <w:iCs/>
                <w:color w:val="595959"/>
                <w:sz w:val="16"/>
                <w:szCs w:val="16"/>
                <w:lang w:eastAsia="en-GB"/>
              </w:rPr>
              <w:t xml:space="preserve">on </w:t>
            </w:r>
            <w:r w:rsidRPr="51F6A2C3">
              <w:rPr>
                <w:rFonts w:eastAsia="Times New Roman" w:cs="Arial"/>
                <w:i/>
                <w:iCs/>
                <w:color w:val="595959"/>
                <w:sz w:val="16"/>
                <w:szCs w:val="16"/>
                <w:u w:val="single"/>
                <w:lang w:eastAsia="en-GB"/>
              </w:rPr>
              <w:t>changes</w:t>
            </w:r>
            <w:r w:rsidRPr="51F6A2C3">
              <w:rPr>
                <w:rFonts w:eastAsia="Times New Roman" w:cs="Arial"/>
                <w:i/>
                <w:iCs/>
                <w:color w:val="595959"/>
                <w:sz w:val="16"/>
                <w:szCs w:val="16"/>
                <w:lang w:eastAsia="en-GB"/>
              </w:rPr>
              <w:t xml:space="preserve"> in your organisation’s capacity (if any) to become a more efficient stakeholder in the </w:t>
            </w:r>
            <w:r>
              <w:rPr>
                <w:rFonts w:eastAsia="Times New Roman" w:cs="Arial"/>
                <w:i/>
                <w:iCs/>
                <w:color w:val="595959"/>
                <w:sz w:val="16"/>
                <w:szCs w:val="16"/>
                <w:lang w:eastAsia="en-GB"/>
              </w:rPr>
              <w:t>EU</w:t>
            </w:r>
            <w:r w:rsidRPr="51F6A2C3">
              <w:rPr>
                <w:rFonts w:eastAsia="Times New Roman" w:cs="Arial"/>
                <w:i/>
                <w:iCs/>
                <w:color w:val="595959"/>
                <w:sz w:val="16"/>
                <w:szCs w:val="16"/>
                <w:lang w:eastAsia="en-GB"/>
              </w:rPr>
              <w:t>’s policy process. Report on the proposed actions and their status to develop the organisation, widen the grassroots or members base, diversify and sustain the organisation's fundraising strategy and the strategy to reduce your dependence on LIFE operating grants.</w:t>
            </w:r>
          </w:p>
        </w:tc>
      </w:tr>
      <w:tr w:rsidR="000D3F05" w:rsidRPr="00200D1C" w14:paraId="4C0FBFFF" w14:textId="77777777" w:rsidTr="00F75306">
        <w:trPr>
          <w:trHeight w:val="37"/>
        </w:trPr>
        <w:tc>
          <w:tcPr>
            <w:tcW w:w="5000" w:type="pct"/>
            <w:gridSpan w:val="2"/>
          </w:tcPr>
          <w:p w14:paraId="14396F74" w14:textId="4C61BC6A" w:rsidR="000D3F05" w:rsidRPr="007D500E" w:rsidRDefault="000D3F05" w:rsidP="00980F10">
            <w:pPr>
              <w:spacing w:before="120" w:after="120"/>
              <w:jc w:val="both"/>
              <w:rPr>
                <w:rFonts w:eastAsia="Times New Roman" w:cs="Arial"/>
                <w:b/>
                <w:bCs/>
                <w:color w:val="C0504D" w:themeColor="accent2"/>
                <w:sz w:val="18"/>
                <w:szCs w:val="18"/>
              </w:rPr>
            </w:pPr>
            <w:r w:rsidRPr="007D500E">
              <w:rPr>
                <w:rFonts w:eastAsia="Times New Roman" w:cs="Arial"/>
                <w:b/>
                <w:bCs/>
                <w:color w:val="C0504D" w:themeColor="accent2"/>
                <w:sz w:val="18"/>
                <w:szCs w:val="18"/>
              </w:rPr>
              <w:t>T3.1 [Co-creation of services – Dialogues with stakeholder groups] ([Implemented] [Not implemented] [Partially implemented])</w:t>
            </w:r>
          </w:p>
          <w:p w14:paraId="3504C301" w14:textId="77777777" w:rsidR="00F75306" w:rsidRPr="00F75306" w:rsidRDefault="00F75306" w:rsidP="00F75306">
            <w:pPr>
              <w:jc w:val="both"/>
              <w:rPr>
                <w:rFonts w:cs="Arial"/>
                <w:szCs w:val="20"/>
              </w:rPr>
            </w:pPr>
            <w:r w:rsidRPr="00F75306">
              <w:rPr>
                <w:rFonts w:cs="Arial"/>
                <w:szCs w:val="20"/>
              </w:rPr>
              <w:lastRenderedPageBreak/>
              <w:t>The objective of this task was to identify the specific requirements of municipalities and to develop tailored services to meet those needs. To achieve this, a co-creation approach was used that gathered insights and needs from all stakeholder groups, namely municipalities, construction companies, ESCOs, and architects and engineers who usually perform building renovation design. This approach was thought to help align with and increase their interest of the groups in the upcoming OSS services.</w:t>
            </w:r>
          </w:p>
          <w:p w14:paraId="12B9CE24" w14:textId="77777777" w:rsidR="00F75306" w:rsidRPr="00F75306" w:rsidRDefault="00F75306" w:rsidP="00F75306">
            <w:pPr>
              <w:jc w:val="both"/>
              <w:rPr>
                <w:rFonts w:cs="Arial"/>
                <w:szCs w:val="20"/>
              </w:rPr>
            </w:pPr>
            <w:r w:rsidRPr="00F75306">
              <w:rPr>
                <w:rFonts w:cs="Arial"/>
                <w:szCs w:val="20"/>
              </w:rPr>
              <w:t>Task 3.1 constitutes an important milestone in the project, because it moves the OSS concept from an initial project-level vision to a stakeholder-informed service model grounded in actual municipal needs and market realities. Its main contribution lies not only in recording a consultation exercise, but in translating the results of this consultation into a structured proposal for how the OSS should operate, what support it should provide, to whom, and at which stages of the project development process.</w:t>
            </w:r>
          </w:p>
          <w:p w14:paraId="7D25E735" w14:textId="77777777" w:rsidR="00F75306" w:rsidRPr="00F75306" w:rsidRDefault="00F75306" w:rsidP="00F75306">
            <w:pPr>
              <w:jc w:val="both"/>
              <w:rPr>
                <w:rFonts w:cs="Arial"/>
                <w:szCs w:val="20"/>
              </w:rPr>
            </w:pPr>
            <w:r w:rsidRPr="00F75306">
              <w:rPr>
                <w:rFonts w:cs="Arial"/>
                <w:szCs w:val="20"/>
              </w:rPr>
              <w:t>The task was led by EUDITI (Partner 10) supported by CRES (Partner 11) in preparing the materials and discussions in the workshops, the questionnaires, and the interviews with the selected stakeholders.  NTUA (Partner 1) reviewed the materials and participated in the workshops.  KEDE (Partner 9) and the two consortium Regions, South Aegean (Partner 2) and West Macedonia (Partner 3) hosted the workshops.  The other consortium members participated in the workshops with interventions and proposals. The role of the consortium municipalities in the workshops was very positive as they facilitated discussions with their interventions, triggering a livelier participation of the non-consortium municipalities.</w:t>
            </w:r>
          </w:p>
          <w:p w14:paraId="3223DBEF" w14:textId="77777777" w:rsidR="00F75306" w:rsidRPr="00F75306" w:rsidRDefault="00F75306" w:rsidP="00F75306">
            <w:pPr>
              <w:jc w:val="both"/>
              <w:rPr>
                <w:rFonts w:cs="Arial"/>
                <w:szCs w:val="20"/>
              </w:rPr>
            </w:pPr>
            <w:r w:rsidRPr="00F75306">
              <w:rPr>
                <w:rFonts w:cs="Arial"/>
                <w:szCs w:val="20"/>
              </w:rPr>
              <w:t xml:space="preserve">The co-creation approach was implemented through a dialogue with municipalities and the relevant market actors.  The dialogue was carried out through four workshops and two questionnaires. Three workshops were addressed to municipalities and took place either in hybrid or online format: one in the South Aegean Region, one in Western Macedonia, and one national online workshop addressed to all municipalities of the country. The fourth workshop was addressed to market actors, namely construction companies, ESCOs, and engineers/architects and was held online. </w:t>
            </w:r>
          </w:p>
          <w:p w14:paraId="24B92715" w14:textId="77777777" w:rsidR="00F75306" w:rsidRPr="00F75306" w:rsidRDefault="00F75306" w:rsidP="00F75306">
            <w:pPr>
              <w:jc w:val="both"/>
              <w:rPr>
                <w:rFonts w:cs="Arial"/>
                <w:szCs w:val="20"/>
              </w:rPr>
            </w:pPr>
            <w:r w:rsidRPr="00F75306">
              <w:rPr>
                <w:rFonts w:cs="Arial"/>
                <w:szCs w:val="20"/>
              </w:rPr>
              <w:t xml:space="preserve">The workshops had a dual purpose. First, they were used to present the RenoInGR project and a preliminary concept of the OSS services. Second, they created a structured space for participants to discuss the barriers they face and the type of support they consider necessary. </w:t>
            </w:r>
          </w:p>
          <w:p w14:paraId="6E1D2080" w14:textId="77777777" w:rsidR="00F75306" w:rsidRPr="00F75306" w:rsidRDefault="00F75306" w:rsidP="00F75306">
            <w:pPr>
              <w:jc w:val="both"/>
              <w:rPr>
                <w:rFonts w:cs="Arial"/>
                <w:szCs w:val="20"/>
              </w:rPr>
            </w:pPr>
            <w:r w:rsidRPr="00F75306">
              <w:rPr>
                <w:rFonts w:cs="Arial"/>
                <w:szCs w:val="20"/>
              </w:rPr>
              <w:t xml:space="preserve">The scale of participation was significant. The first municipal workshop, held in Syros Island on 10 October 2024, involved municipalities of the South Aegean Region. The second, in Kozani on 17 January 2025, involved municipalities of Western Macedonia. The third, organised nationally online on 5 February 2025 with the support of KEDE, involved around 100 municipalities. </w:t>
            </w:r>
          </w:p>
          <w:p w14:paraId="6E74C077" w14:textId="77777777" w:rsidR="00F75306" w:rsidRPr="00F75306" w:rsidRDefault="00F75306" w:rsidP="00F75306">
            <w:pPr>
              <w:jc w:val="both"/>
              <w:rPr>
                <w:rFonts w:cs="Arial"/>
                <w:szCs w:val="20"/>
              </w:rPr>
            </w:pPr>
            <w:r w:rsidRPr="00F75306">
              <w:rPr>
                <w:rFonts w:cs="Arial"/>
                <w:szCs w:val="20"/>
              </w:rPr>
              <w:t xml:space="preserve">The fourth workshop, held online on 5 March 2025 and hosted by EUDITI with support from the Association of Greek Contracting Companies, SATE, gathered more than 35 participants from the market side. </w:t>
            </w:r>
          </w:p>
          <w:p w14:paraId="100879B6" w14:textId="77777777" w:rsidR="00F75306" w:rsidRPr="00F75306" w:rsidRDefault="00F75306" w:rsidP="00F75306">
            <w:pPr>
              <w:jc w:val="both"/>
              <w:rPr>
                <w:rFonts w:cs="Arial"/>
                <w:szCs w:val="20"/>
              </w:rPr>
            </w:pPr>
            <w:r w:rsidRPr="00F75306">
              <w:rPr>
                <w:rFonts w:cs="Arial"/>
                <w:szCs w:val="20"/>
              </w:rPr>
              <w:t>These participation levels indicate a strong interest among both municipalities and companies in the establishment of a support structure such as the OSS.</w:t>
            </w:r>
          </w:p>
          <w:p w14:paraId="303204EC" w14:textId="77777777" w:rsidR="00F75306" w:rsidRPr="00F75306" w:rsidRDefault="00F75306" w:rsidP="00F75306">
            <w:pPr>
              <w:jc w:val="both"/>
              <w:rPr>
                <w:rFonts w:cs="Arial"/>
                <w:szCs w:val="20"/>
              </w:rPr>
            </w:pPr>
            <w:r w:rsidRPr="00F75306">
              <w:rPr>
                <w:rFonts w:cs="Arial"/>
                <w:szCs w:val="20"/>
              </w:rPr>
              <w:t xml:space="preserve">Task 3.1 delivered the planned deliverable D3.1 “Co-creation of RenoInGR OSS services”.  </w:t>
            </w:r>
          </w:p>
          <w:p w14:paraId="09F3A85B" w14:textId="77777777" w:rsidR="00F75306" w:rsidRPr="00F75306" w:rsidRDefault="00F75306" w:rsidP="00F75306">
            <w:pPr>
              <w:pStyle w:val="Heading5"/>
              <w:rPr>
                <w:color w:val="595959" w:themeColor="text1" w:themeTint="A6"/>
                <w:sz w:val="20"/>
                <w:szCs w:val="20"/>
              </w:rPr>
            </w:pPr>
            <w:r w:rsidRPr="00F75306">
              <w:rPr>
                <w:color w:val="595959" w:themeColor="text1" w:themeTint="A6"/>
                <w:sz w:val="20"/>
                <w:szCs w:val="20"/>
              </w:rPr>
              <w:t>Summary of the work performed</w:t>
            </w:r>
          </w:p>
          <w:p w14:paraId="638E5DA2" w14:textId="77777777" w:rsidR="00F75306" w:rsidRPr="00F75306" w:rsidRDefault="00F75306" w:rsidP="00F75306">
            <w:pPr>
              <w:jc w:val="both"/>
              <w:rPr>
                <w:rFonts w:cs="Arial"/>
                <w:b/>
                <w:bCs/>
                <w:szCs w:val="20"/>
              </w:rPr>
            </w:pPr>
            <w:r w:rsidRPr="00F75306">
              <w:rPr>
                <w:rFonts w:cs="Arial"/>
                <w:szCs w:val="20"/>
              </w:rPr>
              <w:t xml:space="preserve">The workshops addressed to municipalities were structured as round tables and organised around three main sessions. The first session introduced the RenoInGR project, the OSS rationale, and the </w:t>
            </w:r>
            <w:r w:rsidRPr="00F75306">
              <w:rPr>
                <w:rFonts w:cs="Arial"/>
                <w:szCs w:val="20"/>
              </w:rPr>
              <w:lastRenderedPageBreak/>
              <w:t xml:space="preserve">preliminary services envisaged. The second focused on the typical project development or maturation process for building renovation works and explained this process through a staged approach (see fig 3.1). The third session dealt with financing instruments and programmes currently available or planned for the energy renovation of municipal buildings. By structuring the discussion around the actual stages of project development, the workshops enabled participants to identify more precisely where they need support and to react to a preliminary service model that matched these stages.  The presentations and discussion materials are available </w:t>
            </w:r>
            <w:r w:rsidRPr="00F75306">
              <w:rPr>
                <w:rFonts w:cs="Arial"/>
                <w:szCs w:val="20"/>
                <w:highlight w:val="yellow"/>
              </w:rPr>
              <w:t xml:space="preserve">at  </w:t>
            </w:r>
            <w:r w:rsidRPr="00F75306">
              <w:rPr>
                <w:rFonts w:cs="Arial"/>
                <w:b/>
                <w:bCs/>
                <w:szCs w:val="20"/>
                <w:highlight w:val="yellow"/>
              </w:rPr>
              <w:t>(DRIVE) currently restricted to the Project Advisor and the consortium).</w:t>
            </w:r>
          </w:p>
          <w:p w14:paraId="67AB00FE" w14:textId="77777777" w:rsidR="00F75306" w:rsidRPr="00F75306" w:rsidRDefault="00F75306" w:rsidP="00F75306">
            <w:pPr>
              <w:jc w:val="both"/>
              <w:rPr>
                <w:rFonts w:cs="Arial"/>
                <w:szCs w:val="20"/>
              </w:rPr>
            </w:pPr>
          </w:p>
          <w:p w14:paraId="2651F4C1" w14:textId="77777777" w:rsidR="00F75306" w:rsidRPr="00F75306" w:rsidRDefault="00F75306" w:rsidP="00F75306">
            <w:pPr>
              <w:jc w:val="both"/>
              <w:rPr>
                <w:rFonts w:cs="Arial"/>
                <w:szCs w:val="20"/>
              </w:rPr>
            </w:pPr>
            <w:r w:rsidRPr="00F75306">
              <w:rPr>
                <w:rFonts w:cs="Arial"/>
                <w:noProof/>
                <w:szCs w:val="20"/>
              </w:rPr>
              <w:drawing>
                <wp:inline distT="0" distB="0" distL="0" distR="0" wp14:anchorId="77C0087D" wp14:editId="1D129C46">
                  <wp:extent cx="4815281" cy="3839845"/>
                  <wp:effectExtent l="0" t="19050" r="4445" b="46355"/>
                  <wp:docPr id="860866596" name="Diagram 1">
                    <a:extLst xmlns:a="http://schemas.openxmlformats.org/drawingml/2006/main">
                      <a:ext uri="{FF2B5EF4-FFF2-40B4-BE49-F238E27FC236}">
                        <a16:creationId xmlns:a16="http://schemas.microsoft.com/office/drawing/2014/main" id="{9B4A46F7-15EE-A8B9-33B9-6826F47D4892}"/>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312759D8" w14:textId="77777777" w:rsidR="00F75306" w:rsidRPr="00F75306" w:rsidRDefault="00F75306" w:rsidP="00F75306">
            <w:pPr>
              <w:pStyle w:val="Caption"/>
              <w:jc w:val="both"/>
              <w:rPr>
                <w:rFonts w:ascii="Arial" w:hAnsi="Arial" w:cs="Arial"/>
                <w:color w:val="595959" w:themeColor="text1" w:themeTint="A6"/>
                <w:szCs w:val="20"/>
              </w:rPr>
            </w:pPr>
            <w:bookmarkStart w:id="45" w:name="_Ref198555203"/>
            <w:r w:rsidRPr="00F75306">
              <w:rPr>
                <w:rFonts w:ascii="Arial" w:hAnsi="Arial" w:cs="Arial"/>
                <w:color w:val="595959" w:themeColor="text1" w:themeTint="A6"/>
                <w:szCs w:val="20"/>
              </w:rPr>
              <w:t>Figure 3</w:t>
            </w:r>
            <w:r w:rsidRPr="00F75306">
              <w:rPr>
                <w:rFonts w:ascii="Arial" w:hAnsi="Arial" w:cs="Arial"/>
                <w:color w:val="595959" w:themeColor="text1" w:themeTint="A6"/>
                <w:szCs w:val="20"/>
              </w:rPr>
              <w:noBreakHyphen/>
            </w:r>
            <w:bookmarkEnd w:id="45"/>
            <w:r w:rsidRPr="00F75306">
              <w:rPr>
                <w:rFonts w:ascii="Arial" w:hAnsi="Arial" w:cs="Arial"/>
                <w:color w:val="595959" w:themeColor="text1" w:themeTint="A6"/>
                <w:szCs w:val="20"/>
              </w:rPr>
              <w:t>1 “Typical project development (or maturity) process for building works”</w:t>
            </w:r>
          </w:p>
          <w:p w14:paraId="4DAE831E" w14:textId="77777777" w:rsidR="00F75306" w:rsidRPr="00F75306" w:rsidRDefault="00F75306" w:rsidP="00F75306">
            <w:pPr>
              <w:jc w:val="both"/>
              <w:rPr>
                <w:rFonts w:cs="Arial"/>
                <w:szCs w:val="20"/>
              </w:rPr>
            </w:pPr>
          </w:p>
          <w:p w14:paraId="3AE8F2F6" w14:textId="77777777" w:rsidR="00F75306" w:rsidRPr="00F75306" w:rsidRDefault="00F75306" w:rsidP="00F75306">
            <w:pPr>
              <w:jc w:val="both"/>
              <w:rPr>
                <w:rFonts w:cs="Arial"/>
                <w:szCs w:val="20"/>
              </w:rPr>
            </w:pPr>
            <w:r w:rsidRPr="00F75306">
              <w:rPr>
                <w:rFonts w:cs="Arial"/>
                <w:szCs w:val="20"/>
              </w:rPr>
              <w:t xml:space="preserve">The staged project development process presented in the workshops covered the full path from initial building selection to project implementation. It included the identification of the building condition and energy improvement targets, the preparation of tender documents, the sequence of approvals and decisions required within the municipality, the publication of tenders, tender execution, and finally project implementation and operation. Additional requirements were highlighted in cases where financing does not rely solely on equity, such as the need to address financing eligibility, grant requirements, or third-party financing conditions through Energy Performance Contracting. This staged approach is important because it forms the backbone of the later service proposal. This means </w:t>
            </w:r>
            <w:r w:rsidRPr="00F75306">
              <w:rPr>
                <w:rFonts w:cs="Arial"/>
                <w:szCs w:val="20"/>
              </w:rPr>
              <w:lastRenderedPageBreak/>
              <w:t>the OSS is not conceived as a general advisory mechanism, but as a stage-based support structure that can intervene at each step of the project development chain.</w:t>
            </w:r>
          </w:p>
          <w:p w14:paraId="15BD91C6" w14:textId="77777777" w:rsidR="00F75306" w:rsidRPr="00F75306" w:rsidRDefault="00F75306" w:rsidP="00F75306">
            <w:pPr>
              <w:jc w:val="both"/>
              <w:rPr>
                <w:rFonts w:cs="Arial"/>
                <w:szCs w:val="20"/>
              </w:rPr>
            </w:pPr>
            <w:r w:rsidRPr="00F75306">
              <w:rPr>
                <w:rFonts w:cs="Arial"/>
                <w:szCs w:val="20"/>
              </w:rPr>
              <w:t xml:space="preserve">On the basis of this staged process, the consortium presented a preliminary concept of the OSS services, presented in Table 3.1 below.  For each maturity stage, the preliminary services are presented. </w:t>
            </w:r>
          </w:p>
          <w:p w14:paraId="248E1A92" w14:textId="77777777" w:rsidR="00F75306" w:rsidRPr="00F75306" w:rsidRDefault="00F75306" w:rsidP="00F75306">
            <w:pPr>
              <w:pStyle w:val="Caption"/>
              <w:keepNext/>
              <w:jc w:val="both"/>
              <w:rPr>
                <w:rFonts w:ascii="Arial" w:hAnsi="Arial" w:cs="Arial"/>
                <w:color w:val="595959" w:themeColor="text1" w:themeTint="A6"/>
                <w:szCs w:val="20"/>
              </w:rPr>
            </w:pPr>
            <w:bookmarkStart w:id="46" w:name="_Toc200124638"/>
            <w:r w:rsidRPr="00F75306">
              <w:rPr>
                <w:rFonts w:ascii="Arial" w:hAnsi="Arial" w:cs="Arial"/>
                <w:color w:val="595959" w:themeColor="text1" w:themeTint="A6"/>
                <w:szCs w:val="20"/>
              </w:rPr>
              <w:t xml:space="preserve">Table 3.1 </w:t>
            </w:r>
            <w:r w:rsidRPr="00F75306">
              <w:rPr>
                <w:rFonts w:ascii="Arial" w:hAnsi="Arial" w:cs="Arial"/>
                <w:color w:val="595959" w:themeColor="text1" w:themeTint="A6"/>
                <w:szCs w:val="20"/>
                <w:lang w:val="en-US"/>
              </w:rPr>
              <w:t>“Tasks per stage of Project Development to be offered by the OSS”</w:t>
            </w:r>
            <w:bookmarkEnd w:id="46"/>
          </w:p>
          <w:tbl>
            <w:tblPr>
              <w:tblStyle w:val="TableGrid"/>
              <w:tblW w:w="0" w:type="auto"/>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Look w:val="04A0" w:firstRow="1" w:lastRow="0" w:firstColumn="1" w:lastColumn="0" w:noHBand="0" w:noVBand="1"/>
            </w:tblPr>
            <w:tblGrid>
              <w:gridCol w:w="8494"/>
            </w:tblGrid>
            <w:tr w:rsidR="00F75306" w:rsidRPr="00F75306" w14:paraId="1C193FDE" w14:textId="77777777" w:rsidTr="00F75306">
              <w:tc>
                <w:tcPr>
                  <w:tcW w:w="8494" w:type="dxa"/>
                  <w:shd w:val="clear" w:color="auto" w:fill="FFC91D"/>
                </w:tcPr>
                <w:p w14:paraId="7A9E0B02" w14:textId="77777777" w:rsidR="00F75306" w:rsidRPr="00F75306" w:rsidRDefault="00F75306" w:rsidP="00F75306">
                  <w:pPr>
                    <w:jc w:val="both"/>
                    <w:rPr>
                      <w:rFonts w:cs="Arial"/>
                      <w:b/>
                      <w:bCs/>
                      <w:szCs w:val="20"/>
                    </w:rPr>
                  </w:pPr>
                  <w:r w:rsidRPr="00F75306">
                    <w:rPr>
                      <w:rFonts w:cs="Arial"/>
                      <w:b/>
                      <w:bCs/>
                      <w:szCs w:val="20"/>
                    </w:rPr>
                    <w:t xml:space="preserve">Maturity Stage #0 and #1 – </w:t>
                  </w:r>
                  <w:r w:rsidRPr="00F75306">
                    <w:rPr>
                      <w:rFonts w:cs="Arial"/>
                      <w:b/>
                      <w:bCs/>
                      <w:i/>
                      <w:iCs/>
                      <w:szCs w:val="20"/>
                    </w:rPr>
                    <w:t>"Preparatory Work"</w:t>
                  </w:r>
                </w:p>
              </w:tc>
            </w:tr>
            <w:tr w:rsidR="00F75306" w:rsidRPr="00F75306" w14:paraId="033FA325" w14:textId="77777777" w:rsidTr="00F75306">
              <w:tc>
                <w:tcPr>
                  <w:tcW w:w="8494" w:type="dxa"/>
                  <w:shd w:val="clear" w:color="auto" w:fill="F7F7F7"/>
                </w:tcPr>
                <w:p w14:paraId="0FB3F01B" w14:textId="77777777" w:rsidR="00F75306" w:rsidRPr="00F75306" w:rsidRDefault="00F75306" w:rsidP="00F75306">
                  <w:pPr>
                    <w:pStyle w:val="ListParagraph"/>
                    <w:numPr>
                      <w:ilvl w:val="0"/>
                      <w:numId w:val="35"/>
                    </w:numPr>
                    <w:spacing w:before="60" w:after="60"/>
                    <w:ind w:left="340"/>
                    <w:jc w:val="both"/>
                    <w:rPr>
                      <w:rFonts w:cs="Arial"/>
                      <w:szCs w:val="20"/>
                    </w:rPr>
                  </w:pPr>
                  <w:r w:rsidRPr="00F75306">
                    <w:rPr>
                      <w:rFonts w:cs="Arial"/>
                      <w:szCs w:val="20"/>
                    </w:rPr>
                    <w:t>Drafting a detailed description of the tasks to be undertaken by the OSS for a set of buildings</w:t>
                  </w:r>
                </w:p>
                <w:p w14:paraId="050F0817" w14:textId="77777777" w:rsidR="00F75306" w:rsidRPr="00F75306" w:rsidRDefault="00F75306" w:rsidP="00F75306">
                  <w:pPr>
                    <w:pStyle w:val="ListParagraph"/>
                    <w:numPr>
                      <w:ilvl w:val="0"/>
                      <w:numId w:val="35"/>
                    </w:numPr>
                    <w:spacing w:before="60" w:after="60"/>
                    <w:ind w:left="340"/>
                    <w:jc w:val="both"/>
                    <w:rPr>
                      <w:rFonts w:cs="Arial"/>
                      <w:szCs w:val="20"/>
                    </w:rPr>
                  </w:pPr>
                  <w:r w:rsidRPr="00F75306">
                    <w:rPr>
                      <w:rFonts w:cs="Arial"/>
                      <w:szCs w:val="20"/>
                    </w:rPr>
                    <w:t>Preparation of an Explanatory Note for the Municipal Council – Drafting of an Agreement between the Municipality and the OSS</w:t>
                  </w:r>
                </w:p>
                <w:p w14:paraId="2CB60A63" w14:textId="77777777" w:rsidR="00F75306" w:rsidRPr="00F75306" w:rsidRDefault="00F75306" w:rsidP="00F75306">
                  <w:pPr>
                    <w:pStyle w:val="ListParagraph"/>
                    <w:numPr>
                      <w:ilvl w:val="0"/>
                      <w:numId w:val="35"/>
                    </w:numPr>
                    <w:spacing w:before="60" w:after="60"/>
                    <w:ind w:left="340"/>
                    <w:jc w:val="both"/>
                    <w:rPr>
                      <w:rFonts w:cs="Arial"/>
                      <w:szCs w:val="20"/>
                    </w:rPr>
                  </w:pPr>
                  <w:r w:rsidRPr="00F75306">
                    <w:rPr>
                      <w:rFonts w:cs="Arial"/>
                      <w:szCs w:val="20"/>
                    </w:rPr>
                    <w:t>Identification of the buildings’ condition, listing the required documentation, and assisting in their collection (e.g., plans, energy consumption data)</w:t>
                  </w:r>
                </w:p>
                <w:p w14:paraId="5EB93C00" w14:textId="77777777" w:rsidR="00F75306" w:rsidRPr="00F75306" w:rsidRDefault="00F75306" w:rsidP="00F75306">
                  <w:pPr>
                    <w:pStyle w:val="ListParagraph"/>
                    <w:numPr>
                      <w:ilvl w:val="0"/>
                      <w:numId w:val="35"/>
                    </w:numPr>
                    <w:spacing w:before="60" w:after="60"/>
                    <w:ind w:left="340"/>
                    <w:jc w:val="both"/>
                    <w:rPr>
                      <w:rFonts w:cs="Arial"/>
                      <w:szCs w:val="20"/>
                    </w:rPr>
                  </w:pPr>
                  <w:r w:rsidRPr="00F75306">
                    <w:rPr>
                      <w:rFonts w:cs="Arial"/>
                      <w:szCs w:val="20"/>
                    </w:rPr>
                    <w:t>Support in the final selection of buildings to be renovated (prerequisites: clear ownership status, availability of plans, energy and fuel purchase invoices and consumption data, unless a change of use is planned; commitment to issuing pre-earthquake inspection certificate, Building Sustainable Action Plan (SEAK), Municipal Plan for Emissions Reduction (DHSME)).</w:t>
                  </w:r>
                </w:p>
              </w:tc>
            </w:tr>
            <w:tr w:rsidR="00F75306" w:rsidRPr="00F75306" w14:paraId="4CBF999F" w14:textId="77777777" w:rsidTr="00F75306">
              <w:tc>
                <w:tcPr>
                  <w:tcW w:w="8494" w:type="dxa"/>
                  <w:shd w:val="clear" w:color="auto" w:fill="FFC91D"/>
                </w:tcPr>
                <w:p w14:paraId="3B627F6F" w14:textId="77777777" w:rsidR="00F75306" w:rsidRPr="00F75306" w:rsidRDefault="00F75306" w:rsidP="00F75306">
                  <w:pPr>
                    <w:jc w:val="both"/>
                    <w:rPr>
                      <w:rFonts w:cs="Arial"/>
                      <w:b/>
                      <w:bCs/>
                      <w:szCs w:val="20"/>
                    </w:rPr>
                  </w:pPr>
                  <w:r w:rsidRPr="00F75306">
                    <w:rPr>
                      <w:rFonts w:cs="Arial"/>
                      <w:b/>
                      <w:bCs/>
                      <w:szCs w:val="20"/>
                    </w:rPr>
                    <w:t xml:space="preserve">Maturity Stage #2.A – </w:t>
                  </w:r>
                  <w:r w:rsidRPr="00F75306">
                    <w:rPr>
                      <w:rFonts w:cs="Arial"/>
                      <w:b/>
                      <w:bCs/>
                      <w:i/>
                      <w:iCs/>
                      <w:szCs w:val="20"/>
                    </w:rPr>
                    <w:t>"Preparation of Tender Documents"</w:t>
                  </w:r>
                </w:p>
              </w:tc>
            </w:tr>
            <w:tr w:rsidR="00F75306" w:rsidRPr="00F75306" w14:paraId="5E10EA06" w14:textId="77777777" w:rsidTr="00F75306">
              <w:tc>
                <w:tcPr>
                  <w:tcW w:w="8494" w:type="dxa"/>
                  <w:shd w:val="clear" w:color="auto" w:fill="F7F7F7"/>
                </w:tcPr>
                <w:p w14:paraId="6D754080" w14:textId="77777777" w:rsidR="00F75306" w:rsidRPr="00F75306" w:rsidRDefault="00F75306" w:rsidP="00F75306">
                  <w:pPr>
                    <w:pStyle w:val="ListParagraph"/>
                    <w:numPr>
                      <w:ilvl w:val="0"/>
                      <w:numId w:val="35"/>
                    </w:numPr>
                    <w:spacing w:before="60" w:after="60"/>
                    <w:ind w:left="340"/>
                    <w:jc w:val="both"/>
                    <w:rPr>
                      <w:rFonts w:cs="Arial"/>
                      <w:szCs w:val="20"/>
                    </w:rPr>
                  </w:pPr>
                  <w:r w:rsidRPr="00F75306">
                    <w:rPr>
                      <w:rFonts w:cs="Arial"/>
                      <w:szCs w:val="20"/>
                    </w:rPr>
                    <w:t>Definition of the project and setting of energy targets</w:t>
                  </w:r>
                </w:p>
                <w:p w14:paraId="4638633D" w14:textId="77777777" w:rsidR="00F75306" w:rsidRPr="00F75306" w:rsidRDefault="00F75306" w:rsidP="00F75306">
                  <w:pPr>
                    <w:pStyle w:val="ListParagraph"/>
                    <w:numPr>
                      <w:ilvl w:val="0"/>
                      <w:numId w:val="35"/>
                    </w:numPr>
                    <w:spacing w:before="60" w:after="60"/>
                    <w:ind w:left="340"/>
                    <w:jc w:val="both"/>
                    <w:rPr>
                      <w:rFonts w:cs="Arial"/>
                      <w:szCs w:val="20"/>
                    </w:rPr>
                  </w:pPr>
                  <w:r w:rsidRPr="00F75306">
                    <w:rPr>
                      <w:rFonts w:cs="Arial"/>
                      <w:szCs w:val="20"/>
                    </w:rPr>
                    <w:t>Drafting of specifications for the study execution and its announcement by the OSS or its preparation by external engineering consultants</w:t>
                  </w:r>
                </w:p>
                <w:p w14:paraId="7C43F4FF" w14:textId="77777777" w:rsidR="00F75306" w:rsidRPr="00F75306" w:rsidRDefault="00F75306" w:rsidP="00F75306">
                  <w:pPr>
                    <w:pStyle w:val="ListParagraph"/>
                    <w:numPr>
                      <w:ilvl w:val="0"/>
                      <w:numId w:val="35"/>
                    </w:numPr>
                    <w:spacing w:before="60" w:after="60"/>
                    <w:ind w:left="340"/>
                    <w:jc w:val="both"/>
                    <w:rPr>
                      <w:rFonts w:cs="Arial"/>
                      <w:szCs w:val="20"/>
                    </w:rPr>
                  </w:pPr>
                  <w:r w:rsidRPr="00F75306">
                    <w:rPr>
                      <w:rFonts w:cs="Arial"/>
                      <w:szCs w:val="20"/>
                    </w:rPr>
                    <w:t>Issuance/update of the Energy Performance Certificate (EPC) as a result of the energy audit, which is part of the study</w:t>
                  </w:r>
                </w:p>
                <w:p w14:paraId="561AD2AC" w14:textId="77777777" w:rsidR="00F75306" w:rsidRPr="00F75306" w:rsidRDefault="00F75306" w:rsidP="00F75306">
                  <w:pPr>
                    <w:pStyle w:val="ListParagraph"/>
                    <w:numPr>
                      <w:ilvl w:val="0"/>
                      <w:numId w:val="35"/>
                    </w:numPr>
                    <w:spacing w:before="60" w:after="60"/>
                    <w:ind w:left="340"/>
                    <w:jc w:val="both"/>
                    <w:rPr>
                      <w:rFonts w:cs="Arial"/>
                      <w:szCs w:val="20"/>
                    </w:rPr>
                  </w:pPr>
                  <w:r w:rsidRPr="00F75306">
                    <w:rPr>
                      <w:rFonts w:cs="Arial"/>
                      <w:szCs w:val="20"/>
                    </w:rPr>
                    <w:t>Drafting of tender documents</w:t>
                  </w:r>
                </w:p>
              </w:tc>
            </w:tr>
            <w:tr w:rsidR="00F75306" w:rsidRPr="00F75306" w14:paraId="67EF277A" w14:textId="77777777" w:rsidTr="00F75306">
              <w:tc>
                <w:tcPr>
                  <w:tcW w:w="8494" w:type="dxa"/>
                  <w:shd w:val="clear" w:color="auto" w:fill="FFC20C"/>
                </w:tcPr>
                <w:p w14:paraId="49EEC457" w14:textId="77777777" w:rsidR="00F75306" w:rsidRPr="00F75306" w:rsidRDefault="00F75306" w:rsidP="00F75306">
                  <w:pPr>
                    <w:jc w:val="both"/>
                    <w:rPr>
                      <w:rFonts w:cs="Arial"/>
                      <w:b/>
                      <w:bCs/>
                      <w:szCs w:val="20"/>
                    </w:rPr>
                  </w:pPr>
                  <w:r w:rsidRPr="00F75306">
                    <w:rPr>
                      <w:rFonts w:cs="Arial"/>
                      <w:b/>
                      <w:bCs/>
                      <w:szCs w:val="20"/>
                    </w:rPr>
                    <w:t>Maturity Stage #2.B – "Financing of the Energy Renovation"</w:t>
                  </w:r>
                </w:p>
              </w:tc>
            </w:tr>
            <w:tr w:rsidR="00F75306" w:rsidRPr="00F75306" w14:paraId="14EACC39" w14:textId="77777777" w:rsidTr="00F75306">
              <w:tc>
                <w:tcPr>
                  <w:tcW w:w="8494" w:type="dxa"/>
                  <w:shd w:val="clear" w:color="auto" w:fill="F7F7F7"/>
                </w:tcPr>
                <w:p w14:paraId="5CCA6669" w14:textId="77777777" w:rsidR="00F75306" w:rsidRPr="00F75306" w:rsidRDefault="00F75306" w:rsidP="00F75306">
                  <w:pPr>
                    <w:pStyle w:val="ListParagraph"/>
                    <w:numPr>
                      <w:ilvl w:val="0"/>
                      <w:numId w:val="35"/>
                    </w:numPr>
                    <w:spacing w:before="60" w:after="60"/>
                    <w:ind w:left="340"/>
                    <w:jc w:val="both"/>
                    <w:rPr>
                      <w:rFonts w:cs="Arial"/>
                      <w:szCs w:val="20"/>
                    </w:rPr>
                  </w:pPr>
                  <w:r w:rsidRPr="00F75306">
                    <w:rPr>
                      <w:rFonts w:cs="Arial"/>
                      <w:szCs w:val="20"/>
                    </w:rPr>
                    <w:t>Development of a financial plan and actions to secure funding, e.g., preparation of grant application</w:t>
                  </w:r>
                </w:p>
                <w:p w14:paraId="5BC7A3FB" w14:textId="77777777" w:rsidR="00F75306" w:rsidRPr="00F75306" w:rsidRDefault="00F75306" w:rsidP="00F75306">
                  <w:pPr>
                    <w:pStyle w:val="ListParagraph"/>
                    <w:numPr>
                      <w:ilvl w:val="0"/>
                      <w:numId w:val="35"/>
                    </w:numPr>
                    <w:spacing w:before="60" w:after="60"/>
                    <w:ind w:left="340"/>
                    <w:jc w:val="both"/>
                    <w:rPr>
                      <w:rFonts w:cs="Arial"/>
                      <w:szCs w:val="20"/>
                    </w:rPr>
                  </w:pPr>
                  <w:r w:rsidRPr="00F75306">
                    <w:rPr>
                      <w:rFonts w:cs="Arial"/>
                      <w:szCs w:val="20"/>
                    </w:rPr>
                    <w:t>In the case where the Municipality decides—upon the OSS’s recommendation—to obtain third-party financing (e.g., through ENPC or the Energy Efficiency Obligation Scheme), the OSS undertakes the necessary procedures so that the project becomes eligible for funding from a single or combined source</w:t>
                  </w:r>
                </w:p>
              </w:tc>
            </w:tr>
            <w:tr w:rsidR="00F75306" w:rsidRPr="00F75306" w14:paraId="11E44F86" w14:textId="77777777" w:rsidTr="00F75306">
              <w:tc>
                <w:tcPr>
                  <w:tcW w:w="8494" w:type="dxa"/>
                  <w:shd w:val="clear" w:color="auto" w:fill="FFC20C"/>
                </w:tcPr>
                <w:p w14:paraId="0EA959BD" w14:textId="77777777" w:rsidR="00F75306" w:rsidRPr="00F75306" w:rsidRDefault="00F75306" w:rsidP="00F75306">
                  <w:pPr>
                    <w:jc w:val="both"/>
                    <w:rPr>
                      <w:rFonts w:cs="Arial"/>
                      <w:b/>
                      <w:bCs/>
                      <w:szCs w:val="20"/>
                    </w:rPr>
                  </w:pPr>
                  <w:r w:rsidRPr="00F75306">
                    <w:rPr>
                      <w:rFonts w:cs="Arial"/>
                      <w:b/>
                      <w:bCs/>
                      <w:szCs w:val="20"/>
                    </w:rPr>
                    <w:t xml:space="preserve">Maturity Stage #3 – </w:t>
                  </w:r>
                  <w:r w:rsidRPr="00F75306">
                    <w:rPr>
                      <w:rFonts w:cs="Arial"/>
                      <w:b/>
                      <w:bCs/>
                      <w:i/>
                      <w:iCs/>
                      <w:szCs w:val="20"/>
                    </w:rPr>
                    <w:t>"Proposals for approval – Decisions"</w:t>
                  </w:r>
                </w:p>
              </w:tc>
            </w:tr>
            <w:tr w:rsidR="00F75306" w:rsidRPr="00F75306" w14:paraId="597ACC01" w14:textId="77777777" w:rsidTr="00F75306">
              <w:tc>
                <w:tcPr>
                  <w:tcW w:w="8494" w:type="dxa"/>
                  <w:shd w:val="clear" w:color="auto" w:fill="F7F7F7"/>
                </w:tcPr>
                <w:p w14:paraId="7ECB936E" w14:textId="77777777" w:rsidR="00F75306" w:rsidRPr="00F75306" w:rsidRDefault="00F75306" w:rsidP="00F75306">
                  <w:pPr>
                    <w:pStyle w:val="ListParagraph"/>
                    <w:numPr>
                      <w:ilvl w:val="0"/>
                      <w:numId w:val="35"/>
                    </w:numPr>
                    <w:spacing w:before="60" w:after="60"/>
                    <w:ind w:left="340"/>
                    <w:jc w:val="both"/>
                    <w:rPr>
                      <w:rFonts w:cs="Arial"/>
                      <w:szCs w:val="20"/>
                    </w:rPr>
                  </w:pPr>
                  <w:r w:rsidRPr="00F75306">
                    <w:rPr>
                      <w:rFonts w:cs="Arial"/>
                      <w:szCs w:val="20"/>
                    </w:rPr>
                    <w:t>Drafting of proposals to the competent municipal bodies for the necessary approvals</w:t>
                  </w:r>
                </w:p>
                <w:p w14:paraId="62E3D54D" w14:textId="77777777" w:rsidR="00F75306" w:rsidRPr="00F75306" w:rsidRDefault="00F75306" w:rsidP="00F75306">
                  <w:pPr>
                    <w:pStyle w:val="ListParagraph"/>
                    <w:numPr>
                      <w:ilvl w:val="0"/>
                      <w:numId w:val="35"/>
                    </w:numPr>
                    <w:spacing w:before="60" w:after="60"/>
                    <w:ind w:left="340"/>
                    <w:jc w:val="both"/>
                    <w:rPr>
                      <w:rFonts w:cs="Arial"/>
                      <w:szCs w:val="20"/>
                    </w:rPr>
                  </w:pPr>
                  <w:r w:rsidRPr="00F75306">
                    <w:rPr>
                      <w:rFonts w:cs="Arial"/>
                      <w:szCs w:val="20"/>
                    </w:rPr>
                    <w:t>Formation of the Committee for the renovation implementation tender</w:t>
                  </w:r>
                </w:p>
              </w:tc>
            </w:tr>
            <w:tr w:rsidR="00F75306" w:rsidRPr="00F75306" w14:paraId="7C1E59B0" w14:textId="77777777" w:rsidTr="00F75306">
              <w:tc>
                <w:tcPr>
                  <w:tcW w:w="8494" w:type="dxa"/>
                  <w:shd w:val="clear" w:color="auto" w:fill="FFC20C"/>
                </w:tcPr>
                <w:p w14:paraId="56F124D1" w14:textId="77777777" w:rsidR="00F75306" w:rsidRPr="00F75306" w:rsidRDefault="00F75306" w:rsidP="00F75306">
                  <w:pPr>
                    <w:jc w:val="both"/>
                    <w:rPr>
                      <w:rFonts w:cs="Arial"/>
                      <w:b/>
                      <w:bCs/>
                      <w:szCs w:val="20"/>
                      <w:lang w:val="el-GR"/>
                    </w:rPr>
                  </w:pPr>
                  <w:r w:rsidRPr="00F75306">
                    <w:rPr>
                      <w:rFonts w:cs="Arial"/>
                      <w:b/>
                      <w:bCs/>
                      <w:szCs w:val="20"/>
                    </w:rPr>
                    <w:t xml:space="preserve">Maturity Stage #4 – </w:t>
                  </w:r>
                  <w:r w:rsidRPr="00F75306">
                    <w:rPr>
                      <w:rFonts w:cs="Arial"/>
                      <w:b/>
                      <w:bCs/>
                      <w:i/>
                      <w:iCs/>
                      <w:szCs w:val="20"/>
                    </w:rPr>
                    <w:t>"Tender Publication"</w:t>
                  </w:r>
                </w:p>
              </w:tc>
            </w:tr>
            <w:tr w:rsidR="00F75306" w:rsidRPr="00F75306" w14:paraId="18460097" w14:textId="77777777" w:rsidTr="00F75306">
              <w:tc>
                <w:tcPr>
                  <w:tcW w:w="8494" w:type="dxa"/>
                  <w:shd w:val="clear" w:color="auto" w:fill="F7F7F7"/>
                </w:tcPr>
                <w:p w14:paraId="3363A721" w14:textId="77777777" w:rsidR="00F75306" w:rsidRPr="00F75306" w:rsidRDefault="00F75306" w:rsidP="00F75306">
                  <w:pPr>
                    <w:pStyle w:val="ListParagraph"/>
                    <w:numPr>
                      <w:ilvl w:val="0"/>
                      <w:numId w:val="35"/>
                    </w:numPr>
                    <w:spacing w:before="60" w:after="60"/>
                    <w:ind w:left="340"/>
                    <w:jc w:val="both"/>
                    <w:rPr>
                      <w:rFonts w:cs="Arial"/>
                      <w:szCs w:val="20"/>
                    </w:rPr>
                  </w:pPr>
                  <w:r w:rsidRPr="00F75306">
                    <w:rPr>
                      <w:rFonts w:cs="Arial"/>
                      <w:szCs w:val="20"/>
                    </w:rPr>
                    <w:t>Drafting and publication of the tender notice in accordance with current legislation</w:t>
                  </w:r>
                </w:p>
                <w:p w14:paraId="110F6FF0" w14:textId="77777777" w:rsidR="00F75306" w:rsidRPr="00F75306" w:rsidRDefault="00F75306" w:rsidP="00F75306">
                  <w:pPr>
                    <w:pStyle w:val="ListParagraph"/>
                    <w:numPr>
                      <w:ilvl w:val="0"/>
                      <w:numId w:val="35"/>
                    </w:numPr>
                    <w:spacing w:before="60" w:after="60"/>
                    <w:ind w:left="340"/>
                    <w:jc w:val="both"/>
                    <w:rPr>
                      <w:rFonts w:cs="Arial"/>
                      <w:szCs w:val="20"/>
                    </w:rPr>
                  </w:pPr>
                  <w:r w:rsidRPr="00F75306">
                    <w:rPr>
                      <w:rFonts w:cs="Arial"/>
                      <w:szCs w:val="20"/>
                    </w:rPr>
                    <w:t>Monitoring, collection of questions, and providing answers on the ESIDIS platform</w:t>
                  </w:r>
                </w:p>
              </w:tc>
            </w:tr>
            <w:tr w:rsidR="00F75306" w:rsidRPr="00F75306" w14:paraId="719F5B15" w14:textId="77777777" w:rsidTr="00F75306">
              <w:tc>
                <w:tcPr>
                  <w:tcW w:w="8494" w:type="dxa"/>
                  <w:shd w:val="clear" w:color="auto" w:fill="FFC20C"/>
                </w:tcPr>
                <w:p w14:paraId="50914F63" w14:textId="77777777" w:rsidR="00F75306" w:rsidRPr="00F75306" w:rsidRDefault="00F75306" w:rsidP="00F75306">
                  <w:pPr>
                    <w:jc w:val="both"/>
                    <w:rPr>
                      <w:rFonts w:cs="Arial"/>
                      <w:b/>
                      <w:bCs/>
                      <w:szCs w:val="20"/>
                    </w:rPr>
                  </w:pPr>
                  <w:r w:rsidRPr="00F75306">
                    <w:rPr>
                      <w:rFonts w:cs="Arial"/>
                      <w:b/>
                      <w:bCs/>
                      <w:szCs w:val="20"/>
                    </w:rPr>
                    <w:t xml:space="preserve">Maturity Stage #5 – </w:t>
                  </w:r>
                  <w:r w:rsidRPr="00F75306">
                    <w:rPr>
                      <w:rFonts w:cs="Arial"/>
                      <w:b/>
                      <w:bCs/>
                      <w:i/>
                      <w:iCs/>
                      <w:szCs w:val="20"/>
                    </w:rPr>
                    <w:t>"Tender Process Execution"</w:t>
                  </w:r>
                </w:p>
              </w:tc>
            </w:tr>
            <w:tr w:rsidR="00F75306" w:rsidRPr="00F75306" w14:paraId="17489BF5" w14:textId="77777777" w:rsidTr="00F75306">
              <w:tc>
                <w:tcPr>
                  <w:tcW w:w="8494" w:type="dxa"/>
                  <w:shd w:val="clear" w:color="auto" w:fill="F7F7F7"/>
                </w:tcPr>
                <w:p w14:paraId="097637D5" w14:textId="77777777" w:rsidR="00F75306" w:rsidRPr="00F75306" w:rsidRDefault="00F75306" w:rsidP="00F75306">
                  <w:pPr>
                    <w:pStyle w:val="ListParagraph"/>
                    <w:numPr>
                      <w:ilvl w:val="0"/>
                      <w:numId w:val="35"/>
                    </w:numPr>
                    <w:spacing w:before="60" w:after="60"/>
                    <w:ind w:left="340"/>
                    <w:jc w:val="both"/>
                    <w:rPr>
                      <w:rFonts w:cs="Arial"/>
                      <w:szCs w:val="20"/>
                    </w:rPr>
                  </w:pPr>
                  <w:r w:rsidRPr="00F75306">
                    <w:rPr>
                      <w:rFonts w:cs="Arial"/>
                      <w:szCs w:val="20"/>
                    </w:rPr>
                    <w:t>If the Municipality wishes, the OSS undertakes, in cooperation with the Municipality, the process of selection, award of the tender, and preparation for contract signing by the Municipality</w:t>
                  </w:r>
                </w:p>
              </w:tc>
            </w:tr>
            <w:tr w:rsidR="00F75306" w:rsidRPr="00F75306" w14:paraId="58849DC3" w14:textId="77777777" w:rsidTr="00F75306">
              <w:tc>
                <w:tcPr>
                  <w:tcW w:w="8494" w:type="dxa"/>
                  <w:shd w:val="clear" w:color="auto" w:fill="FFC20C"/>
                </w:tcPr>
                <w:p w14:paraId="5793B49C" w14:textId="77777777" w:rsidR="00F75306" w:rsidRPr="00F75306" w:rsidRDefault="00F75306" w:rsidP="00F75306">
                  <w:pPr>
                    <w:jc w:val="both"/>
                    <w:rPr>
                      <w:rFonts w:cs="Arial"/>
                      <w:b/>
                      <w:bCs/>
                      <w:szCs w:val="20"/>
                    </w:rPr>
                  </w:pPr>
                  <w:r w:rsidRPr="00F75306">
                    <w:rPr>
                      <w:rFonts w:cs="Arial"/>
                      <w:b/>
                      <w:bCs/>
                      <w:szCs w:val="20"/>
                    </w:rPr>
                    <w:t xml:space="preserve">Maturity Stage #6 – </w:t>
                  </w:r>
                  <w:r w:rsidRPr="00F75306">
                    <w:rPr>
                      <w:rFonts w:cs="Arial"/>
                      <w:b/>
                      <w:bCs/>
                      <w:i/>
                      <w:iCs/>
                      <w:szCs w:val="20"/>
                    </w:rPr>
                    <w:t>"Project Implementation"</w:t>
                  </w:r>
                </w:p>
              </w:tc>
            </w:tr>
            <w:tr w:rsidR="00F75306" w:rsidRPr="00F75306" w14:paraId="4C8145BD" w14:textId="77777777" w:rsidTr="00F75306">
              <w:tc>
                <w:tcPr>
                  <w:tcW w:w="8494" w:type="dxa"/>
                  <w:shd w:val="clear" w:color="auto" w:fill="F7F7F7"/>
                </w:tcPr>
                <w:p w14:paraId="72A51A8D" w14:textId="77777777" w:rsidR="00F75306" w:rsidRPr="00F75306" w:rsidRDefault="00F75306" w:rsidP="00F75306">
                  <w:pPr>
                    <w:pStyle w:val="ListParagraph"/>
                    <w:numPr>
                      <w:ilvl w:val="0"/>
                      <w:numId w:val="35"/>
                    </w:numPr>
                    <w:spacing w:before="60" w:after="60"/>
                    <w:ind w:left="340"/>
                    <w:jc w:val="both"/>
                    <w:rPr>
                      <w:rFonts w:cs="Arial"/>
                      <w:szCs w:val="20"/>
                    </w:rPr>
                  </w:pPr>
                  <w:r w:rsidRPr="00F75306">
                    <w:rPr>
                      <w:rFonts w:cs="Arial"/>
                      <w:szCs w:val="20"/>
                    </w:rPr>
                    <w:t>Monitoring of project implementation</w:t>
                  </w:r>
                </w:p>
                <w:p w14:paraId="42F895D3" w14:textId="77777777" w:rsidR="00F75306" w:rsidRPr="00F75306" w:rsidRDefault="00F75306" w:rsidP="00F75306">
                  <w:pPr>
                    <w:pStyle w:val="ListParagraph"/>
                    <w:numPr>
                      <w:ilvl w:val="0"/>
                      <w:numId w:val="35"/>
                    </w:numPr>
                    <w:spacing w:before="60" w:after="60"/>
                    <w:ind w:left="340"/>
                    <w:jc w:val="both"/>
                    <w:rPr>
                      <w:rFonts w:cs="Arial"/>
                      <w:szCs w:val="20"/>
                    </w:rPr>
                  </w:pPr>
                  <w:r w:rsidRPr="00F75306">
                    <w:rPr>
                      <w:rFonts w:cs="Arial"/>
                      <w:szCs w:val="20"/>
                    </w:rPr>
                    <w:t>Verifications / certifications</w:t>
                  </w:r>
                </w:p>
                <w:p w14:paraId="55988A34" w14:textId="77777777" w:rsidR="00F75306" w:rsidRPr="00F75306" w:rsidRDefault="00F75306" w:rsidP="00F75306">
                  <w:pPr>
                    <w:pStyle w:val="ListParagraph"/>
                    <w:numPr>
                      <w:ilvl w:val="0"/>
                      <w:numId w:val="35"/>
                    </w:numPr>
                    <w:spacing w:before="60" w:after="60"/>
                    <w:ind w:left="340"/>
                    <w:jc w:val="both"/>
                    <w:rPr>
                      <w:rFonts w:cs="Arial"/>
                      <w:szCs w:val="20"/>
                    </w:rPr>
                  </w:pPr>
                  <w:r w:rsidRPr="00F75306">
                    <w:rPr>
                      <w:rFonts w:cs="Arial"/>
                      <w:szCs w:val="20"/>
                    </w:rPr>
                    <w:t>Handling procedural matters, e.g., drafting progress certificates, extensions, etc.</w:t>
                  </w:r>
                </w:p>
                <w:p w14:paraId="57FAE2D4" w14:textId="77777777" w:rsidR="00F75306" w:rsidRPr="00F75306" w:rsidRDefault="00F75306" w:rsidP="00F75306">
                  <w:pPr>
                    <w:pStyle w:val="ListParagraph"/>
                    <w:numPr>
                      <w:ilvl w:val="0"/>
                      <w:numId w:val="35"/>
                    </w:numPr>
                    <w:spacing w:before="60" w:after="60"/>
                    <w:ind w:left="340"/>
                    <w:jc w:val="both"/>
                    <w:rPr>
                      <w:rFonts w:cs="Arial"/>
                      <w:szCs w:val="20"/>
                    </w:rPr>
                  </w:pPr>
                  <w:r w:rsidRPr="00F75306">
                    <w:rPr>
                      <w:rFonts w:cs="Arial"/>
                      <w:szCs w:val="20"/>
                    </w:rPr>
                    <w:t>Final acceptance</w:t>
                  </w:r>
                </w:p>
                <w:p w14:paraId="4EDCB51C" w14:textId="77777777" w:rsidR="00F75306" w:rsidRPr="00F75306" w:rsidRDefault="00F75306" w:rsidP="00F75306">
                  <w:pPr>
                    <w:pStyle w:val="ListParagraph"/>
                    <w:numPr>
                      <w:ilvl w:val="0"/>
                      <w:numId w:val="35"/>
                    </w:numPr>
                    <w:spacing w:before="60" w:after="60"/>
                    <w:ind w:left="340"/>
                    <w:jc w:val="both"/>
                    <w:rPr>
                      <w:rFonts w:cs="Arial"/>
                      <w:szCs w:val="20"/>
                    </w:rPr>
                  </w:pPr>
                  <w:r w:rsidRPr="00F75306">
                    <w:rPr>
                      <w:rFonts w:cs="Arial"/>
                      <w:szCs w:val="20"/>
                    </w:rPr>
                    <w:lastRenderedPageBreak/>
                    <w:t>Project operation</w:t>
                  </w:r>
                </w:p>
                <w:p w14:paraId="041CC1B3" w14:textId="77777777" w:rsidR="00F75306" w:rsidRPr="00F75306" w:rsidRDefault="00F75306" w:rsidP="00F75306">
                  <w:pPr>
                    <w:pStyle w:val="ListParagraph"/>
                    <w:numPr>
                      <w:ilvl w:val="0"/>
                      <w:numId w:val="35"/>
                    </w:numPr>
                    <w:spacing w:before="60" w:after="60"/>
                    <w:ind w:left="340"/>
                    <w:jc w:val="both"/>
                    <w:rPr>
                      <w:rFonts w:cs="Arial"/>
                      <w:szCs w:val="20"/>
                    </w:rPr>
                  </w:pPr>
                  <w:r w:rsidRPr="00F75306">
                    <w:rPr>
                      <w:rFonts w:cs="Arial"/>
                      <w:szCs w:val="20"/>
                    </w:rPr>
                    <w:t>Guidance to avoid the “rebound effect”</w:t>
                  </w:r>
                </w:p>
                <w:p w14:paraId="5E3FB14A" w14:textId="77777777" w:rsidR="00F75306" w:rsidRPr="00F75306" w:rsidRDefault="00F75306" w:rsidP="00F75306">
                  <w:pPr>
                    <w:pStyle w:val="ListParagraph"/>
                    <w:numPr>
                      <w:ilvl w:val="0"/>
                      <w:numId w:val="35"/>
                    </w:numPr>
                    <w:spacing w:before="60" w:after="60"/>
                    <w:ind w:left="340"/>
                    <w:jc w:val="both"/>
                    <w:rPr>
                      <w:rFonts w:cs="Arial"/>
                      <w:szCs w:val="20"/>
                    </w:rPr>
                  </w:pPr>
                  <w:r w:rsidRPr="00F75306">
                    <w:rPr>
                      <w:rFonts w:cs="Arial"/>
                      <w:szCs w:val="20"/>
                    </w:rPr>
                    <w:t>Maintenance of energy consumption records</w:t>
                  </w:r>
                </w:p>
              </w:tc>
            </w:tr>
          </w:tbl>
          <w:p w14:paraId="165D460B" w14:textId="77777777" w:rsidR="00F75306" w:rsidRPr="00F75306" w:rsidRDefault="00F75306" w:rsidP="00F75306">
            <w:pPr>
              <w:jc w:val="both"/>
              <w:rPr>
                <w:rFonts w:cs="Arial"/>
                <w:szCs w:val="20"/>
                <w:highlight w:val="yellow"/>
              </w:rPr>
            </w:pPr>
          </w:p>
          <w:p w14:paraId="1354DA6F" w14:textId="77777777" w:rsidR="00F75306" w:rsidRPr="00F75306" w:rsidRDefault="00F75306" w:rsidP="00F75306">
            <w:pPr>
              <w:jc w:val="both"/>
              <w:rPr>
                <w:rFonts w:cs="Arial"/>
                <w:szCs w:val="20"/>
              </w:rPr>
            </w:pPr>
            <w:r w:rsidRPr="00F75306">
              <w:rPr>
                <w:rFonts w:cs="Arial"/>
                <w:szCs w:val="20"/>
              </w:rPr>
              <w:t xml:space="preserve">A particularly important feature of the proposed model is differentiation according to municipality size. The OSS is expected to offer the most comprehensive direct support to small municipalities, which generally lack technical services and therefore need execution support across nearly all stages. Medium and large municipalities, by contrast, may require a lighter model consisting more of guidance, coaching, templates, and support in more complex financing situations such as EnPC or blended financing. </w:t>
            </w:r>
          </w:p>
          <w:p w14:paraId="394C7DE9" w14:textId="77777777" w:rsidR="00F75306" w:rsidRPr="00F75306" w:rsidRDefault="00F75306" w:rsidP="00F75306">
            <w:pPr>
              <w:jc w:val="both"/>
              <w:rPr>
                <w:rFonts w:cs="Arial"/>
                <w:szCs w:val="20"/>
              </w:rPr>
            </w:pPr>
            <w:r w:rsidRPr="00F75306">
              <w:rPr>
                <w:rFonts w:cs="Arial"/>
                <w:szCs w:val="20"/>
              </w:rPr>
              <w:t xml:space="preserve">The OSS services will be continuously accessible. For mountainous and island municipalities, support requests will be accepted on a first-come, first-served basis, and buildings that complete the first stages of maturation will be bundled in regular time intervals for energy efficiency renovation design tenders. This approach enables economies of scale and makes projects more attractive for financing and implementation. </w:t>
            </w:r>
          </w:p>
          <w:p w14:paraId="46872637" w14:textId="77777777" w:rsidR="00F75306" w:rsidRPr="00F75306" w:rsidRDefault="00F75306" w:rsidP="00F75306">
            <w:pPr>
              <w:jc w:val="both"/>
              <w:rPr>
                <w:rFonts w:cs="Arial"/>
                <w:szCs w:val="20"/>
              </w:rPr>
            </w:pPr>
            <w:r w:rsidRPr="00F75306">
              <w:rPr>
                <w:rFonts w:cs="Arial"/>
                <w:szCs w:val="20"/>
              </w:rPr>
              <w:t>Once renovation design studies are completed, the financing plans will be developed for each building or bundle of buildings, with the flexibility to regroup them depending on the funding opportunities available at a given time.</w:t>
            </w:r>
          </w:p>
          <w:p w14:paraId="49D1EC43" w14:textId="77777777" w:rsidR="00F75306" w:rsidRPr="00F75306" w:rsidRDefault="00F75306" w:rsidP="00F75306">
            <w:pPr>
              <w:jc w:val="both"/>
              <w:rPr>
                <w:rFonts w:cs="Arial"/>
                <w:szCs w:val="20"/>
              </w:rPr>
            </w:pPr>
            <w:r w:rsidRPr="00F75306">
              <w:rPr>
                <w:rFonts w:cs="Arial"/>
                <w:szCs w:val="20"/>
              </w:rPr>
              <w:t xml:space="preserve">The workshops also clarified the expected role of the digital OSS platform and support materials. The report notes that services will be supported through a virtual office and a set of resources including guidance documents for project development, material on Energy Performance Contracting, a database of low-emission building materials, case studies of zero-emission building renovations, a financing comparison tool, a dynamic question-and-answer section, and further reference material. These resources, clearly welcomed by the municipalities, are intended to improve the quality, speed, and bankability of renovation proposals while also reducing the transaction burden on municipalities. They are currently available to the CINEA and the consortium through the OSS platform at </w:t>
            </w:r>
            <w:hyperlink r:id="rId24" w:history="1">
              <w:r w:rsidRPr="00F75306">
                <w:rPr>
                  <w:rStyle w:val="Hyperlink"/>
                  <w:rFonts w:cs="Arial"/>
                  <w:color w:val="595959" w:themeColor="text1" w:themeTint="A6"/>
                  <w:szCs w:val="20"/>
                </w:rPr>
                <w:t>https://oss.renoingr.gr/</w:t>
              </w:r>
            </w:hyperlink>
            <w:r w:rsidRPr="00F75306">
              <w:rPr>
                <w:rFonts w:cs="Arial"/>
                <w:szCs w:val="20"/>
              </w:rPr>
              <w:t xml:space="preserve">, and will be publicly available as soon as the final refinements of the platform are complete (pls see Task 3.5). </w:t>
            </w:r>
          </w:p>
          <w:p w14:paraId="1561AFD8" w14:textId="77777777" w:rsidR="00F75306" w:rsidRPr="00F75306" w:rsidRDefault="00F75306" w:rsidP="00F75306">
            <w:pPr>
              <w:jc w:val="both"/>
              <w:rPr>
                <w:rFonts w:cs="Arial"/>
                <w:szCs w:val="20"/>
              </w:rPr>
            </w:pPr>
            <w:r w:rsidRPr="00F75306">
              <w:rPr>
                <w:rFonts w:cs="Arial"/>
                <w:szCs w:val="20"/>
              </w:rPr>
              <w:t>The workshops also revealed specific technical and administrative bottlenecks. Municipalities highlighted as major problems the legalisation of buildings, the availability of pre-seismic inspection reports, and the certification of administrative capacity, all of which are prerequisites for receiving public funding. The report notes that the OSS could support municipalities by providing guidance on the steps required for these processes and by informing them about standard templates and updates, especially when the legal framework changes. Another important issue was the difficulty of renovating listed or heritage buildings, due both to technical complexity and to the limited eligibility of associated costs under current subsidy schemes. The deliverable noted that the OSS should, at minimum, provide examples and guidance for such buildings, and possibly extend its support in this area in later phases.</w:t>
            </w:r>
          </w:p>
          <w:p w14:paraId="5FA39B5A" w14:textId="77777777" w:rsidR="00F75306" w:rsidRPr="00F75306" w:rsidRDefault="00F75306" w:rsidP="00F75306">
            <w:pPr>
              <w:jc w:val="both"/>
              <w:rPr>
                <w:rFonts w:cs="Arial"/>
                <w:szCs w:val="20"/>
              </w:rPr>
            </w:pPr>
            <w:r w:rsidRPr="00F75306">
              <w:rPr>
                <w:rFonts w:cs="Arial"/>
                <w:szCs w:val="20"/>
              </w:rPr>
              <w:t xml:space="preserve">Small mountainous municipalities also emphasised the difficulty of attracting consultants and contractors because projects are small and dispersed. This finding directly reinforced the importance of bundling. </w:t>
            </w:r>
          </w:p>
          <w:p w14:paraId="228BBA24" w14:textId="77777777" w:rsidR="00F75306" w:rsidRPr="00F75306" w:rsidRDefault="00F75306" w:rsidP="00F75306">
            <w:pPr>
              <w:jc w:val="both"/>
              <w:rPr>
                <w:rFonts w:cs="Arial"/>
                <w:szCs w:val="20"/>
              </w:rPr>
            </w:pPr>
            <w:r w:rsidRPr="00F75306">
              <w:rPr>
                <w:rFonts w:cs="Arial"/>
                <w:szCs w:val="20"/>
              </w:rPr>
              <w:t xml:space="preserve">Municipalities further reported that, especially for schools, energy bills are often incomplete or not clearly matched to the correct building, which undermines the preparation of audits, baselines, and </w:t>
            </w:r>
            <w:r w:rsidRPr="00F75306">
              <w:rPr>
                <w:rFonts w:cs="Arial"/>
                <w:szCs w:val="20"/>
              </w:rPr>
              <w:lastRenderedPageBreak/>
              <w:t xml:space="preserve">financing cases. It is therefore recommended that OSS should inform in advance the municipalities how to proceed with account keeping for the energy consumption. </w:t>
            </w:r>
          </w:p>
          <w:p w14:paraId="6570C6E0" w14:textId="77777777" w:rsidR="00F75306" w:rsidRPr="00F75306" w:rsidRDefault="00F75306" w:rsidP="00F75306">
            <w:pPr>
              <w:jc w:val="both"/>
              <w:rPr>
                <w:rFonts w:cs="Arial"/>
                <w:szCs w:val="20"/>
              </w:rPr>
            </w:pPr>
            <w:r w:rsidRPr="00F75306">
              <w:rPr>
                <w:rFonts w:cs="Arial"/>
                <w:szCs w:val="20"/>
              </w:rPr>
              <w:t>On financing, the workshops showed that municipalities still have little knowledge of blended financing and Energy Performance Contracting. As described in the deliverable, it was recommended that the OSS should prepare explanatory notes, workshops, and template proposals for municipal councils in order to build awareness and enable informed decisions on EnPC. The deliverable also records several policy-relevant observations, such as the need for funding schemes to allow more time for application preparation, the need to take resilience and cost-benefit criteria into account, and the need for grid capacity allocation to municipal photovoltaic projects (D3.1 page 10).</w:t>
            </w:r>
          </w:p>
          <w:p w14:paraId="328A6A60" w14:textId="77777777" w:rsidR="00F75306" w:rsidRPr="00F75306" w:rsidRDefault="00F75306" w:rsidP="00F75306">
            <w:pPr>
              <w:jc w:val="both"/>
              <w:rPr>
                <w:rFonts w:cs="Arial"/>
                <w:szCs w:val="20"/>
              </w:rPr>
            </w:pPr>
            <w:r w:rsidRPr="00F75306">
              <w:rPr>
                <w:rFonts w:cs="Arial"/>
                <w:szCs w:val="20"/>
              </w:rPr>
              <w:t xml:space="preserve">In parallel to the workshops, the consortium conducted questionnaires addressed to all municipalities and, separately, to market actors. The municipal questionnaire sought to identify the main difficulties municipalities face in developing energy renovation projects and to collect their views on the OSS services they would wish to receive. It was prepared by EUDITI and distributed nationwide through KEDE, including to the technical services of all 332 municipalities, and was converted into a Google form to facilitate completion. A total of 54 municipalities responded, most of them small and medium-sized. This constitutes a meaningful evidence base, especially given the territorial diversity of the responses. </w:t>
            </w:r>
          </w:p>
          <w:p w14:paraId="031FA70A" w14:textId="77777777" w:rsidR="00F75306" w:rsidRPr="00F75306" w:rsidRDefault="00F75306" w:rsidP="00F75306">
            <w:pPr>
              <w:jc w:val="both"/>
              <w:rPr>
                <w:rFonts w:cs="Arial"/>
                <w:szCs w:val="20"/>
              </w:rPr>
            </w:pPr>
            <w:r w:rsidRPr="00F75306">
              <w:rPr>
                <w:rFonts w:cs="Arial"/>
                <w:szCs w:val="20"/>
              </w:rPr>
              <w:t xml:space="preserve">The municipal questionnaire confirms quantitatively the structural weaknesses already identified in the workshops. Municipalities cited lack of specialised staff, limited financial resources, lack of technical infrastructure or capacity to prepare studies, and lack of knowledge regarding legislation and procedures as the main barriers to project development. Most municipalities rely on external consultants rather than neighbouring municipalities or regional authorities for technical support. In terms of readiness, the findings are particularly revealing; among the buildings reported, </w:t>
            </w:r>
          </w:p>
          <w:p w14:paraId="7057ED04" w14:textId="77777777" w:rsidR="00F75306" w:rsidRPr="00F75306" w:rsidRDefault="00F75306" w:rsidP="00F75306">
            <w:pPr>
              <w:pStyle w:val="ListParagraph"/>
              <w:numPr>
                <w:ilvl w:val="0"/>
                <w:numId w:val="36"/>
              </w:numPr>
              <w:spacing w:before="60" w:after="60" w:line="240" w:lineRule="auto"/>
              <w:jc w:val="both"/>
              <w:rPr>
                <w:rFonts w:cs="Arial"/>
                <w:szCs w:val="20"/>
              </w:rPr>
            </w:pPr>
            <w:r w:rsidRPr="00F75306">
              <w:rPr>
                <w:rFonts w:cs="Arial"/>
                <w:szCs w:val="20"/>
              </w:rPr>
              <w:t xml:space="preserve">only 11% have a valid Energy Performance Certificate (EPC), </w:t>
            </w:r>
          </w:p>
          <w:p w14:paraId="782CB01B" w14:textId="77777777" w:rsidR="00F75306" w:rsidRPr="00F75306" w:rsidRDefault="00F75306" w:rsidP="00F75306">
            <w:pPr>
              <w:pStyle w:val="ListParagraph"/>
              <w:numPr>
                <w:ilvl w:val="0"/>
                <w:numId w:val="36"/>
              </w:numPr>
              <w:spacing w:before="60" w:after="60" w:line="240" w:lineRule="auto"/>
              <w:jc w:val="both"/>
              <w:rPr>
                <w:rFonts w:cs="Arial"/>
                <w:szCs w:val="20"/>
              </w:rPr>
            </w:pPr>
            <w:r w:rsidRPr="00F75306">
              <w:rPr>
                <w:rFonts w:cs="Arial"/>
                <w:szCs w:val="20"/>
              </w:rPr>
              <w:t xml:space="preserve">55% of municipalities have completed or are developing a Plan for Energy Efficiency of Buildings (SEAK), </w:t>
            </w:r>
          </w:p>
          <w:p w14:paraId="656D041A" w14:textId="77777777" w:rsidR="00F75306" w:rsidRPr="00F75306" w:rsidRDefault="00F75306" w:rsidP="00F75306">
            <w:pPr>
              <w:pStyle w:val="ListParagraph"/>
              <w:numPr>
                <w:ilvl w:val="0"/>
                <w:numId w:val="36"/>
              </w:numPr>
              <w:spacing w:before="60" w:after="60" w:line="240" w:lineRule="auto"/>
              <w:jc w:val="both"/>
              <w:rPr>
                <w:rFonts w:cs="Arial"/>
                <w:szCs w:val="20"/>
              </w:rPr>
            </w:pPr>
            <w:r w:rsidRPr="00F75306">
              <w:rPr>
                <w:rFonts w:cs="Arial"/>
                <w:szCs w:val="20"/>
              </w:rPr>
              <w:t>36% maintain complete records of energy consumption,</w:t>
            </w:r>
          </w:p>
          <w:p w14:paraId="224342DF" w14:textId="77777777" w:rsidR="00F75306" w:rsidRPr="00F75306" w:rsidRDefault="00F75306" w:rsidP="00F75306">
            <w:pPr>
              <w:pStyle w:val="ListParagraph"/>
              <w:numPr>
                <w:ilvl w:val="0"/>
                <w:numId w:val="36"/>
              </w:numPr>
              <w:spacing w:before="60" w:after="60" w:line="240" w:lineRule="auto"/>
              <w:jc w:val="both"/>
              <w:rPr>
                <w:rFonts w:cs="Arial"/>
                <w:szCs w:val="20"/>
              </w:rPr>
            </w:pPr>
            <w:r w:rsidRPr="00F75306">
              <w:rPr>
                <w:rFonts w:cs="Arial"/>
                <w:szCs w:val="20"/>
              </w:rPr>
              <w:t xml:space="preserve">another 25% maintain partial records. </w:t>
            </w:r>
          </w:p>
          <w:p w14:paraId="09692E4C" w14:textId="77777777" w:rsidR="00F75306" w:rsidRPr="00F75306" w:rsidRDefault="00F75306" w:rsidP="00F75306">
            <w:pPr>
              <w:jc w:val="both"/>
              <w:rPr>
                <w:rFonts w:cs="Arial"/>
                <w:szCs w:val="20"/>
              </w:rPr>
            </w:pPr>
            <w:r w:rsidRPr="00F75306">
              <w:rPr>
                <w:rFonts w:cs="Arial"/>
                <w:szCs w:val="20"/>
              </w:rPr>
              <w:t>These figures clearly illustrate the low level of maturity of municipal building portfolios in Greece and validate the need for a structured support mechanism such as the RenoInGR OSS.</w:t>
            </w:r>
          </w:p>
          <w:p w14:paraId="2321BF73" w14:textId="77777777" w:rsidR="00F75306" w:rsidRPr="00F75306" w:rsidRDefault="00F75306" w:rsidP="00F75306">
            <w:pPr>
              <w:jc w:val="both"/>
              <w:rPr>
                <w:rFonts w:cs="Arial"/>
                <w:szCs w:val="20"/>
              </w:rPr>
            </w:pPr>
            <w:r w:rsidRPr="00F75306">
              <w:rPr>
                <w:rFonts w:cs="Arial"/>
                <w:szCs w:val="20"/>
              </w:rPr>
              <w:t xml:space="preserve">The questionnaire also investigated financing practices and barriers. Most municipalities rely on public programmes, such as the NSRF, Recovery Fund, and Green Fund, to finance energy renovations. However, the lack of mature studies was identified as the main obstacle to securing funding, followed by lengthy procedures and insufficient information about funding programmes. Some municipalities additionally pointed to lack of personnel, lack of funding for renovation design studies, and the limited time between publication of funding calls and application deadlines. When asked about alternative sources of financing, many municipalities indicated openness to Energy Performance Contracting, although their knowledge of this mechanism remains limited. </w:t>
            </w:r>
          </w:p>
          <w:p w14:paraId="60BA6E33" w14:textId="77777777" w:rsidR="00F75306" w:rsidRPr="00F75306" w:rsidRDefault="00F75306" w:rsidP="00F75306">
            <w:pPr>
              <w:jc w:val="both"/>
              <w:rPr>
                <w:rFonts w:cs="Arial"/>
                <w:szCs w:val="20"/>
              </w:rPr>
            </w:pPr>
            <w:r w:rsidRPr="00F75306">
              <w:rPr>
                <w:rFonts w:cs="Arial"/>
                <w:szCs w:val="20"/>
              </w:rPr>
              <w:t xml:space="preserve">Geographic location was also reported as a major impediment, especially for mountainous municipalities, because companies often avoid geographically remote, small-scale projects. Municipalities indicated that faster project maturation would require more staffing, more funding programmes, simplification of procedures, and, above all, support throughout the entire process. </w:t>
            </w:r>
            <w:r w:rsidRPr="00F75306">
              <w:rPr>
                <w:rFonts w:cs="Arial"/>
                <w:szCs w:val="20"/>
              </w:rPr>
              <w:lastRenderedPageBreak/>
              <w:t>Several responses explicitly called for a support entity or regional-level service to assist with legal, administrative, and technical procedures and to provide access to information and best practices.</w:t>
            </w:r>
          </w:p>
          <w:p w14:paraId="6B22890B" w14:textId="77777777" w:rsidR="00F75306" w:rsidRPr="00F75306" w:rsidRDefault="00F75306" w:rsidP="00F75306">
            <w:pPr>
              <w:jc w:val="both"/>
              <w:rPr>
                <w:rFonts w:cs="Arial"/>
                <w:szCs w:val="20"/>
              </w:rPr>
            </w:pPr>
            <w:r w:rsidRPr="00F75306">
              <w:rPr>
                <w:rFonts w:cs="Arial"/>
                <w:szCs w:val="20"/>
              </w:rPr>
              <w:t xml:space="preserve">One of the most useful parts of the municipal questionnaire concerns stakeholder reactions to the proposed OSS services by project development stage. The results show strong demand for support at almost all stages: </w:t>
            </w:r>
          </w:p>
          <w:p w14:paraId="26F06821" w14:textId="77777777" w:rsidR="00F75306" w:rsidRPr="00F75306" w:rsidRDefault="00F75306" w:rsidP="00F75306">
            <w:pPr>
              <w:pStyle w:val="ListParagraph"/>
              <w:numPr>
                <w:ilvl w:val="0"/>
                <w:numId w:val="37"/>
              </w:numPr>
              <w:spacing w:before="60" w:after="60" w:line="240" w:lineRule="auto"/>
              <w:jc w:val="both"/>
              <w:rPr>
                <w:rFonts w:cs="Arial"/>
                <w:szCs w:val="20"/>
              </w:rPr>
            </w:pPr>
            <w:r w:rsidRPr="00F75306">
              <w:rPr>
                <w:rFonts w:cs="Arial"/>
                <w:szCs w:val="20"/>
              </w:rPr>
              <w:t>59% of municipalities explicitly requested support for Stage 1, concerning project definition support, 64% considered the service important for Stage 2, concerning preparation of specifications for energy renovation studies,</w:t>
            </w:r>
          </w:p>
          <w:p w14:paraId="6FD77AA6" w14:textId="77777777" w:rsidR="00F75306" w:rsidRPr="00F75306" w:rsidRDefault="00F75306" w:rsidP="00F75306">
            <w:pPr>
              <w:pStyle w:val="ListParagraph"/>
              <w:numPr>
                <w:ilvl w:val="0"/>
                <w:numId w:val="37"/>
              </w:numPr>
              <w:spacing w:before="60" w:after="60" w:line="240" w:lineRule="auto"/>
              <w:jc w:val="both"/>
              <w:rPr>
                <w:rFonts w:cs="Arial"/>
                <w:szCs w:val="20"/>
              </w:rPr>
            </w:pPr>
            <w:r w:rsidRPr="00F75306">
              <w:rPr>
                <w:rFonts w:cs="Arial"/>
                <w:szCs w:val="20"/>
              </w:rPr>
              <w:t>63% answered positively for Stage 3, concerning development of financial plans,</w:t>
            </w:r>
          </w:p>
          <w:p w14:paraId="38892924" w14:textId="77777777" w:rsidR="00F75306" w:rsidRPr="00F75306" w:rsidRDefault="00F75306" w:rsidP="00F75306">
            <w:pPr>
              <w:pStyle w:val="ListParagraph"/>
              <w:numPr>
                <w:ilvl w:val="0"/>
                <w:numId w:val="37"/>
              </w:numPr>
              <w:spacing w:before="60" w:after="60" w:line="240" w:lineRule="auto"/>
              <w:jc w:val="both"/>
              <w:rPr>
                <w:rFonts w:cs="Arial"/>
                <w:szCs w:val="20"/>
              </w:rPr>
            </w:pPr>
            <w:r w:rsidRPr="00F75306">
              <w:rPr>
                <w:rFonts w:cs="Arial"/>
                <w:szCs w:val="20"/>
              </w:rPr>
              <w:t xml:space="preserve">61% requested assistance for Stage 4, concerning tendering support. </w:t>
            </w:r>
          </w:p>
          <w:p w14:paraId="00FC2738" w14:textId="77777777" w:rsidR="00F75306" w:rsidRPr="00F75306" w:rsidRDefault="00F75306" w:rsidP="00F75306">
            <w:pPr>
              <w:jc w:val="both"/>
              <w:rPr>
                <w:rFonts w:cs="Arial"/>
                <w:szCs w:val="20"/>
              </w:rPr>
            </w:pPr>
            <w:r w:rsidRPr="00F75306">
              <w:rPr>
                <w:rFonts w:cs="Arial"/>
                <w:szCs w:val="20"/>
              </w:rPr>
              <w:t xml:space="preserve">The deliverable interprets these findings as confirming that the greatest demand lies in design study preparation, financing, and tendering, but that smaller municipalities also need support from the very first stage, due to insufficient internal personnel and limited technical capacity. </w:t>
            </w:r>
          </w:p>
          <w:p w14:paraId="64793A5A" w14:textId="77777777" w:rsidR="00F75306" w:rsidRPr="00F75306" w:rsidRDefault="00F75306" w:rsidP="00F75306">
            <w:pPr>
              <w:jc w:val="both"/>
              <w:rPr>
                <w:rFonts w:cs="Arial"/>
                <w:szCs w:val="20"/>
              </w:rPr>
            </w:pPr>
            <w:r w:rsidRPr="00F75306">
              <w:rPr>
                <w:rFonts w:cs="Arial"/>
                <w:szCs w:val="20"/>
              </w:rPr>
              <w:t>As concluded in the deliverable, the RenoInGR OSS can play a critical role in helping municipalities collect documentation, prepare funding dossiers, and accelerate project readiness, provided that it operates efficiently and with sufficient technical credibility.</w:t>
            </w:r>
          </w:p>
          <w:p w14:paraId="19C07294" w14:textId="77777777" w:rsidR="00F75306" w:rsidRPr="00F75306" w:rsidRDefault="00F75306" w:rsidP="00F75306">
            <w:pPr>
              <w:jc w:val="both"/>
              <w:rPr>
                <w:rFonts w:cs="Arial"/>
                <w:szCs w:val="20"/>
              </w:rPr>
            </w:pPr>
            <w:r w:rsidRPr="00F75306">
              <w:rPr>
                <w:rFonts w:cs="Arial"/>
                <w:szCs w:val="20"/>
              </w:rPr>
              <w:t>The consultation with market actors complements the municipal perspective and provides important insight into what will be needed to make the OSS model implementable and attractive to companies. The survey targeted ESCOs and technical companies active in energy efficiency and renewable energy. Although the number of respondents was limited to eight companies, the report notes that this corresponds to around 13% of the registered ESCOs and a substantially higher share of those specialising in the building sector. More than half of respondents were already registered in the ESCO Registry, and the others planned to register. The companies were active in energy audits, energy inspections, building management systems, building envelope interventions, HVAC and lighting systems, renewable energy systems, and CHP. More than half had implemented energy efficiency projects through EnPC, though only a small minority had prior experience working with public bodies. This already points to one of the challenges for RenoInGR, namely, there is interest and experience in the market, but limited familiarity with public-sector building renovation contracts.</w:t>
            </w:r>
          </w:p>
          <w:p w14:paraId="06F85B94" w14:textId="77777777" w:rsidR="00F75306" w:rsidRPr="00F75306" w:rsidRDefault="00F75306" w:rsidP="00F75306">
            <w:pPr>
              <w:jc w:val="both"/>
              <w:rPr>
                <w:rFonts w:cs="Arial"/>
                <w:szCs w:val="20"/>
              </w:rPr>
            </w:pPr>
            <w:r w:rsidRPr="00F75306">
              <w:rPr>
                <w:rFonts w:cs="Arial"/>
                <w:szCs w:val="20"/>
              </w:rPr>
              <w:t xml:space="preserve">The market survey and workshop showed strong support for grouped municipal building projects. Eighty-seven percent of responding companies viewed the central grouping of municipal and regional building energy upgrade projects in a single tender as positive. The most important criteria for making such investments attractive were repayment guarantees, subsidy assurance, geographical proximity of the buildings, and similar building typologies. When asked about the most appropriate implementation mechanisms, the highest preference was for EnPC combined with subsidy, followed by pure EnPC. </w:t>
            </w:r>
          </w:p>
          <w:p w14:paraId="00DDFF02" w14:textId="77777777" w:rsidR="00F75306" w:rsidRPr="00F75306" w:rsidRDefault="00F75306" w:rsidP="00F75306">
            <w:pPr>
              <w:jc w:val="both"/>
              <w:rPr>
                <w:rFonts w:cs="Arial"/>
                <w:szCs w:val="20"/>
              </w:rPr>
            </w:pPr>
            <w:r w:rsidRPr="00F75306">
              <w:rPr>
                <w:rFonts w:cs="Arial"/>
                <w:szCs w:val="20"/>
              </w:rPr>
              <w:t>The new national programme addressing aggregated public buildings and their financing through mixed public and private funds (leveraging private financing through Energy Performance Contracting) also received positive interest, while public-private partnerships, the competitive procedure, and the Energy Efficiency Obligation Scheme were less preferred. This constitutes an important result because it confirms that the blended financing direction of RenoInGR is aligned with market expectations.</w:t>
            </w:r>
          </w:p>
          <w:p w14:paraId="5F8C92B7" w14:textId="77777777" w:rsidR="00F75306" w:rsidRPr="00F75306" w:rsidRDefault="00F75306" w:rsidP="00F75306">
            <w:pPr>
              <w:jc w:val="both"/>
              <w:rPr>
                <w:rFonts w:cs="Arial"/>
                <w:szCs w:val="20"/>
              </w:rPr>
            </w:pPr>
            <w:r w:rsidRPr="00F75306">
              <w:rPr>
                <w:rFonts w:cs="Arial"/>
                <w:szCs w:val="20"/>
              </w:rPr>
              <w:lastRenderedPageBreak/>
              <w:t xml:space="preserve">The market actors also provided very practical feedback regarding risk allocation and procurement. Most companies stated that they would be willing to participate in financing with a significant share of the investment budget and that a contract duration of five to eight years would be most appropriate. However, they identified delayed payments, non-compliance with agreed terms, absence of reliable monitoring and verification, and changes in building use as the main risks in public-sector EnPC projects. They also emphasised the need for guarantees such as a mechanism ensuring disbursements, bankable contracts with clear payment schedules, technically realistic specifications, and a clear risk-sharing framework. </w:t>
            </w:r>
          </w:p>
          <w:p w14:paraId="2EE57004" w14:textId="77777777" w:rsidR="00F75306" w:rsidRPr="00F75306" w:rsidRDefault="00F75306" w:rsidP="00F75306">
            <w:pPr>
              <w:jc w:val="both"/>
              <w:rPr>
                <w:rFonts w:cs="Arial"/>
                <w:szCs w:val="20"/>
              </w:rPr>
            </w:pPr>
            <w:r w:rsidRPr="00F75306">
              <w:rPr>
                <w:rFonts w:cs="Arial"/>
                <w:szCs w:val="20"/>
              </w:rPr>
              <w:t>Low interest rates, delayed-payment guarantees, and reduced collateral requirements were highlighted as key characteristics of the financial instruments that would be needed to support ESCO participation. The most important obstacles to implementation in public buildings were lack of appropriate subsidy, lack of standardised tender procedures, and lack of historical energy data. The market actors further expressed strong support for the OSS providing tender specifications for grouped projects and showed preference for mixed contracts and award criteria that combine financial and technical quality rather than focusing only on the lowest price.</w:t>
            </w:r>
          </w:p>
          <w:p w14:paraId="33072039" w14:textId="77777777" w:rsidR="00F75306" w:rsidRPr="00F75306" w:rsidRDefault="00F75306" w:rsidP="00F75306">
            <w:pPr>
              <w:pStyle w:val="Heading5"/>
              <w:rPr>
                <w:color w:val="595959" w:themeColor="text1" w:themeTint="A6"/>
                <w:sz w:val="20"/>
                <w:szCs w:val="20"/>
              </w:rPr>
            </w:pPr>
            <w:r w:rsidRPr="00F75306">
              <w:rPr>
                <w:color w:val="595959" w:themeColor="text1" w:themeTint="A6"/>
                <w:sz w:val="20"/>
                <w:szCs w:val="20"/>
              </w:rPr>
              <w:t>Conclusions</w:t>
            </w:r>
          </w:p>
          <w:p w14:paraId="336BEB39" w14:textId="77777777" w:rsidR="00F75306" w:rsidRPr="00F75306" w:rsidRDefault="00F75306" w:rsidP="00F75306">
            <w:pPr>
              <w:jc w:val="both"/>
              <w:rPr>
                <w:rFonts w:cs="Arial"/>
                <w:szCs w:val="20"/>
              </w:rPr>
            </w:pPr>
            <w:r w:rsidRPr="00F75306">
              <w:rPr>
                <w:rFonts w:cs="Arial"/>
                <w:szCs w:val="20"/>
              </w:rPr>
              <w:t>The findings have been consolidated into an updated proposal for the OSS services (please see Task 3.2). Overall, municipalities, especially small, mountainous, and island ones, require support throughout the whole project development process and that the preliminary concept presented during the co-creation activities is well aligned with stakeholder expectations. Additionally, some specific adjustments and refinements were suggested by municipalities. These include:</w:t>
            </w:r>
          </w:p>
          <w:p w14:paraId="4E2BAC3E" w14:textId="77777777" w:rsidR="00F75306" w:rsidRPr="00F75306" w:rsidRDefault="00F75306" w:rsidP="00F75306">
            <w:pPr>
              <w:pStyle w:val="ListParagraph"/>
              <w:numPr>
                <w:ilvl w:val="0"/>
                <w:numId w:val="38"/>
              </w:numPr>
              <w:spacing w:before="60" w:after="60" w:line="240" w:lineRule="auto"/>
              <w:jc w:val="both"/>
              <w:rPr>
                <w:rFonts w:cs="Arial"/>
                <w:szCs w:val="20"/>
              </w:rPr>
            </w:pPr>
            <w:r w:rsidRPr="00F75306">
              <w:rPr>
                <w:rFonts w:cs="Arial"/>
                <w:szCs w:val="20"/>
              </w:rPr>
              <w:t xml:space="preserve">standardised templates for municipal council agreements, </w:t>
            </w:r>
          </w:p>
          <w:p w14:paraId="7C7BABC0" w14:textId="77777777" w:rsidR="00F75306" w:rsidRPr="00F75306" w:rsidRDefault="00F75306" w:rsidP="00F75306">
            <w:pPr>
              <w:pStyle w:val="ListParagraph"/>
              <w:numPr>
                <w:ilvl w:val="0"/>
                <w:numId w:val="38"/>
              </w:numPr>
              <w:spacing w:before="60" w:after="60" w:line="240" w:lineRule="auto"/>
              <w:jc w:val="both"/>
              <w:rPr>
                <w:rFonts w:cs="Arial"/>
                <w:szCs w:val="20"/>
              </w:rPr>
            </w:pPr>
            <w:r w:rsidRPr="00F75306">
              <w:rPr>
                <w:rFonts w:cs="Arial"/>
                <w:szCs w:val="20"/>
              </w:rPr>
              <w:t xml:space="preserve">guidance on legalisation and required administrative documentation, </w:t>
            </w:r>
          </w:p>
          <w:p w14:paraId="2F78CDCD" w14:textId="77777777" w:rsidR="00F75306" w:rsidRPr="00F75306" w:rsidRDefault="00F75306" w:rsidP="00F75306">
            <w:pPr>
              <w:pStyle w:val="ListParagraph"/>
              <w:numPr>
                <w:ilvl w:val="0"/>
                <w:numId w:val="38"/>
              </w:numPr>
              <w:spacing w:before="60" w:after="60" w:line="240" w:lineRule="auto"/>
              <w:jc w:val="both"/>
              <w:rPr>
                <w:rFonts w:cs="Arial"/>
                <w:szCs w:val="20"/>
              </w:rPr>
            </w:pPr>
            <w:r w:rsidRPr="00F75306">
              <w:rPr>
                <w:rFonts w:cs="Arial"/>
                <w:szCs w:val="20"/>
              </w:rPr>
              <w:t xml:space="preserve">support for collecting missing technical data, </w:t>
            </w:r>
          </w:p>
          <w:p w14:paraId="487BFE6C" w14:textId="77777777" w:rsidR="00F75306" w:rsidRPr="00F75306" w:rsidRDefault="00F75306" w:rsidP="00F75306">
            <w:pPr>
              <w:pStyle w:val="ListParagraph"/>
              <w:numPr>
                <w:ilvl w:val="0"/>
                <w:numId w:val="38"/>
              </w:numPr>
              <w:spacing w:before="60" w:after="60" w:line="240" w:lineRule="auto"/>
              <w:jc w:val="both"/>
              <w:rPr>
                <w:rFonts w:cs="Arial"/>
                <w:szCs w:val="20"/>
              </w:rPr>
            </w:pPr>
            <w:r w:rsidRPr="00F75306">
              <w:rPr>
                <w:rFonts w:cs="Arial"/>
                <w:szCs w:val="20"/>
              </w:rPr>
              <w:t xml:space="preserve">continued information on administrative capacity certification, and guidance concerning the plans (i) for energy efficiency of buildings (SEAK) and (ii) for Greenhouse gas emissions reduction (DHSME), and seismic inspection reports. </w:t>
            </w:r>
          </w:p>
          <w:p w14:paraId="57DC63FA" w14:textId="77777777" w:rsidR="00F75306" w:rsidRPr="00F75306" w:rsidRDefault="00F75306" w:rsidP="00F75306">
            <w:pPr>
              <w:jc w:val="both"/>
              <w:rPr>
                <w:rFonts w:cs="Arial"/>
                <w:szCs w:val="20"/>
              </w:rPr>
            </w:pPr>
            <w:r w:rsidRPr="00F75306">
              <w:rPr>
                <w:rFonts w:cs="Arial"/>
                <w:szCs w:val="20"/>
              </w:rPr>
              <w:t>Importantly, some tasks, pointed out by the municipalities, such as executing certain preparatory processes fully on behalf of municipalities as mentioned above, are not foreseen during the pilot phase of the OSS, although they may be explored in the future. This distinction is valuable because it keeps the proposed service model realistic while still signalling ambition for future scaling.</w:t>
            </w:r>
          </w:p>
          <w:p w14:paraId="3CF4597E" w14:textId="77777777" w:rsidR="00F75306" w:rsidRPr="00F75306" w:rsidRDefault="00F75306" w:rsidP="00F75306">
            <w:pPr>
              <w:jc w:val="both"/>
              <w:rPr>
                <w:rFonts w:cs="Arial"/>
                <w:szCs w:val="20"/>
              </w:rPr>
            </w:pPr>
            <w:r w:rsidRPr="00F75306">
              <w:rPr>
                <w:rFonts w:cs="Arial"/>
                <w:szCs w:val="20"/>
              </w:rPr>
              <w:t xml:space="preserve">Overall, D3.1 provides a robust and well-substantiated basis for the design of the RenoInGR OSS. It demonstrates that the project has moved beyond a conceptual understanding of municipal renovation barriers and has developed a stakeholder-informed service architecture grounded in the actual conditions of Greek local authorities and the expectations of the relevant market actors. </w:t>
            </w:r>
          </w:p>
          <w:p w14:paraId="051A114A" w14:textId="77777777" w:rsidR="00F75306" w:rsidRPr="00F75306" w:rsidRDefault="00F75306" w:rsidP="00F75306">
            <w:pPr>
              <w:jc w:val="both"/>
              <w:rPr>
                <w:rFonts w:cs="Arial"/>
                <w:szCs w:val="20"/>
              </w:rPr>
            </w:pPr>
            <w:r w:rsidRPr="00F75306">
              <w:rPr>
                <w:rFonts w:cs="Arial"/>
                <w:szCs w:val="20"/>
              </w:rPr>
              <w:t xml:space="preserve">The work performed shows that the main barriers to municipal renovation are not only financial, but also institutional, procedural, technical, and informational. It also shows that there is strong demand for a centralised, technically competent, administratively efficient, and continuously accessible support mechanism. </w:t>
            </w:r>
          </w:p>
          <w:p w14:paraId="5416078B" w14:textId="77777777" w:rsidR="00F75306" w:rsidRPr="00F75306" w:rsidRDefault="00F75306" w:rsidP="00F75306">
            <w:pPr>
              <w:jc w:val="both"/>
              <w:rPr>
                <w:rFonts w:cs="Arial"/>
                <w:szCs w:val="20"/>
              </w:rPr>
            </w:pPr>
            <w:r w:rsidRPr="00F75306">
              <w:rPr>
                <w:rFonts w:cs="Arial"/>
                <w:szCs w:val="20"/>
              </w:rPr>
              <w:t xml:space="preserve">At the same time, the market consultation confirms that the proposed use of bundling and blended financing is realistic and attractive, provided that risk allocation, tendering, payment security, and data quality are properly addressed. </w:t>
            </w:r>
          </w:p>
          <w:p w14:paraId="6C2C3A28" w14:textId="77777777" w:rsidR="00F75306" w:rsidRPr="00F75306" w:rsidRDefault="00F75306" w:rsidP="00F75306">
            <w:pPr>
              <w:pBdr>
                <w:top w:val="single" w:sz="4" w:space="1" w:color="FFC000"/>
                <w:bottom w:val="single" w:sz="4" w:space="1" w:color="FFC000"/>
              </w:pBdr>
              <w:shd w:val="clear" w:color="auto" w:fill="F2F2F2" w:themeFill="background1" w:themeFillShade="F2"/>
              <w:jc w:val="both"/>
              <w:rPr>
                <w:rFonts w:cs="Arial"/>
                <w:szCs w:val="20"/>
              </w:rPr>
            </w:pPr>
            <w:r w:rsidRPr="00F75306">
              <w:rPr>
                <w:rFonts w:cs="Arial"/>
                <w:szCs w:val="20"/>
              </w:rPr>
              <w:lastRenderedPageBreak/>
              <w:t>Overall, the project not only implemented stakeholder engagement activities; it generated practical design parameters for the future operation and services of the OSS and provided clear guidance for the next phases of the RenoInGR project.</w:t>
            </w:r>
          </w:p>
          <w:p w14:paraId="052FC797" w14:textId="450729CB" w:rsidR="000D3F05" w:rsidRPr="00F75306" w:rsidRDefault="000D3F05" w:rsidP="00980F10">
            <w:pPr>
              <w:spacing w:before="120" w:after="120"/>
              <w:jc w:val="both"/>
              <w:rPr>
                <w:rFonts w:eastAsia="Times New Roman" w:cs="Arial"/>
                <w:b/>
                <w:bCs/>
                <w:color w:val="C0504D" w:themeColor="accent2"/>
                <w:szCs w:val="20"/>
              </w:rPr>
            </w:pPr>
            <w:r w:rsidRPr="00F75306">
              <w:rPr>
                <w:rFonts w:eastAsia="Times New Roman" w:cs="Arial"/>
                <w:b/>
                <w:bCs/>
                <w:color w:val="C0504D" w:themeColor="accent2"/>
                <w:szCs w:val="20"/>
              </w:rPr>
              <w:t>T3.2 [Development of integrated services and support material] ([Implemented])</w:t>
            </w:r>
          </w:p>
          <w:p w14:paraId="2B393129" w14:textId="77777777" w:rsidR="00F75306" w:rsidRPr="00F75306" w:rsidRDefault="00F75306" w:rsidP="00F75306">
            <w:pPr>
              <w:pStyle w:val="Heading5"/>
              <w:rPr>
                <w:sz w:val="20"/>
                <w:szCs w:val="20"/>
              </w:rPr>
            </w:pPr>
            <w:r w:rsidRPr="00F75306">
              <w:rPr>
                <w:sz w:val="20"/>
                <w:szCs w:val="20"/>
              </w:rPr>
              <w:t>Overview</w:t>
            </w:r>
          </w:p>
          <w:p w14:paraId="4C1FB0FC" w14:textId="77777777" w:rsidR="00F75306" w:rsidRPr="00F75306" w:rsidRDefault="00F75306" w:rsidP="00F75306">
            <w:pPr>
              <w:rPr>
                <w:szCs w:val="20"/>
              </w:rPr>
            </w:pPr>
            <w:r w:rsidRPr="00F75306">
              <w:rPr>
                <w:szCs w:val="20"/>
              </w:rPr>
              <w:t xml:space="preserve">Task 3.2 aims to fully define and standardise the OSS services covering all stages of project development. </w:t>
            </w:r>
          </w:p>
          <w:p w14:paraId="76D58B23" w14:textId="77777777" w:rsidR="00F75306" w:rsidRPr="00F75306" w:rsidRDefault="00F75306" w:rsidP="00F75306">
            <w:pPr>
              <w:rPr>
                <w:szCs w:val="20"/>
              </w:rPr>
            </w:pPr>
            <w:r w:rsidRPr="00F75306">
              <w:rPr>
                <w:szCs w:val="20"/>
              </w:rPr>
              <w:t>In line with the GA, the task begins with an update of the state of the art, including a closer review of selected projects, renovation solutions, and financing schemes.</w:t>
            </w:r>
          </w:p>
          <w:p w14:paraId="7947A483" w14:textId="77777777" w:rsidR="00F75306" w:rsidRPr="00F75306" w:rsidRDefault="00F75306" w:rsidP="00F75306">
            <w:pPr>
              <w:rPr>
                <w:szCs w:val="20"/>
              </w:rPr>
            </w:pPr>
            <w:r w:rsidRPr="00F75306">
              <w:rPr>
                <w:szCs w:val="20"/>
              </w:rPr>
              <w:t>The findings from this review and from the co-creation dialogues from Task 3.1 were used to refine the services to fully meet the Greek municipal needs and conditions. As part of the services, the project also investigated how buildings can be bundled, especially considering the challenges of island dispersion.</w:t>
            </w:r>
          </w:p>
          <w:p w14:paraId="4C7F3DE2" w14:textId="77777777" w:rsidR="00F75306" w:rsidRPr="00F75306" w:rsidRDefault="00F75306" w:rsidP="00F75306">
            <w:pPr>
              <w:rPr>
                <w:szCs w:val="20"/>
              </w:rPr>
            </w:pPr>
            <w:r w:rsidRPr="00F75306">
              <w:rPr>
                <w:szCs w:val="20"/>
              </w:rPr>
              <w:t>Materials for standardising the services such as standardised service descriptions, templates of contracts between the OSS and municipalities, criteria for building selection, and procedures to ensure quality control and effectiveness of the services provided were developed.</w:t>
            </w:r>
          </w:p>
          <w:p w14:paraId="4875F087" w14:textId="77777777" w:rsidR="00F75306" w:rsidRPr="00F75306" w:rsidRDefault="00F75306" w:rsidP="00F75306">
            <w:pPr>
              <w:rPr>
                <w:szCs w:val="20"/>
              </w:rPr>
            </w:pPr>
            <w:r w:rsidRPr="00F75306">
              <w:rPr>
                <w:szCs w:val="20"/>
              </w:rPr>
              <w:t>Standard tender/contract templates were prepared for the (i) renovation design including audits, and (ii) procurement of works, supply and services to include clean energy targets, low embodied carbon materials, and green procurement criteria.</w:t>
            </w:r>
          </w:p>
          <w:p w14:paraId="6F993452" w14:textId="77777777" w:rsidR="00F75306" w:rsidRPr="00F75306" w:rsidRDefault="00F75306" w:rsidP="00F75306">
            <w:pPr>
              <w:rPr>
                <w:szCs w:val="20"/>
              </w:rPr>
            </w:pPr>
            <w:r w:rsidRPr="00F75306">
              <w:rPr>
                <w:szCs w:val="20"/>
              </w:rPr>
              <w:t>Finally, among the OSS services are financing applications, procurement preparation, and post-renovation guidance to reduce rebound effects through a dedicated “User’s impact module.”</w:t>
            </w:r>
          </w:p>
          <w:p w14:paraId="6379205A" w14:textId="77777777" w:rsidR="00F75306" w:rsidRPr="00F75306" w:rsidRDefault="00F75306" w:rsidP="00F75306">
            <w:pPr>
              <w:pStyle w:val="Heading5"/>
              <w:rPr>
                <w:sz w:val="20"/>
                <w:szCs w:val="20"/>
              </w:rPr>
            </w:pPr>
            <w:r w:rsidRPr="00F75306">
              <w:rPr>
                <w:sz w:val="20"/>
                <w:szCs w:val="20"/>
              </w:rPr>
              <w:t>Summary of the work carried out</w:t>
            </w:r>
          </w:p>
          <w:p w14:paraId="38DB128F" w14:textId="77777777" w:rsidR="00F75306" w:rsidRPr="00F75306" w:rsidRDefault="00F75306" w:rsidP="00F75306">
            <w:pPr>
              <w:rPr>
                <w:szCs w:val="20"/>
              </w:rPr>
            </w:pPr>
            <w:r w:rsidRPr="00F75306">
              <w:rPr>
                <w:szCs w:val="20"/>
              </w:rPr>
              <w:t>The project investigated the CORDIS database and the internet to identify completed and ongoing projects relevant to OSS services.  Useful information, however, was achieved from CINEA Project Advisors.</w:t>
            </w:r>
          </w:p>
          <w:p w14:paraId="4763C713" w14:textId="77777777" w:rsidR="00F75306" w:rsidRPr="00F75306" w:rsidRDefault="00F75306" w:rsidP="00F75306">
            <w:pPr>
              <w:rPr>
                <w:szCs w:val="20"/>
              </w:rPr>
            </w:pPr>
            <w:r w:rsidRPr="00F75306">
              <w:rPr>
                <w:szCs w:val="20"/>
              </w:rPr>
              <w:t>Whilst over 15 recent projects have been identified, the core investigation in this Task focused on six (6) projects, which were selected for a more in-depth investigation.  They are all ongoing projects.  RenoInGR is cooperating with these projects through networking activities.  Key features of the projects are reported in the following table.</w:t>
            </w:r>
          </w:p>
          <w:p w14:paraId="59D8F68C" w14:textId="77777777" w:rsidR="00F75306" w:rsidRPr="00F75306" w:rsidRDefault="00F75306" w:rsidP="00F75306">
            <w:pPr>
              <w:rPr>
                <w:szCs w:val="20"/>
              </w:rPr>
            </w:pPr>
            <w:r w:rsidRPr="00F75306">
              <w:rPr>
                <w:szCs w:val="20"/>
              </w:rPr>
              <w:t>Table 3.2</w:t>
            </w:r>
          </w:p>
          <w:tbl>
            <w:tblPr>
              <w:tblStyle w:val="TableGrid"/>
              <w:tblW w:w="0" w:type="auto"/>
              <w:tblBorders>
                <w:top w:val="single" w:sz="4" w:space="0" w:color="FFC000"/>
                <w:left w:val="single" w:sz="4" w:space="0" w:color="FFC000"/>
                <w:bottom w:val="single" w:sz="4" w:space="0" w:color="FFC000"/>
                <w:right w:val="single" w:sz="4" w:space="0" w:color="FFC000"/>
                <w:insideH w:val="single" w:sz="4" w:space="0" w:color="FFC000"/>
                <w:insideV w:val="none" w:sz="0" w:space="0" w:color="auto"/>
              </w:tblBorders>
              <w:tblLook w:val="04A0" w:firstRow="1" w:lastRow="0" w:firstColumn="1" w:lastColumn="0" w:noHBand="0" w:noVBand="1"/>
            </w:tblPr>
            <w:tblGrid>
              <w:gridCol w:w="607"/>
              <w:gridCol w:w="1359"/>
              <w:gridCol w:w="2051"/>
              <w:gridCol w:w="4881"/>
            </w:tblGrid>
            <w:tr w:rsidR="00F75306" w:rsidRPr="00F75306" w14:paraId="62A7B8C6" w14:textId="77777777" w:rsidTr="00F75306">
              <w:tc>
                <w:tcPr>
                  <w:tcW w:w="612" w:type="dxa"/>
                  <w:shd w:val="clear" w:color="auto" w:fill="F2F2F2" w:themeFill="background1" w:themeFillShade="F2"/>
                </w:tcPr>
                <w:p w14:paraId="7377401C" w14:textId="77777777" w:rsidR="00F75306" w:rsidRPr="00F75306" w:rsidRDefault="00F75306" w:rsidP="00F75306">
                  <w:pPr>
                    <w:spacing w:line="276" w:lineRule="auto"/>
                    <w:jc w:val="center"/>
                    <w:rPr>
                      <w:b/>
                      <w:bCs/>
                      <w:szCs w:val="20"/>
                    </w:rPr>
                  </w:pPr>
                  <w:r w:rsidRPr="00F75306">
                    <w:rPr>
                      <w:b/>
                      <w:bCs/>
                      <w:szCs w:val="20"/>
                    </w:rPr>
                    <w:t>No</w:t>
                  </w:r>
                </w:p>
              </w:tc>
              <w:tc>
                <w:tcPr>
                  <w:tcW w:w="1363" w:type="dxa"/>
                  <w:shd w:val="clear" w:color="auto" w:fill="F2F2F2" w:themeFill="background1" w:themeFillShade="F2"/>
                </w:tcPr>
                <w:p w14:paraId="40E3578D" w14:textId="77777777" w:rsidR="00F75306" w:rsidRPr="00F75306" w:rsidRDefault="00F75306" w:rsidP="00F75306">
                  <w:pPr>
                    <w:spacing w:line="276" w:lineRule="auto"/>
                    <w:jc w:val="center"/>
                    <w:rPr>
                      <w:b/>
                      <w:bCs/>
                      <w:szCs w:val="20"/>
                    </w:rPr>
                  </w:pPr>
                  <w:r w:rsidRPr="00F75306">
                    <w:rPr>
                      <w:b/>
                      <w:bCs/>
                      <w:szCs w:val="20"/>
                    </w:rPr>
                    <w:t>Project title</w:t>
                  </w:r>
                </w:p>
              </w:tc>
              <w:tc>
                <w:tcPr>
                  <w:tcW w:w="2070" w:type="dxa"/>
                  <w:shd w:val="clear" w:color="auto" w:fill="F2F2F2" w:themeFill="background1" w:themeFillShade="F2"/>
                </w:tcPr>
                <w:p w14:paraId="6CA28CEB" w14:textId="77777777" w:rsidR="00F75306" w:rsidRPr="00F75306" w:rsidRDefault="00F75306" w:rsidP="00F75306">
                  <w:pPr>
                    <w:spacing w:line="276" w:lineRule="auto"/>
                    <w:jc w:val="center"/>
                    <w:rPr>
                      <w:b/>
                      <w:bCs/>
                      <w:szCs w:val="20"/>
                    </w:rPr>
                  </w:pPr>
                  <w:r w:rsidRPr="00F75306">
                    <w:rPr>
                      <w:b/>
                      <w:bCs/>
                      <w:szCs w:val="20"/>
                    </w:rPr>
                    <w:t>Coordinating Entity</w:t>
                  </w:r>
                </w:p>
              </w:tc>
              <w:tc>
                <w:tcPr>
                  <w:tcW w:w="4971" w:type="dxa"/>
                  <w:shd w:val="clear" w:color="auto" w:fill="F2F2F2" w:themeFill="background1" w:themeFillShade="F2"/>
                </w:tcPr>
                <w:p w14:paraId="33050543" w14:textId="77777777" w:rsidR="00F75306" w:rsidRPr="00F75306" w:rsidRDefault="00F75306" w:rsidP="00F75306">
                  <w:pPr>
                    <w:spacing w:line="276" w:lineRule="auto"/>
                    <w:jc w:val="center"/>
                    <w:rPr>
                      <w:b/>
                      <w:bCs/>
                      <w:szCs w:val="20"/>
                    </w:rPr>
                  </w:pPr>
                  <w:r w:rsidRPr="00F75306">
                    <w:rPr>
                      <w:b/>
                      <w:bCs/>
                      <w:szCs w:val="20"/>
                    </w:rPr>
                    <w:t>Short description</w:t>
                  </w:r>
                </w:p>
              </w:tc>
            </w:tr>
            <w:tr w:rsidR="00F75306" w:rsidRPr="00F75306" w14:paraId="421D041A" w14:textId="77777777" w:rsidTr="00F75306">
              <w:tc>
                <w:tcPr>
                  <w:tcW w:w="612" w:type="dxa"/>
                  <w:vAlign w:val="center"/>
                </w:tcPr>
                <w:p w14:paraId="5768712D" w14:textId="77777777" w:rsidR="00F75306" w:rsidRPr="00F75306" w:rsidRDefault="00F75306" w:rsidP="00F75306">
                  <w:pPr>
                    <w:rPr>
                      <w:szCs w:val="20"/>
                    </w:rPr>
                  </w:pPr>
                  <w:r w:rsidRPr="00F75306">
                    <w:rPr>
                      <w:szCs w:val="20"/>
                    </w:rPr>
                    <w:t>1</w:t>
                  </w:r>
                </w:p>
              </w:tc>
              <w:tc>
                <w:tcPr>
                  <w:tcW w:w="1363" w:type="dxa"/>
                  <w:vAlign w:val="center"/>
                </w:tcPr>
                <w:p w14:paraId="5CCA9EBE" w14:textId="77777777" w:rsidR="00F75306" w:rsidRPr="00F75306" w:rsidRDefault="00F75306" w:rsidP="00F75306">
                  <w:pPr>
                    <w:rPr>
                      <w:szCs w:val="20"/>
                    </w:rPr>
                  </w:pPr>
                  <w:r w:rsidRPr="00F75306">
                    <w:rPr>
                      <w:szCs w:val="20"/>
                    </w:rPr>
                    <w:t>CROSSFIT</w:t>
                  </w:r>
                </w:p>
              </w:tc>
              <w:tc>
                <w:tcPr>
                  <w:tcW w:w="2070" w:type="dxa"/>
                  <w:vAlign w:val="center"/>
                </w:tcPr>
                <w:p w14:paraId="6438BF3B" w14:textId="77777777" w:rsidR="00F75306" w:rsidRPr="00F75306" w:rsidRDefault="00F75306" w:rsidP="00F75306">
                  <w:pPr>
                    <w:rPr>
                      <w:szCs w:val="20"/>
                    </w:rPr>
                  </w:pPr>
                  <w:r w:rsidRPr="00F75306">
                    <w:rPr>
                      <w:szCs w:val="20"/>
                    </w:rPr>
                    <w:t>Joule Assets / SCN (B, PT, GR)</w:t>
                  </w:r>
                </w:p>
              </w:tc>
              <w:tc>
                <w:tcPr>
                  <w:tcW w:w="4971" w:type="dxa"/>
                  <w:vAlign w:val="center"/>
                </w:tcPr>
                <w:p w14:paraId="700D1CF6" w14:textId="77777777" w:rsidR="00F75306" w:rsidRPr="00F75306" w:rsidRDefault="00F75306" w:rsidP="00F75306">
                  <w:pPr>
                    <w:rPr>
                      <w:szCs w:val="20"/>
                    </w:rPr>
                  </w:pPr>
                  <w:r w:rsidRPr="00F75306">
                    <w:rPr>
                      <w:szCs w:val="20"/>
                    </w:rPr>
                    <w:t xml:space="preserve">A financially oriented OSS model focused on benchmarking, project aggregation, procurement simplification and centralised tendering, financial engineering and private capital mobilisation. The services are adapted to the legal frameworks of the </w:t>
                  </w:r>
                  <w:r w:rsidRPr="00F75306">
                    <w:rPr>
                      <w:szCs w:val="20"/>
                    </w:rPr>
                    <w:lastRenderedPageBreak/>
                    <w:t>countries involved. It is a replicated scheme of the Belgian model, VEB</w:t>
                  </w:r>
                </w:p>
              </w:tc>
            </w:tr>
            <w:tr w:rsidR="00F75306" w:rsidRPr="00F75306" w14:paraId="3D2677AB" w14:textId="77777777" w:rsidTr="00F75306">
              <w:tc>
                <w:tcPr>
                  <w:tcW w:w="612" w:type="dxa"/>
                  <w:shd w:val="clear" w:color="auto" w:fill="F2F2F2" w:themeFill="background1" w:themeFillShade="F2"/>
                  <w:vAlign w:val="center"/>
                </w:tcPr>
                <w:p w14:paraId="6E33214D" w14:textId="77777777" w:rsidR="00F75306" w:rsidRPr="00F75306" w:rsidRDefault="00F75306" w:rsidP="00F75306">
                  <w:pPr>
                    <w:rPr>
                      <w:szCs w:val="20"/>
                    </w:rPr>
                  </w:pPr>
                  <w:r w:rsidRPr="00F75306">
                    <w:rPr>
                      <w:szCs w:val="20"/>
                    </w:rPr>
                    <w:lastRenderedPageBreak/>
                    <w:t>2</w:t>
                  </w:r>
                </w:p>
              </w:tc>
              <w:tc>
                <w:tcPr>
                  <w:tcW w:w="1363" w:type="dxa"/>
                  <w:shd w:val="clear" w:color="auto" w:fill="F2F2F2" w:themeFill="background1" w:themeFillShade="F2"/>
                  <w:vAlign w:val="center"/>
                </w:tcPr>
                <w:p w14:paraId="3A91683B" w14:textId="77777777" w:rsidR="00F75306" w:rsidRPr="00F75306" w:rsidRDefault="00F75306" w:rsidP="00F75306">
                  <w:pPr>
                    <w:rPr>
                      <w:szCs w:val="20"/>
                    </w:rPr>
                  </w:pPr>
                  <w:r w:rsidRPr="00F75306">
                    <w:rPr>
                      <w:szCs w:val="20"/>
                    </w:rPr>
                    <w:t>GASLESS</w:t>
                  </w:r>
                </w:p>
              </w:tc>
              <w:tc>
                <w:tcPr>
                  <w:tcW w:w="2070" w:type="dxa"/>
                  <w:shd w:val="clear" w:color="auto" w:fill="F2F2F2" w:themeFill="background1" w:themeFillShade="F2"/>
                  <w:vAlign w:val="center"/>
                </w:tcPr>
                <w:p w14:paraId="77587094" w14:textId="77777777" w:rsidR="00F75306" w:rsidRPr="00F75306" w:rsidRDefault="00F75306" w:rsidP="00F75306">
                  <w:pPr>
                    <w:rPr>
                      <w:szCs w:val="20"/>
                    </w:rPr>
                  </w:pPr>
                  <w:r w:rsidRPr="00F75306">
                    <w:rPr>
                      <w:szCs w:val="20"/>
                    </w:rPr>
                    <w:t>Piedmont Region (IT)</w:t>
                  </w:r>
                </w:p>
              </w:tc>
              <w:tc>
                <w:tcPr>
                  <w:tcW w:w="4971" w:type="dxa"/>
                  <w:shd w:val="clear" w:color="auto" w:fill="F2F2F2" w:themeFill="background1" w:themeFillShade="F2"/>
                  <w:vAlign w:val="center"/>
                </w:tcPr>
                <w:p w14:paraId="16E3D31B" w14:textId="77777777" w:rsidR="00F75306" w:rsidRPr="00F75306" w:rsidRDefault="00F75306" w:rsidP="00F75306">
                  <w:pPr>
                    <w:rPr>
                      <w:szCs w:val="20"/>
                    </w:rPr>
                  </w:pPr>
                  <w:r w:rsidRPr="00F75306">
                    <w:rPr>
                      <w:szCs w:val="20"/>
                    </w:rPr>
                    <w:t>A regionally coordinated public-sector OSS offering services for public buildings including municipal ones: technical assistance on EnPC / ESCO structuring, tender documentation, M&amp;V (measurement and verification) protocols, regional coordination and financial support pathways. It is hosted by the coordinating Entity.</w:t>
                  </w:r>
                </w:p>
              </w:tc>
            </w:tr>
            <w:tr w:rsidR="00F75306" w:rsidRPr="00F75306" w14:paraId="5850E4E1" w14:textId="77777777" w:rsidTr="00F75306">
              <w:tc>
                <w:tcPr>
                  <w:tcW w:w="612" w:type="dxa"/>
                  <w:vAlign w:val="center"/>
                </w:tcPr>
                <w:p w14:paraId="07C9B231" w14:textId="77777777" w:rsidR="00F75306" w:rsidRPr="00F75306" w:rsidRDefault="00F75306" w:rsidP="00F75306">
                  <w:pPr>
                    <w:rPr>
                      <w:szCs w:val="20"/>
                    </w:rPr>
                  </w:pPr>
                  <w:r w:rsidRPr="00F75306">
                    <w:rPr>
                      <w:szCs w:val="20"/>
                    </w:rPr>
                    <w:t>3</w:t>
                  </w:r>
                </w:p>
              </w:tc>
              <w:tc>
                <w:tcPr>
                  <w:tcW w:w="1363" w:type="dxa"/>
                  <w:vAlign w:val="center"/>
                </w:tcPr>
                <w:p w14:paraId="5FC5B7D3" w14:textId="77777777" w:rsidR="00F75306" w:rsidRPr="00F75306" w:rsidRDefault="00F75306" w:rsidP="00F75306">
                  <w:pPr>
                    <w:rPr>
                      <w:szCs w:val="20"/>
                    </w:rPr>
                  </w:pPr>
                  <w:r w:rsidRPr="00F75306">
                    <w:rPr>
                      <w:szCs w:val="20"/>
                    </w:rPr>
                    <w:t>CROSS</w:t>
                  </w:r>
                </w:p>
              </w:tc>
              <w:tc>
                <w:tcPr>
                  <w:tcW w:w="2070" w:type="dxa"/>
                  <w:vAlign w:val="center"/>
                </w:tcPr>
                <w:p w14:paraId="3F29F211" w14:textId="77777777" w:rsidR="00F75306" w:rsidRPr="00F75306" w:rsidRDefault="00F75306" w:rsidP="00F75306">
                  <w:pPr>
                    <w:rPr>
                      <w:szCs w:val="20"/>
                    </w:rPr>
                  </w:pPr>
                  <w:r w:rsidRPr="00F75306">
                    <w:rPr>
                      <w:szCs w:val="20"/>
                    </w:rPr>
                    <w:t>REGEA (HR)</w:t>
                  </w:r>
                </w:p>
              </w:tc>
              <w:tc>
                <w:tcPr>
                  <w:tcW w:w="4971" w:type="dxa"/>
                  <w:vAlign w:val="center"/>
                </w:tcPr>
                <w:p w14:paraId="47385CE7" w14:textId="77777777" w:rsidR="00F75306" w:rsidRPr="00F75306" w:rsidRDefault="00F75306" w:rsidP="00F75306">
                  <w:pPr>
                    <w:rPr>
                      <w:szCs w:val="20"/>
                    </w:rPr>
                  </w:pPr>
                  <w:r w:rsidRPr="00F75306">
                    <w:rPr>
                      <w:szCs w:val="20"/>
                    </w:rPr>
                    <w:t>A regional energy agency model providing direct technical support, audits, feasibility, financial models and funding support, legal advice, procurement, QA, feasibility studies and close cooperation with municipalities. Regional agency proximity model.  Hosted by the coordinating Entity</w:t>
                  </w:r>
                </w:p>
              </w:tc>
            </w:tr>
            <w:tr w:rsidR="00F75306" w:rsidRPr="00F75306" w14:paraId="555B3334" w14:textId="77777777" w:rsidTr="00F75306">
              <w:tc>
                <w:tcPr>
                  <w:tcW w:w="612" w:type="dxa"/>
                  <w:shd w:val="clear" w:color="auto" w:fill="F2F2F2" w:themeFill="background1" w:themeFillShade="F2"/>
                  <w:vAlign w:val="center"/>
                </w:tcPr>
                <w:p w14:paraId="32697936" w14:textId="77777777" w:rsidR="00F75306" w:rsidRPr="00F75306" w:rsidRDefault="00F75306" w:rsidP="00F75306">
                  <w:pPr>
                    <w:rPr>
                      <w:szCs w:val="20"/>
                    </w:rPr>
                  </w:pPr>
                  <w:r w:rsidRPr="00F75306">
                    <w:rPr>
                      <w:szCs w:val="20"/>
                    </w:rPr>
                    <w:t>4</w:t>
                  </w:r>
                </w:p>
              </w:tc>
              <w:tc>
                <w:tcPr>
                  <w:tcW w:w="1363" w:type="dxa"/>
                  <w:shd w:val="clear" w:color="auto" w:fill="F2F2F2" w:themeFill="background1" w:themeFillShade="F2"/>
                  <w:vAlign w:val="center"/>
                </w:tcPr>
                <w:p w14:paraId="135BCE8F" w14:textId="77777777" w:rsidR="00F75306" w:rsidRPr="00F75306" w:rsidRDefault="00F75306" w:rsidP="00F75306">
                  <w:pPr>
                    <w:rPr>
                      <w:szCs w:val="20"/>
                    </w:rPr>
                  </w:pPr>
                  <w:r w:rsidRPr="00F75306">
                    <w:rPr>
                      <w:szCs w:val="20"/>
                    </w:rPr>
                    <w:t>BAOBAP</w:t>
                  </w:r>
                </w:p>
              </w:tc>
              <w:tc>
                <w:tcPr>
                  <w:tcW w:w="2070" w:type="dxa"/>
                  <w:shd w:val="clear" w:color="auto" w:fill="F2F2F2" w:themeFill="background1" w:themeFillShade="F2"/>
                  <w:vAlign w:val="center"/>
                </w:tcPr>
                <w:p w14:paraId="440FF16E" w14:textId="77777777" w:rsidR="00F75306" w:rsidRPr="00F75306" w:rsidRDefault="00F75306" w:rsidP="00F75306">
                  <w:pPr>
                    <w:rPr>
                      <w:szCs w:val="20"/>
                    </w:rPr>
                  </w:pPr>
                  <w:r w:rsidRPr="00F75306">
                    <w:rPr>
                      <w:szCs w:val="20"/>
                    </w:rPr>
                    <w:t>ADEME (FR)</w:t>
                  </w:r>
                </w:p>
              </w:tc>
              <w:tc>
                <w:tcPr>
                  <w:tcW w:w="4971" w:type="dxa"/>
                  <w:shd w:val="clear" w:color="auto" w:fill="F2F2F2" w:themeFill="background1" w:themeFillShade="F2"/>
                  <w:vAlign w:val="center"/>
                </w:tcPr>
                <w:p w14:paraId="32ADEC9E" w14:textId="77777777" w:rsidR="00F75306" w:rsidRPr="00F75306" w:rsidRDefault="00F75306" w:rsidP="00F75306">
                  <w:pPr>
                    <w:rPr>
                      <w:szCs w:val="20"/>
                    </w:rPr>
                  </w:pPr>
                  <w:r w:rsidRPr="00F75306">
                    <w:rPr>
                      <w:szCs w:val="20"/>
                    </w:rPr>
                    <w:t>A modular and pathway-based OSS service architecture focused on modular services, standardisation, and replicability. It provides regional support units, toolbox/methodology, personalised support, help with financing options, replication to other regions</w:t>
                  </w:r>
                </w:p>
              </w:tc>
            </w:tr>
            <w:tr w:rsidR="00F75306" w:rsidRPr="00F75306" w14:paraId="13341281" w14:textId="77777777" w:rsidTr="00F75306">
              <w:tc>
                <w:tcPr>
                  <w:tcW w:w="612" w:type="dxa"/>
                  <w:vAlign w:val="center"/>
                </w:tcPr>
                <w:p w14:paraId="26C82882" w14:textId="77777777" w:rsidR="00F75306" w:rsidRPr="00F75306" w:rsidRDefault="00F75306" w:rsidP="00F75306">
                  <w:pPr>
                    <w:rPr>
                      <w:szCs w:val="20"/>
                    </w:rPr>
                  </w:pPr>
                  <w:r w:rsidRPr="00F75306">
                    <w:rPr>
                      <w:szCs w:val="20"/>
                    </w:rPr>
                    <w:t>5</w:t>
                  </w:r>
                </w:p>
              </w:tc>
              <w:tc>
                <w:tcPr>
                  <w:tcW w:w="1363" w:type="dxa"/>
                  <w:vAlign w:val="center"/>
                </w:tcPr>
                <w:p w14:paraId="67C6DC2A" w14:textId="77777777" w:rsidR="00F75306" w:rsidRPr="00F75306" w:rsidRDefault="00F75306" w:rsidP="00F75306">
                  <w:pPr>
                    <w:rPr>
                      <w:szCs w:val="20"/>
                    </w:rPr>
                  </w:pPr>
                  <w:r w:rsidRPr="00F75306">
                    <w:rPr>
                      <w:szCs w:val="20"/>
                    </w:rPr>
                    <w:t>JINAG / EnU</w:t>
                  </w:r>
                </w:p>
              </w:tc>
              <w:tc>
                <w:tcPr>
                  <w:tcW w:w="2070" w:type="dxa"/>
                  <w:vAlign w:val="center"/>
                </w:tcPr>
                <w:p w14:paraId="52F92866" w14:textId="77777777" w:rsidR="00F75306" w:rsidRPr="00F75306" w:rsidRDefault="00F75306" w:rsidP="00F75306">
                  <w:pPr>
                    <w:rPr>
                      <w:szCs w:val="20"/>
                    </w:rPr>
                  </w:pPr>
                  <w:r w:rsidRPr="00F75306">
                    <w:rPr>
                      <w:szCs w:val="20"/>
                    </w:rPr>
                    <w:t>South Moravian Agency (CZ)</w:t>
                  </w:r>
                </w:p>
              </w:tc>
              <w:tc>
                <w:tcPr>
                  <w:tcW w:w="4971" w:type="dxa"/>
                  <w:vAlign w:val="center"/>
                </w:tcPr>
                <w:p w14:paraId="3B8FB589" w14:textId="77777777" w:rsidR="00F75306" w:rsidRPr="00F75306" w:rsidRDefault="00F75306" w:rsidP="00F75306">
                  <w:pPr>
                    <w:rPr>
                      <w:szCs w:val="20"/>
                    </w:rPr>
                  </w:pPr>
                  <w:r w:rsidRPr="00F75306">
                    <w:rPr>
                      <w:szCs w:val="20"/>
                    </w:rPr>
                    <w:t>A model for small municipalities with limited technical capacity, offering coaching, mentoring, and funding support, savings analysis, grant/legal consultations, technical design, financing options, payback, tender/legal setup, training, supervision. Hosted by the coordinating Entity</w:t>
                  </w:r>
                </w:p>
              </w:tc>
            </w:tr>
            <w:tr w:rsidR="00F75306" w:rsidRPr="00F75306" w14:paraId="42305E8B" w14:textId="77777777" w:rsidTr="00F75306">
              <w:tc>
                <w:tcPr>
                  <w:tcW w:w="612" w:type="dxa"/>
                  <w:shd w:val="clear" w:color="auto" w:fill="F2F2F2" w:themeFill="background1" w:themeFillShade="F2"/>
                  <w:vAlign w:val="center"/>
                </w:tcPr>
                <w:p w14:paraId="4FB68826" w14:textId="77777777" w:rsidR="00F75306" w:rsidRPr="00F75306" w:rsidRDefault="00F75306" w:rsidP="00F75306">
                  <w:pPr>
                    <w:rPr>
                      <w:szCs w:val="20"/>
                    </w:rPr>
                  </w:pPr>
                  <w:r w:rsidRPr="00F75306">
                    <w:rPr>
                      <w:szCs w:val="20"/>
                    </w:rPr>
                    <w:t>6</w:t>
                  </w:r>
                </w:p>
              </w:tc>
              <w:tc>
                <w:tcPr>
                  <w:tcW w:w="1363" w:type="dxa"/>
                  <w:shd w:val="clear" w:color="auto" w:fill="F2F2F2" w:themeFill="background1" w:themeFillShade="F2"/>
                  <w:vAlign w:val="center"/>
                </w:tcPr>
                <w:p w14:paraId="2891F6DE" w14:textId="77777777" w:rsidR="00F75306" w:rsidRPr="00F75306" w:rsidRDefault="00F75306" w:rsidP="00F75306">
                  <w:pPr>
                    <w:rPr>
                      <w:szCs w:val="20"/>
                    </w:rPr>
                  </w:pPr>
                  <w:r w:rsidRPr="00F75306">
                    <w:rPr>
                      <w:szCs w:val="20"/>
                    </w:rPr>
                    <w:t>TRESS</w:t>
                  </w:r>
                </w:p>
              </w:tc>
              <w:tc>
                <w:tcPr>
                  <w:tcW w:w="2070" w:type="dxa"/>
                  <w:shd w:val="clear" w:color="auto" w:fill="F2F2F2" w:themeFill="background1" w:themeFillShade="F2"/>
                  <w:vAlign w:val="center"/>
                </w:tcPr>
                <w:p w14:paraId="02B86D0E" w14:textId="77777777" w:rsidR="00F75306" w:rsidRPr="00F75306" w:rsidRDefault="00F75306" w:rsidP="00F75306">
                  <w:pPr>
                    <w:rPr>
                      <w:szCs w:val="20"/>
                    </w:rPr>
                  </w:pPr>
                  <w:r w:rsidRPr="00F75306">
                    <w:rPr>
                      <w:szCs w:val="20"/>
                    </w:rPr>
                    <w:t>Tipperary Energy Agency (IR)</w:t>
                  </w:r>
                </w:p>
              </w:tc>
              <w:tc>
                <w:tcPr>
                  <w:tcW w:w="4971" w:type="dxa"/>
                  <w:shd w:val="clear" w:color="auto" w:fill="F2F2F2" w:themeFill="background1" w:themeFillShade="F2"/>
                  <w:vAlign w:val="center"/>
                </w:tcPr>
                <w:p w14:paraId="783C73B8" w14:textId="77777777" w:rsidR="00F75306" w:rsidRPr="00F75306" w:rsidRDefault="00F75306" w:rsidP="00F75306">
                  <w:pPr>
                    <w:rPr>
                      <w:szCs w:val="20"/>
                    </w:rPr>
                  </w:pPr>
                  <w:r w:rsidRPr="00F75306">
                    <w:rPr>
                      <w:szCs w:val="20"/>
                    </w:rPr>
                    <w:t>A trusted local intermediary, focused on practical implementation support offering bundling, market facilitation, regional facilitation, collaboration, financing solutions, EnPC/ESCO, prioritisation, investment-grade audits, procurement strategy, guidelines, capacity building. Hosted by the coordinating Entity</w:t>
                  </w:r>
                </w:p>
              </w:tc>
            </w:tr>
            <w:tr w:rsidR="00F75306" w:rsidRPr="00F75306" w14:paraId="514216C8" w14:textId="77777777" w:rsidTr="00F75306">
              <w:tc>
                <w:tcPr>
                  <w:tcW w:w="612" w:type="dxa"/>
                  <w:vAlign w:val="center"/>
                </w:tcPr>
                <w:p w14:paraId="54A7DF46" w14:textId="77777777" w:rsidR="00F75306" w:rsidRPr="00F75306" w:rsidRDefault="00F75306" w:rsidP="00F75306">
                  <w:pPr>
                    <w:rPr>
                      <w:szCs w:val="20"/>
                    </w:rPr>
                  </w:pPr>
                  <w:r w:rsidRPr="00F75306">
                    <w:rPr>
                      <w:szCs w:val="20"/>
                    </w:rPr>
                    <w:t>7</w:t>
                  </w:r>
                </w:p>
              </w:tc>
              <w:tc>
                <w:tcPr>
                  <w:tcW w:w="1363" w:type="dxa"/>
                  <w:vAlign w:val="center"/>
                </w:tcPr>
                <w:p w14:paraId="472D6608" w14:textId="77777777" w:rsidR="00F75306" w:rsidRPr="00F75306" w:rsidRDefault="00F75306" w:rsidP="00F75306">
                  <w:pPr>
                    <w:rPr>
                      <w:szCs w:val="20"/>
                    </w:rPr>
                  </w:pPr>
                  <w:r w:rsidRPr="00F75306">
                    <w:rPr>
                      <w:szCs w:val="20"/>
                    </w:rPr>
                    <w:t>FEPC</w:t>
                  </w:r>
                </w:p>
              </w:tc>
              <w:tc>
                <w:tcPr>
                  <w:tcW w:w="2070" w:type="dxa"/>
                  <w:vAlign w:val="center"/>
                </w:tcPr>
                <w:p w14:paraId="33B0266F" w14:textId="77777777" w:rsidR="00F75306" w:rsidRPr="00F75306" w:rsidRDefault="00F75306" w:rsidP="00F75306">
                  <w:pPr>
                    <w:rPr>
                      <w:szCs w:val="20"/>
                    </w:rPr>
                  </w:pPr>
                  <w:r w:rsidRPr="00F75306">
                    <w:rPr>
                      <w:szCs w:val="20"/>
                    </w:rPr>
                    <w:t>KAPE</w:t>
                  </w:r>
                </w:p>
              </w:tc>
              <w:tc>
                <w:tcPr>
                  <w:tcW w:w="4971" w:type="dxa"/>
                </w:tcPr>
                <w:p w14:paraId="07BF4EE3" w14:textId="77777777" w:rsidR="00F75306" w:rsidRPr="00F75306" w:rsidRDefault="00F75306" w:rsidP="00F75306">
                  <w:pPr>
                    <w:rPr>
                      <w:szCs w:val="20"/>
                    </w:rPr>
                  </w:pPr>
                  <w:r w:rsidRPr="00F75306">
                    <w:rPr>
                      <w:szCs w:val="20"/>
                    </w:rPr>
                    <w:t>An EnPC facilitating structure for public buildings offering support to public bodies, ministries, financial institutions, and Energy Service Companies (ESCOs) in the development and implementation of EnPC projects.  It is hosted by the coordinating entity. Hosted by the coordinating Entity</w:t>
                  </w:r>
                </w:p>
              </w:tc>
            </w:tr>
          </w:tbl>
          <w:p w14:paraId="6F70D8F6" w14:textId="77777777" w:rsidR="00F75306" w:rsidRPr="00F75306" w:rsidRDefault="00F75306" w:rsidP="00F75306">
            <w:pPr>
              <w:rPr>
                <w:szCs w:val="20"/>
              </w:rPr>
            </w:pPr>
          </w:p>
          <w:p w14:paraId="57403B32" w14:textId="77777777" w:rsidR="00F75306" w:rsidRPr="00F75306" w:rsidRDefault="00F75306" w:rsidP="00F75306">
            <w:pPr>
              <w:rPr>
                <w:szCs w:val="20"/>
              </w:rPr>
            </w:pPr>
            <w:r w:rsidRPr="00F75306">
              <w:rPr>
                <w:szCs w:val="20"/>
              </w:rPr>
              <w:t>A more detailed presentation of the investigation results is described in D 7.6, already submitted. The deliverable presents a comparison analysis based on a series of wider criteria such as (i) sustainability and post-project continuity, (ii) iinstitutional and governance insights, (iii) operational models and digital readiness.  The results of this analysis were used in the relevant tasks and workpackages.</w:t>
            </w:r>
          </w:p>
          <w:p w14:paraId="562BC14F" w14:textId="77777777" w:rsidR="00F75306" w:rsidRPr="00F75306" w:rsidRDefault="00F75306" w:rsidP="00F75306">
            <w:pPr>
              <w:rPr>
                <w:i/>
                <w:iCs/>
                <w:szCs w:val="20"/>
                <w:u w:val="single"/>
              </w:rPr>
            </w:pPr>
            <w:r w:rsidRPr="00F75306">
              <w:rPr>
                <w:i/>
                <w:iCs/>
                <w:szCs w:val="20"/>
                <w:u w:val="single"/>
              </w:rPr>
              <w:t>What are the takeaways from each project</w:t>
            </w:r>
          </w:p>
          <w:p w14:paraId="67A3CCDD" w14:textId="77777777" w:rsidR="00F75306" w:rsidRPr="00F75306" w:rsidRDefault="00F75306" w:rsidP="00F75306">
            <w:pPr>
              <w:rPr>
                <w:szCs w:val="20"/>
              </w:rPr>
            </w:pPr>
            <w:r w:rsidRPr="00F75306">
              <w:rPr>
                <w:szCs w:val="20"/>
              </w:rPr>
              <w:t xml:space="preserve">The OSS governance models of the above projects, with the exception of BAOBAP and CROSSFIT, are centralised and planned to operate under the supervision and responsibility of the coordinating entities.  BAOBAP employs a decentralised model, working with multiple regional partners to deliver </w:t>
            </w:r>
            <w:r w:rsidRPr="00F75306">
              <w:rPr>
                <w:szCs w:val="20"/>
              </w:rPr>
              <w:lastRenderedPageBreak/>
              <w:t>services across various territories. CROSSFIT, replicates a Belgian model, Vlaams Energiebedrijf's (VEB) OSS, to the participating countries and foresees a centralised governance in each country, undertaken by the local partners.</w:t>
            </w:r>
          </w:p>
          <w:p w14:paraId="11F719F9" w14:textId="77777777" w:rsidR="00F75306" w:rsidRPr="00F75306" w:rsidRDefault="00F75306" w:rsidP="00F75306">
            <w:pPr>
              <w:rPr>
                <w:szCs w:val="20"/>
              </w:rPr>
            </w:pPr>
            <w:r w:rsidRPr="00F75306">
              <w:rPr>
                <w:szCs w:val="20"/>
              </w:rPr>
              <w:t>The above projects operate at the regional level or cover multiple regions rather than at a national scale, as seen with RenoInGR. This situation presents more complex challenges, as RenoInGR must consider local conditions at the national level, particularly focusing on the needs of small islands and mountainous areas. As mentioned in Task 3.1, municipalities in these regions face urgent demands for both technical infrastructure and human and financial resources.</w:t>
            </w:r>
          </w:p>
          <w:p w14:paraId="4FAC1735" w14:textId="77777777" w:rsidR="00F75306" w:rsidRPr="00F75306" w:rsidRDefault="00F75306" w:rsidP="00F75306">
            <w:pPr>
              <w:rPr>
                <w:szCs w:val="20"/>
              </w:rPr>
            </w:pPr>
            <w:r w:rsidRPr="00F75306">
              <w:rPr>
                <w:szCs w:val="20"/>
              </w:rPr>
              <w:t xml:space="preserve">It is noted that the FEPC project also operates at a national level, but the services provided are focussed on facilitating Energy Performance Contracting. </w:t>
            </w:r>
          </w:p>
          <w:p w14:paraId="18033D79" w14:textId="77777777" w:rsidR="00F75306" w:rsidRPr="00F75306" w:rsidRDefault="00F75306" w:rsidP="00F75306">
            <w:pPr>
              <w:pStyle w:val="Heading5"/>
              <w:rPr>
                <w:sz w:val="20"/>
                <w:szCs w:val="20"/>
              </w:rPr>
            </w:pPr>
            <w:r w:rsidRPr="00F75306">
              <w:rPr>
                <w:sz w:val="20"/>
                <w:szCs w:val="20"/>
              </w:rPr>
              <w:t>The services provided by the OSS</w:t>
            </w:r>
          </w:p>
          <w:p w14:paraId="4F5A100A" w14:textId="77777777" w:rsidR="00F75306" w:rsidRPr="00F75306" w:rsidRDefault="00F75306" w:rsidP="00F75306">
            <w:pPr>
              <w:rPr>
                <w:szCs w:val="20"/>
              </w:rPr>
            </w:pPr>
            <w:r w:rsidRPr="00F75306">
              <w:rPr>
                <w:szCs w:val="20"/>
              </w:rPr>
              <w:t xml:space="preserve">Most of the above projects offer services along the whole project development process for project definition, audits, design of the interventions, technical and economic assessment, financing plan, and implementation.  An important aspect was to understand what type of services are offered per stage of project development.  </w:t>
            </w:r>
          </w:p>
          <w:p w14:paraId="4D263B9B" w14:textId="77777777" w:rsidR="00F75306" w:rsidRPr="00F75306" w:rsidRDefault="00F75306" w:rsidP="00F75306">
            <w:pPr>
              <w:rPr>
                <w:szCs w:val="20"/>
              </w:rPr>
            </w:pPr>
            <w:r w:rsidRPr="00F75306">
              <w:rPr>
                <w:szCs w:val="20"/>
              </w:rPr>
              <w:t>The following table shows the results.</w:t>
            </w:r>
          </w:p>
          <w:p w14:paraId="4EC97955" w14:textId="77777777" w:rsidR="00F75306" w:rsidRPr="00F75306" w:rsidRDefault="00F75306" w:rsidP="00F75306">
            <w:pPr>
              <w:rPr>
                <w:szCs w:val="20"/>
              </w:rPr>
            </w:pPr>
            <w:r w:rsidRPr="00F75306">
              <w:rPr>
                <w:szCs w:val="20"/>
              </w:rPr>
              <w:t>It is noted, in this task, the stages of project development (maturity process) have been slightly modified compared to the stages given in Table 3.1 to better accommodate and in greater granularity the services and support to be offered.  Figure 3.2 depicts the more detailed stages of the energy efficiency project development.  These stages are used in the following Table to report the services of the selected 7 projects.</w:t>
            </w:r>
          </w:p>
          <w:p w14:paraId="22408B6C" w14:textId="77777777" w:rsidR="00F75306" w:rsidRPr="00F75306" w:rsidRDefault="00F75306" w:rsidP="00F75306">
            <w:pPr>
              <w:spacing w:before="240"/>
              <w:rPr>
                <w:szCs w:val="20"/>
              </w:rPr>
            </w:pPr>
            <w:r w:rsidRPr="00F75306">
              <w:rPr>
                <w:szCs w:val="20"/>
              </w:rPr>
              <w:t xml:space="preserve">Table 3.3 </w:t>
            </w:r>
          </w:p>
          <w:tbl>
            <w:tblPr>
              <w:tblStyle w:val="TableGrid"/>
              <w:tblW w:w="0" w:type="auto"/>
              <w:tblBorders>
                <w:top w:val="single" w:sz="4" w:space="0" w:color="FFC000"/>
                <w:left w:val="single" w:sz="4" w:space="0" w:color="FFC000"/>
                <w:bottom w:val="single" w:sz="4" w:space="0" w:color="FFC000"/>
                <w:right w:val="single" w:sz="4" w:space="0" w:color="FFC000"/>
                <w:insideH w:val="single" w:sz="4" w:space="0" w:color="FFC000"/>
                <w:insideV w:val="none" w:sz="0" w:space="0" w:color="auto"/>
              </w:tblBorders>
              <w:tblLook w:val="04A0" w:firstRow="1" w:lastRow="0" w:firstColumn="1" w:lastColumn="0" w:noHBand="0" w:noVBand="1"/>
            </w:tblPr>
            <w:tblGrid>
              <w:gridCol w:w="1228"/>
              <w:gridCol w:w="1328"/>
              <w:gridCol w:w="1052"/>
              <w:gridCol w:w="1150"/>
              <w:gridCol w:w="1108"/>
              <w:gridCol w:w="1161"/>
              <w:gridCol w:w="1214"/>
            </w:tblGrid>
            <w:tr w:rsidR="00F75306" w:rsidRPr="00F75306" w14:paraId="07BA0A72" w14:textId="77777777" w:rsidTr="00F75306">
              <w:trPr>
                <w:trHeight w:val="834"/>
              </w:trPr>
              <w:tc>
                <w:tcPr>
                  <w:tcW w:w="1203" w:type="dxa"/>
                  <w:tcBorders>
                    <w:bottom w:val="single" w:sz="4" w:space="0" w:color="FFC000"/>
                    <w:right w:val="single" w:sz="4" w:space="0" w:color="FFC000"/>
                  </w:tcBorders>
                  <w:shd w:val="clear" w:color="auto" w:fill="F2F2F2" w:themeFill="background1" w:themeFillShade="F2"/>
                </w:tcPr>
                <w:p w14:paraId="21316409" w14:textId="77777777" w:rsidR="00F75306" w:rsidRPr="00F75306" w:rsidRDefault="00F75306" w:rsidP="00F75306">
                  <w:pPr>
                    <w:spacing w:line="276" w:lineRule="auto"/>
                    <w:jc w:val="center"/>
                    <w:rPr>
                      <w:b/>
                      <w:bCs/>
                      <w:szCs w:val="20"/>
                    </w:rPr>
                  </w:pPr>
                  <w:r w:rsidRPr="00F75306">
                    <w:rPr>
                      <w:b/>
                      <w:bCs/>
                      <w:szCs w:val="20"/>
                    </w:rPr>
                    <w:t xml:space="preserve">Project </w:t>
                  </w:r>
                </w:p>
              </w:tc>
              <w:tc>
                <w:tcPr>
                  <w:tcW w:w="6939" w:type="dxa"/>
                  <w:gridSpan w:val="6"/>
                  <w:tcBorders>
                    <w:left w:val="single" w:sz="4" w:space="0" w:color="FFC000"/>
                    <w:bottom w:val="single" w:sz="4" w:space="0" w:color="FFC000"/>
                  </w:tcBorders>
                  <w:shd w:val="clear" w:color="auto" w:fill="F2F2F2" w:themeFill="background1" w:themeFillShade="F2"/>
                </w:tcPr>
                <w:p w14:paraId="7ED770C7" w14:textId="77777777" w:rsidR="00F75306" w:rsidRPr="00F75306" w:rsidRDefault="00F75306" w:rsidP="00F75306">
                  <w:pPr>
                    <w:spacing w:line="276" w:lineRule="auto"/>
                    <w:jc w:val="center"/>
                    <w:rPr>
                      <w:b/>
                      <w:bCs/>
                      <w:szCs w:val="20"/>
                    </w:rPr>
                  </w:pPr>
                  <w:r w:rsidRPr="00F75306">
                    <w:rPr>
                      <w:b/>
                      <w:bCs/>
                      <w:szCs w:val="20"/>
                    </w:rPr>
                    <w:t>Services offered</w:t>
                  </w:r>
                </w:p>
                <w:p w14:paraId="2A0E7562" w14:textId="77777777" w:rsidR="00F75306" w:rsidRPr="00F75306" w:rsidRDefault="00F75306" w:rsidP="00F75306">
                  <w:pPr>
                    <w:rPr>
                      <w:szCs w:val="20"/>
                    </w:rPr>
                  </w:pPr>
                  <w:r w:rsidRPr="00F75306">
                    <w:rPr>
                      <w:szCs w:val="20"/>
                    </w:rPr>
                    <w:t>U= Undertaking the task, A= Advisory, Coo= Coordination, I= Information with support materials</w:t>
                  </w:r>
                </w:p>
              </w:tc>
            </w:tr>
            <w:tr w:rsidR="00F75306" w:rsidRPr="00F75306" w14:paraId="79A406B4" w14:textId="77777777" w:rsidTr="00F75306">
              <w:trPr>
                <w:trHeight w:val="1200"/>
              </w:trPr>
              <w:tc>
                <w:tcPr>
                  <w:tcW w:w="1203" w:type="dxa"/>
                  <w:tcBorders>
                    <w:right w:val="single" w:sz="4" w:space="0" w:color="FFC000"/>
                  </w:tcBorders>
                  <w:shd w:val="clear" w:color="auto" w:fill="F2F2F2" w:themeFill="background1" w:themeFillShade="F2"/>
                </w:tcPr>
                <w:p w14:paraId="072F62BA" w14:textId="77777777" w:rsidR="00F75306" w:rsidRPr="00F75306" w:rsidRDefault="00F75306" w:rsidP="00F75306">
                  <w:pPr>
                    <w:spacing w:line="276" w:lineRule="auto"/>
                    <w:jc w:val="center"/>
                    <w:rPr>
                      <w:szCs w:val="20"/>
                    </w:rPr>
                  </w:pPr>
                </w:p>
              </w:tc>
              <w:tc>
                <w:tcPr>
                  <w:tcW w:w="1301" w:type="dxa"/>
                  <w:tcBorders>
                    <w:left w:val="single" w:sz="4" w:space="0" w:color="FFC000"/>
                    <w:right w:val="single" w:sz="4" w:space="0" w:color="FFC000"/>
                  </w:tcBorders>
                  <w:shd w:val="clear" w:color="auto" w:fill="F2F2F2" w:themeFill="background1" w:themeFillShade="F2"/>
                </w:tcPr>
                <w:p w14:paraId="3FEB2C99" w14:textId="77777777" w:rsidR="00F75306" w:rsidRPr="00F75306" w:rsidRDefault="00F75306" w:rsidP="00F75306">
                  <w:pPr>
                    <w:spacing w:line="276" w:lineRule="auto"/>
                    <w:jc w:val="center"/>
                    <w:rPr>
                      <w:szCs w:val="20"/>
                    </w:rPr>
                  </w:pPr>
                  <w:r w:rsidRPr="00F75306">
                    <w:rPr>
                      <w:szCs w:val="20"/>
                    </w:rPr>
                    <w:t>Stage 1</w:t>
                  </w:r>
                </w:p>
                <w:p w14:paraId="3C1AB7CF" w14:textId="77777777" w:rsidR="00F75306" w:rsidRPr="00F75306" w:rsidRDefault="00F75306" w:rsidP="00F75306">
                  <w:pPr>
                    <w:spacing w:line="276" w:lineRule="auto"/>
                    <w:jc w:val="center"/>
                    <w:rPr>
                      <w:szCs w:val="20"/>
                    </w:rPr>
                  </w:pPr>
                  <w:r w:rsidRPr="00F75306">
                    <w:rPr>
                      <w:szCs w:val="20"/>
                    </w:rPr>
                    <w:t>Preparatory investigation</w:t>
                  </w:r>
                </w:p>
              </w:tc>
              <w:tc>
                <w:tcPr>
                  <w:tcW w:w="1052" w:type="dxa"/>
                  <w:tcBorders>
                    <w:left w:val="single" w:sz="4" w:space="0" w:color="FFC000"/>
                    <w:right w:val="single" w:sz="4" w:space="0" w:color="FFC000"/>
                  </w:tcBorders>
                  <w:shd w:val="clear" w:color="auto" w:fill="F2F2F2" w:themeFill="background1" w:themeFillShade="F2"/>
                </w:tcPr>
                <w:p w14:paraId="680A4BF3" w14:textId="77777777" w:rsidR="00F75306" w:rsidRPr="00F75306" w:rsidRDefault="00F75306" w:rsidP="00F75306">
                  <w:pPr>
                    <w:spacing w:line="276" w:lineRule="auto"/>
                    <w:jc w:val="center"/>
                    <w:rPr>
                      <w:szCs w:val="20"/>
                    </w:rPr>
                  </w:pPr>
                  <w:r w:rsidRPr="00F75306">
                    <w:rPr>
                      <w:szCs w:val="20"/>
                    </w:rPr>
                    <w:t>Stage 2</w:t>
                  </w:r>
                </w:p>
                <w:p w14:paraId="6E109B9E" w14:textId="77777777" w:rsidR="00F75306" w:rsidRPr="00F75306" w:rsidRDefault="00F75306" w:rsidP="00F75306">
                  <w:pPr>
                    <w:spacing w:line="276" w:lineRule="auto"/>
                    <w:jc w:val="center"/>
                    <w:rPr>
                      <w:szCs w:val="20"/>
                    </w:rPr>
                  </w:pPr>
                  <w:r w:rsidRPr="00F75306">
                    <w:rPr>
                      <w:szCs w:val="20"/>
                    </w:rPr>
                    <w:t>Project Definition</w:t>
                  </w:r>
                </w:p>
              </w:tc>
              <w:tc>
                <w:tcPr>
                  <w:tcW w:w="1127" w:type="dxa"/>
                  <w:tcBorders>
                    <w:left w:val="single" w:sz="4" w:space="0" w:color="FFC000"/>
                  </w:tcBorders>
                  <w:shd w:val="clear" w:color="auto" w:fill="F2F2F2" w:themeFill="background1" w:themeFillShade="F2"/>
                </w:tcPr>
                <w:p w14:paraId="0E2EDD49" w14:textId="77777777" w:rsidR="00F75306" w:rsidRPr="00F75306" w:rsidRDefault="00F75306" w:rsidP="00F75306">
                  <w:pPr>
                    <w:spacing w:line="276" w:lineRule="auto"/>
                    <w:jc w:val="center"/>
                    <w:rPr>
                      <w:szCs w:val="20"/>
                    </w:rPr>
                  </w:pPr>
                  <w:r w:rsidRPr="00F75306">
                    <w:rPr>
                      <w:szCs w:val="20"/>
                    </w:rPr>
                    <w:t>Stage 3</w:t>
                  </w:r>
                </w:p>
                <w:p w14:paraId="36EBE7C0" w14:textId="77777777" w:rsidR="00F75306" w:rsidRPr="00F75306" w:rsidRDefault="00F75306" w:rsidP="00F75306">
                  <w:pPr>
                    <w:spacing w:line="276" w:lineRule="auto"/>
                    <w:jc w:val="center"/>
                    <w:rPr>
                      <w:szCs w:val="20"/>
                    </w:rPr>
                  </w:pPr>
                  <w:r w:rsidRPr="00F75306">
                    <w:rPr>
                      <w:szCs w:val="20"/>
                    </w:rPr>
                    <w:t xml:space="preserve">Audits, energy renovation </w:t>
                  </w:r>
                </w:p>
              </w:tc>
              <w:tc>
                <w:tcPr>
                  <w:tcW w:w="1108" w:type="dxa"/>
                  <w:tcBorders>
                    <w:left w:val="single" w:sz="4" w:space="0" w:color="FFC000"/>
                  </w:tcBorders>
                  <w:shd w:val="clear" w:color="auto" w:fill="F2F2F2" w:themeFill="background1" w:themeFillShade="F2"/>
                </w:tcPr>
                <w:p w14:paraId="13268D5D" w14:textId="77777777" w:rsidR="00F75306" w:rsidRPr="00F75306" w:rsidRDefault="00F75306" w:rsidP="00F75306">
                  <w:pPr>
                    <w:spacing w:line="276" w:lineRule="auto"/>
                    <w:jc w:val="center"/>
                    <w:rPr>
                      <w:szCs w:val="20"/>
                    </w:rPr>
                  </w:pPr>
                  <w:r w:rsidRPr="00F75306">
                    <w:rPr>
                      <w:szCs w:val="20"/>
                    </w:rPr>
                    <w:t>Stage 4</w:t>
                  </w:r>
                </w:p>
                <w:p w14:paraId="4909EFBE" w14:textId="77777777" w:rsidR="00F75306" w:rsidRPr="00F75306" w:rsidRDefault="00F75306" w:rsidP="00F75306">
                  <w:pPr>
                    <w:spacing w:line="276" w:lineRule="auto"/>
                    <w:jc w:val="center"/>
                    <w:rPr>
                      <w:szCs w:val="20"/>
                    </w:rPr>
                  </w:pPr>
                  <w:r w:rsidRPr="00F75306">
                    <w:rPr>
                      <w:szCs w:val="20"/>
                    </w:rPr>
                    <w:t>Financing plan</w:t>
                  </w:r>
                </w:p>
              </w:tc>
              <w:tc>
                <w:tcPr>
                  <w:tcW w:w="1137" w:type="dxa"/>
                  <w:tcBorders>
                    <w:left w:val="single" w:sz="4" w:space="0" w:color="FFC000"/>
                  </w:tcBorders>
                  <w:shd w:val="clear" w:color="auto" w:fill="F2F2F2" w:themeFill="background1" w:themeFillShade="F2"/>
                </w:tcPr>
                <w:p w14:paraId="1D3F2664" w14:textId="77777777" w:rsidR="00F75306" w:rsidRPr="00F75306" w:rsidRDefault="00F75306" w:rsidP="00F75306">
                  <w:pPr>
                    <w:spacing w:line="276" w:lineRule="auto"/>
                    <w:jc w:val="center"/>
                    <w:rPr>
                      <w:szCs w:val="20"/>
                    </w:rPr>
                  </w:pPr>
                  <w:r w:rsidRPr="00F75306">
                    <w:rPr>
                      <w:szCs w:val="20"/>
                    </w:rPr>
                    <w:t>Stage 5</w:t>
                  </w:r>
                </w:p>
                <w:p w14:paraId="1AB0800E" w14:textId="77777777" w:rsidR="00F75306" w:rsidRPr="00F75306" w:rsidRDefault="00F75306" w:rsidP="00F75306">
                  <w:pPr>
                    <w:spacing w:line="276" w:lineRule="auto"/>
                    <w:jc w:val="center"/>
                    <w:rPr>
                      <w:szCs w:val="20"/>
                    </w:rPr>
                  </w:pPr>
                  <w:r w:rsidRPr="00F75306">
                    <w:rPr>
                      <w:szCs w:val="20"/>
                    </w:rPr>
                    <w:t>Implemen-tation of renovation</w:t>
                  </w:r>
                </w:p>
              </w:tc>
              <w:tc>
                <w:tcPr>
                  <w:tcW w:w="1211" w:type="dxa"/>
                  <w:tcBorders>
                    <w:left w:val="single" w:sz="4" w:space="0" w:color="FFC000"/>
                  </w:tcBorders>
                  <w:shd w:val="clear" w:color="auto" w:fill="F2F2F2" w:themeFill="background1" w:themeFillShade="F2"/>
                </w:tcPr>
                <w:p w14:paraId="002D55A2" w14:textId="77777777" w:rsidR="00F75306" w:rsidRPr="00F75306" w:rsidRDefault="00F75306" w:rsidP="00F75306">
                  <w:pPr>
                    <w:spacing w:line="276" w:lineRule="auto"/>
                    <w:jc w:val="center"/>
                    <w:rPr>
                      <w:szCs w:val="20"/>
                    </w:rPr>
                  </w:pPr>
                  <w:r w:rsidRPr="00F75306">
                    <w:rPr>
                      <w:szCs w:val="20"/>
                    </w:rPr>
                    <w:t>Stage 6</w:t>
                  </w:r>
                </w:p>
                <w:p w14:paraId="663AD255" w14:textId="77777777" w:rsidR="00F75306" w:rsidRPr="00F75306" w:rsidRDefault="00F75306" w:rsidP="00F75306">
                  <w:pPr>
                    <w:spacing w:line="276" w:lineRule="auto"/>
                    <w:jc w:val="center"/>
                    <w:rPr>
                      <w:szCs w:val="20"/>
                    </w:rPr>
                  </w:pPr>
                  <w:r w:rsidRPr="00F75306">
                    <w:rPr>
                      <w:szCs w:val="20"/>
                    </w:rPr>
                    <w:t>Operation phase</w:t>
                  </w:r>
                </w:p>
              </w:tc>
            </w:tr>
            <w:tr w:rsidR="00F75306" w:rsidRPr="00F75306" w14:paraId="227FE509" w14:textId="77777777" w:rsidTr="00F75306">
              <w:trPr>
                <w:trHeight w:val="332"/>
              </w:trPr>
              <w:tc>
                <w:tcPr>
                  <w:tcW w:w="1203" w:type="dxa"/>
                  <w:tcBorders>
                    <w:right w:val="single" w:sz="4" w:space="0" w:color="FFC000"/>
                  </w:tcBorders>
                  <w:vAlign w:val="center"/>
                </w:tcPr>
                <w:p w14:paraId="24A23156" w14:textId="77777777" w:rsidR="00F75306" w:rsidRPr="00F75306" w:rsidRDefault="00F75306" w:rsidP="00F75306">
                  <w:pPr>
                    <w:rPr>
                      <w:szCs w:val="20"/>
                    </w:rPr>
                  </w:pPr>
                  <w:r w:rsidRPr="00F75306">
                    <w:rPr>
                      <w:szCs w:val="20"/>
                    </w:rPr>
                    <w:t>CROSSFIT</w:t>
                  </w:r>
                </w:p>
              </w:tc>
              <w:tc>
                <w:tcPr>
                  <w:tcW w:w="1301" w:type="dxa"/>
                  <w:tcBorders>
                    <w:left w:val="single" w:sz="4" w:space="0" w:color="FFC000"/>
                    <w:right w:val="single" w:sz="4" w:space="0" w:color="FFC000"/>
                  </w:tcBorders>
                  <w:vAlign w:val="center"/>
                </w:tcPr>
                <w:p w14:paraId="7D4B7326" w14:textId="77777777" w:rsidR="00F75306" w:rsidRPr="00F75306" w:rsidRDefault="00F75306" w:rsidP="00F75306">
                  <w:pPr>
                    <w:rPr>
                      <w:szCs w:val="20"/>
                    </w:rPr>
                  </w:pPr>
                  <w:r w:rsidRPr="00F75306">
                    <w:rPr>
                      <w:szCs w:val="20"/>
                    </w:rPr>
                    <w:t>A</w:t>
                  </w:r>
                </w:p>
              </w:tc>
              <w:tc>
                <w:tcPr>
                  <w:tcW w:w="1052" w:type="dxa"/>
                  <w:tcBorders>
                    <w:left w:val="single" w:sz="4" w:space="0" w:color="FFC000"/>
                    <w:right w:val="single" w:sz="4" w:space="0" w:color="FFC000"/>
                  </w:tcBorders>
                  <w:vAlign w:val="center"/>
                </w:tcPr>
                <w:p w14:paraId="528D80E0" w14:textId="77777777" w:rsidR="00F75306" w:rsidRPr="00F75306" w:rsidRDefault="00F75306" w:rsidP="00F75306">
                  <w:pPr>
                    <w:rPr>
                      <w:szCs w:val="20"/>
                    </w:rPr>
                  </w:pPr>
                  <w:r w:rsidRPr="00F75306">
                    <w:rPr>
                      <w:szCs w:val="20"/>
                    </w:rPr>
                    <w:t>A</w:t>
                  </w:r>
                </w:p>
              </w:tc>
              <w:tc>
                <w:tcPr>
                  <w:tcW w:w="1127" w:type="dxa"/>
                  <w:tcBorders>
                    <w:left w:val="single" w:sz="4" w:space="0" w:color="FFC000"/>
                  </w:tcBorders>
                </w:tcPr>
                <w:p w14:paraId="1995E5D2" w14:textId="77777777" w:rsidR="00F75306" w:rsidRPr="00F75306" w:rsidRDefault="00F75306" w:rsidP="00F75306">
                  <w:pPr>
                    <w:rPr>
                      <w:szCs w:val="20"/>
                    </w:rPr>
                  </w:pPr>
                  <w:r w:rsidRPr="00F75306">
                    <w:rPr>
                      <w:szCs w:val="20"/>
                    </w:rPr>
                    <w:t>U</w:t>
                  </w:r>
                </w:p>
              </w:tc>
              <w:tc>
                <w:tcPr>
                  <w:tcW w:w="1108" w:type="dxa"/>
                  <w:tcBorders>
                    <w:left w:val="single" w:sz="4" w:space="0" w:color="FFC000"/>
                  </w:tcBorders>
                </w:tcPr>
                <w:p w14:paraId="269E77F7" w14:textId="77777777" w:rsidR="00F75306" w:rsidRPr="00F75306" w:rsidRDefault="00F75306" w:rsidP="00F75306">
                  <w:pPr>
                    <w:rPr>
                      <w:szCs w:val="20"/>
                    </w:rPr>
                  </w:pPr>
                  <w:r w:rsidRPr="00F75306">
                    <w:rPr>
                      <w:szCs w:val="20"/>
                    </w:rPr>
                    <w:t>U</w:t>
                  </w:r>
                </w:p>
              </w:tc>
              <w:tc>
                <w:tcPr>
                  <w:tcW w:w="1137" w:type="dxa"/>
                  <w:tcBorders>
                    <w:left w:val="single" w:sz="4" w:space="0" w:color="FFC000"/>
                  </w:tcBorders>
                </w:tcPr>
                <w:p w14:paraId="286D0DEE" w14:textId="77777777" w:rsidR="00F75306" w:rsidRPr="00F75306" w:rsidRDefault="00F75306" w:rsidP="00F75306">
                  <w:pPr>
                    <w:rPr>
                      <w:szCs w:val="20"/>
                    </w:rPr>
                  </w:pPr>
                  <w:r w:rsidRPr="00F75306">
                    <w:rPr>
                      <w:szCs w:val="20"/>
                    </w:rPr>
                    <w:t>U</w:t>
                  </w:r>
                </w:p>
              </w:tc>
              <w:tc>
                <w:tcPr>
                  <w:tcW w:w="1211" w:type="dxa"/>
                  <w:tcBorders>
                    <w:left w:val="single" w:sz="4" w:space="0" w:color="FFC000"/>
                  </w:tcBorders>
                </w:tcPr>
                <w:p w14:paraId="7ABC3D12" w14:textId="77777777" w:rsidR="00F75306" w:rsidRPr="00F75306" w:rsidRDefault="00F75306" w:rsidP="00F75306">
                  <w:pPr>
                    <w:rPr>
                      <w:szCs w:val="20"/>
                    </w:rPr>
                  </w:pPr>
                  <w:r w:rsidRPr="00F75306">
                    <w:rPr>
                      <w:szCs w:val="20"/>
                    </w:rPr>
                    <w:t>U</w:t>
                  </w:r>
                </w:p>
              </w:tc>
            </w:tr>
            <w:tr w:rsidR="00F75306" w:rsidRPr="00F75306" w14:paraId="00F942C6" w14:textId="77777777" w:rsidTr="00F75306">
              <w:trPr>
                <w:trHeight w:val="332"/>
              </w:trPr>
              <w:tc>
                <w:tcPr>
                  <w:tcW w:w="1203" w:type="dxa"/>
                  <w:tcBorders>
                    <w:right w:val="single" w:sz="4" w:space="0" w:color="FFC000"/>
                  </w:tcBorders>
                  <w:shd w:val="clear" w:color="auto" w:fill="F2F2F2" w:themeFill="background1" w:themeFillShade="F2"/>
                  <w:vAlign w:val="center"/>
                </w:tcPr>
                <w:p w14:paraId="1F8249BC" w14:textId="77777777" w:rsidR="00F75306" w:rsidRPr="00F75306" w:rsidRDefault="00F75306" w:rsidP="00F75306">
                  <w:pPr>
                    <w:rPr>
                      <w:szCs w:val="20"/>
                    </w:rPr>
                  </w:pPr>
                  <w:r w:rsidRPr="00F75306">
                    <w:rPr>
                      <w:szCs w:val="20"/>
                    </w:rPr>
                    <w:t>GASLESS</w:t>
                  </w:r>
                </w:p>
              </w:tc>
              <w:tc>
                <w:tcPr>
                  <w:tcW w:w="1301" w:type="dxa"/>
                  <w:tcBorders>
                    <w:left w:val="single" w:sz="4" w:space="0" w:color="FFC000"/>
                    <w:right w:val="single" w:sz="4" w:space="0" w:color="FFC000"/>
                  </w:tcBorders>
                  <w:shd w:val="clear" w:color="auto" w:fill="F2F2F2" w:themeFill="background1" w:themeFillShade="F2"/>
                  <w:vAlign w:val="center"/>
                </w:tcPr>
                <w:p w14:paraId="6453855D" w14:textId="77777777" w:rsidR="00F75306" w:rsidRPr="00F75306" w:rsidRDefault="00F75306" w:rsidP="00F75306">
                  <w:pPr>
                    <w:rPr>
                      <w:szCs w:val="20"/>
                    </w:rPr>
                  </w:pPr>
                  <w:r w:rsidRPr="00F75306">
                    <w:rPr>
                      <w:szCs w:val="20"/>
                    </w:rPr>
                    <w:t>A</w:t>
                  </w:r>
                </w:p>
              </w:tc>
              <w:tc>
                <w:tcPr>
                  <w:tcW w:w="1052" w:type="dxa"/>
                  <w:tcBorders>
                    <w:left w:val="single" w:sz="4" w:space="0" w:color="FFC000"/>
                    <w:right w:val="single" w:sz="4" w:space="0" w:color="FFC000"/>
                  </w:tcBorders>
                  <w:shd w:val="clear" w:color="auto" w:fill="F2F2F2" w:themeFill="background1" w:themeFillShade="F2"/>
                  <w:vAlign w:val="center"/>
                </w:tcPr>
                <w:p w14:paraId="73303958" w14:textId="77777777" w:rsidR="00F75306" w:rsidRPr="00F75306" w:rsidRDefault="00F75306" w:rsidP="00F75306">
                  <w:pPr>
                    <w:rPr>
                      <w:szCs w:val="20"/>
                    </w:rPr>
                  </w:pPr>
                  <w:r w:rsidRPr="00F75306">
                    <w:rPr>
                      <w:szCs w:val="20"/>
                    </w:rPr>
                    <w:t>A</w:t>
                  </w:r>
                </w:p>
              </w:tc>
              <w:tc>
                <w:tcPr>
                  <w:tcW w:w="1127" w:type="dxa"/>
                  <w:tcBorders>
                    <w:left w:val="single" w:sz="4" w:space="0" w:color="FFC000"/>
                  </w:tcBorders>
                  <w:shd w:val="clear" w:color="auto" w:fill="F2F2F2" w:themeFill="background1" w:themeFillShade="F2"/>
                </w:tcPr>
                <w:p w14:paraId="1C14C8C7" w14:textId="77777777" w:rsidR="00F75306" w:rsidRPr="00F75306" w:rsidRDefault="00F75306" w:rsidP="00F75306">
                  <w:pPr>
                    <w:rPr>
                      <w:szCs w:val="20"/>
                    </w:rPr>
                  </w:pPr>
                  <w:r w:rsidRPr="00F75306">
                    <w:rPr>
                      <w:szCs w:val="20"/>
                    </w:rPr>
                    <w:t>Coo</w:t>
                  </w:r>
                </w:p>
              </w:tc>
              <w:tc>
                <w:tcPr>
                  <w:tcW w:w="1108" w:type="dxa"/>
                  <w:tcBorders>
                    <w:left w:val="single" w:sz="4" w:space="0" w:color="FFC000"/>
                  </w:tcBorders>
                  <w:shd w:val="clear" w:color="auto" w:fill="F2F2F2" w:themeFill="background1" w:themeFillShade="F2"/>
                </w:tcPr>
                <w:p w14:paraId="64672BAB" w14:textId="77777777" w:rsidR="00F75306" w:rsidRPr="00F75306" w:rsidRDefault="00F75306" w:rsidP="00F75306">
                  <w:pPr>
                    <w:rPr>
                      <w:szCs w:val="20"/>
                    </w:rPr>
                  </w:pPr>
                  <w:r w:rsidRPr="00F75306">
                    <w:rPr>
                      <w:szCs w:val="20"/>
                    </w:rPr>
                    <w:t>Coo</w:t>
                  </w:r>
                </w:p>
              </w:tc>
              <w:tc>
                <w:tcPr>
                  <w:tcW w:w="1137" w:type="dxa"/>
                  <w:tcBorders>
                    <w:left w:val="single" w:sz="4" w:space="0" w:color="FFC000"/>
                  </w:tcBorders>
                  <w:shd w:val="clear" w:color="auto" w:fill="F2F2F2" w:themeFill="background1" w:themeFillShade="F2"/>
                </w:tcPr>
                <w:p w14:paraId="650333DC" w14:textId="77777777" w:rsidR="00F75306" w:rsidRPr="00F75306" w:rsidRDefault="00F75306" w:rsidP="00F75306">
                  <w:pPr>
                    <w:rPr>
                      <w:szCs w:val="20"/>
                    </w:rPr>
                  </w:pPr>
                  <w:r w:rsidRPr="00F75306">
                    <w:rPr>
                      <w:szCs w:val="20"/>
                    </w:rPr>
                    <w:t>Coo</w:t>
                  </w:r>
                </w:p>
              </w:tc>
              <w:tc>
                <w:tcPr>
                  <w:tcW w:w="1211" w:type="dxa"/>
                  <w:tcBorders>
                    <w:left w:val="single" w:sz="4" w:space="0" w:color="FFC000"/>
                  </w:tcBorders>
                  <w:shd w:val="clear" w:color="auto" w:fill="F2F2F2" w:themeFill="background1" w:themeFillShade="F2"/>
                </w:tcPr>
                <w:p w14:paraId="46E9589C" w14:textId="77777777" w:rsidR="00F75306" w:rsidRPr="00F75306" w:rsidRDefault="00F75306" w:rsidP="00F75306">
                  <w:pPr>
                    <w:rPr>
                      <w:szCs w:val="20"/>
                    </w:rPr>
                  </w:pPr>
                  <w:r w:rsidRPr="00F75306">
                    <w:rPr>
                      <w:szCs w:val="20"/>
                    </w:rPr>
                    <w:t>N/A</w:t>
                  </w:r>
                </w:p>
              </w:tc>
            </w:tr>
            <w:tr w:rsidR="00F75306" w:rsidRPr="00F75306" w14:paraId="6E301A87" w14:textId="77777777" w:rsidTr="00F75306">
              <w:trPr>
                <w:trHeight w:val="324"/>
              </w:trPr>
              <w:tc>
                <w:tcPr>
                  <w:tcW w:w="1203" w:type="dxa"/>
                  <w:tcBorders>
                    <w:right w:val="single" w:sz="4" w:space="0" w:color="FFC000"/>
                  </w:tcBorders>
                  <w:vAlign w:val="center"/>
                </w:tcPr>
                <w:p w14:paraId="75836132" w14:textId="77777777" w:rsidR="00F75306" w:rsidRPr="00F75306" w:rsidRDefault="00F75306" w:rsidP="00F75306">
                  <w:pPr>
                    <w:rPr>
                      <w:szCs w:val="20"/>
                    </w:rPr>
                  </w:pPr>
                  <w:r w:rsidRPr="00F75306">
                    <w:rPr>
                      <w:szCs w:val="20"/>
                    </w:rPr>
                    <w:t>CROSS</w:t>
                  </w:r>
                </w:p>
              </w:tc>
              <w:tc>
                <w:tcPr>
                  <w:tcW w:w="1301" w:type="dxa"/>
                  <w:tcBorders>
                    <w:left w:val="single" w:sz="4" w:space="0" w:color="FFC000"/>
                    <w:right w:val="single" w:sz="4" w:space="0" w:color="FFC000"/>
                  </w:tcBorders>
                  <w:vAlign w:val="center"/>
                </w:tcPr>
                <w:p w14:paraId="4C34AF01" w14:textId="77777777" w:rsidR="00F75306" w:rsidRPr="00F75306" w:rsidRDefault="00F75306" w:rsidP="00F75306">
                  <w:pPr>
                    <w:rPr>
                      <w:szCs w:val="20"/>
                    </w:rPr>
                  </w:pPr>
                  <w:r w:rsidRPr="00F75306">
                    <w:rPr>
                      <w:szCs w:val="20"/>
                    </w:rPr>
                    <w:t>A/U</w:t>
                  </w:r>
                </w:p>
              </w:tc>
              <w:tc>
                <w:tcPr>
                  <w:tcW w:w="1052" w:type="dxa"/>
                  <w:tcBorders>
                    <w:left w:val="single" w:sz="4" w:space="0" w:color="FFC000"/>
                    <w:right w:val="single" w:sz="4" w:space="0" w:color="FFC000"/>
                  </w:tcBorders>
                  <w:vAlign w:val="center"/>
                </w:tcPr>
                <w:p w14:paraId="1C2A97B3" w14:textId="77777777" w:rsidR="00F75306" w:rsidRPr="00F75306" w:rsidRDefault="00F75306" w:rsidP="00F75306">
                  <w:pPr>
                    <w:rPr>
                      <w:szCs w:val="20"/>
                    </w:rPr>
                  </w:pPr>
                  <w:r w:rsidRPr="00F75306">
                    <w:rPr>
                      <w:szCs w:val="20"/>
                    </w:rPr>
                    <w:t>A/U</w:t>
                  </w:r>
                </w:p>
              </w:tc>
              <w:tc>
                <w:tcPr>
                  <w:tcW w:w="1127" w:type="dxa"/>
                  <w:tcBorders>
                    <w:left w:val="single" w:sz="4" w:space="0" w:color="FFC000"/>
                  </w:tcBorders>
                </w:tcPr>
                <w:p w14:paraId="290A7BCE" w14:textId="77777777" w:rsidR="00F75306" w:rsidRPr="00F75306" w:rsidRDefault="00F75306" w:rsidP="00F75306">
                  <w:pPr>
                    <w:rPr>
                      <w:szCs w:val="20"/>
                    </w:rPr>
                  </w:pPr>
                  <w:r w:rsidRPr="00F75306">
                    <w:rPr>
                      <w:szCs w:val="20"/>
                    </w:rPr>
                    <w:t>A</w:t>
                  </w:r>
                </w:p>
              </w:tc>
              <w:tc>
                <w:tcPr>
                  <w:tcW w:w="1108" w:type="dxa"/>
                  <w:tcBorders>
                    <w:left w:val="single" w:sz="4" w:space="0" w:color="FFC000"/>
                  </w:tcBorders>
                </w:tcPr>
                <w:p w14:paraId="123C5625" w14:textId="77777777" w:rsidR="00F75306" w:rsidRPr="00F75306" w:rsidRDefault="00F75306" w:rsidP="00F75306">
                  <w:pPr>
                    <w:rPr>
                      <w:szCs w:val="20"/>
                    </w:rPr>
                  </w:pPr>
                  <w:r w:rsidRPr="00F75306">
                    <w:rPr>
                      <w:szCs w:val="20"/>
                    </w:rPr>
                    <w:t>A</w:t>
                  </w:r>
                </w:p>
              </w:tc>
              <w:tc>
                <w:tcPr>
                  <w:tcW w:w="1137" w:type="dxa"/>
                  <w:tcBorders>
                    <w:left w:val="single" w:sz="4" w:space="0" w:color="FFC000"/>
                  </w:tcBorders>
                </w:tcPr>
                <w:p w14:paraId="2FC187C8" w14:textId="77777777" w:rsidR="00F75306" w:rsidRPr="00F75306" w:rsidRDefault="00F75306" w:rsidP="00F75306">
                  <w:pPr>
                    <w:rPr>
                      <w:szCs w:val="20"/>
                    </w:rPr>
                  </w:pPr>
                  <w:r w:rsidRPr="00F75306">
                    <w:rPr>
                      <w:szCs w:val="20"/>
                    </w:rPr>
                    <w:t>A</w:t>
                  </w:r>
                </w:p>
              </w:tc>
              <w:tc>
                <w:tcPr>
                  <w:tcW w:w="1211" w:type="dxa"/>
                  <w:tcBorders>
                    <w:left w:val="single" w:sz="4" w:space="0" w:color="FFC000"/>
                  </w:tcBorders>
                </w:tcPr>
                <w:p w14:paraId="2E82E24B" w14:textId="77777777" w:rsidR="00F75306" w:rsidRPr="00F75306" w:rsidRDefault="00F75306" w:rsidP="00F75306">
                  <w:pPr>
                    <w:rPr>
                      <w:szCs w:val="20"/>
                    </w:rPr>
                  </w:pPr>
                  <w:r w:rsidRPr="00F75306">
                    <w:rPr>
                      <w:szCs w:val="20"/>
                    </w:rPr>
                    <w:t>A</w:t>
                  </w:r>
                </w:p>
              </w:tc>
            </w:tr>
            <w:tr w:rsidR="00F75306" w:rsidRPr="00F75306" w14:paraId="7444C244" w14:textId="77777777" w:rsidTr="00F75306">
              <w:trPr>
                <w:trHeight w:val="332"/>
              </w:trPr>
              <w:tc>
                <w:tcPr>
                  <w:tcW w:w="1203" w:type="dxa"/>
                  <w:tcBorders>
                    <w:right w:val="single" w:sz="4" w:space="0" w:color="FFC000"/>
                  </w:tcBorders>
                  <w:shd w:val="clear" w:color="auto" w:fill="F2F2F2" w:themeFill="background1" w:themeFillShade="F2"/>
                  <w:vAlign w:val="center"/>
                </w:tcPr>
                <w:p w14:paraId="4676B197" w14:textId="77777777" w:rsidR="00F75306" w:rsidRPr="00F75306" w:rsidRDefault="00F75306" w:rsidP="00F75306">
                  <w:pPr>
                    <w:rPr>
                      <w:szCs w:val="20"/>
                    </w:rPr>
                  </w:pPr>
                  <w:r w:rsidRPr="00F75306">
                    <w:rPr>
                      <w:szCs w:val="20"/>
                    </w:rPr>
                    <w:t>BAOBAP</w:t>
                  </w:r>
                </w:p>
              </w:tc>
              <w:tc>
                <w:tcPr>
                  <w:tcW w:w="1301" w:type="dxa"/>
                  <w:tcBorders>
                    <w:left w:val="single" w:sz="4" w:space="0" w:color="FFC000"/>
                    <w:right w:val="single" w:sz="4" w:space="0" w:color="FFC000"/>
                  </w:tcBorders>
                  <w:shd w:val="clear" w:color="auto" w:fill="F2F2F2" w:themeFill="background1" w:themeFillShade="F2"/>
                  <w:vAlign w:val="center"/>
                </w:tcPr>
                <w:p w14:paraId="5287D422" w14:textId="77777777" w:rsidR="00F75306" w:rsidRPr="00F75306" w:rsidRDefault="00F75306" w:rsidP="00F75306">
                  <w:pPr>
                    <w:rPr>
                      <w:szCs w:val="20"/>
                    </w:rPr>
                  </w:pPr>
                  <w:r w:rsidRPr="00F75306">
                    <w:rPr>
                      <w:szCs w:val="20"/>
                    </w:rPr>
                    <w:t>I</w:t>
                  </w:r>
                </w:p>
              </w:tc>
              <w:tc>
                <w:tcPr>
                  <w:tcW w:w="1052" w:type="dxa"/>
                  <w:tcBorders>
                    <w:left w:val="single" w:sz="4" w:space="0" w:color="FFC000"/>
                    <w:right w:val="single" w:sz="4" w:space="0" w:color="FFC000"/>
                  </w:tcBorders>
                  <w:shd w:val="clear" w:color="auto" w:fill="F2F2F2" w:themeFill="background1" w:themeFillShade="F2"/>
                  <w:vAlign w:val="center"/>
                </w:tcPr>
                <w:p w14:paraId="3FE1F3DE" w14:textId="77777777" w:rsidR="00F75306" w:rsidRPr="00F75306" w:rsidRDefault="00F75306" w:rsidP="00F75306">
                  <w:pPr>
                    <w:rPr>
                      <w:szCs w:val="20"/>
                    </w:rPr>
                  </w:pPr>
                  <w:r w:rsidRPr="00F75306">
                    <w:rPr>
                      <w:szCs w:val="20"/>
                    </w:rPr>
                    <w:t>I</w:t>
                  </w:r>
                </w:p>
              </w:tc>
              <w:tc>
                <w:tcPr>
                  <w:tcW w:w="1127" w:type="dxa"/>
                  <w:tcBorders>
                    <w:left w:val="single" w:sz="4" w:space="0" w:color="FFC000"/>
                  </w:tcBorders>
                  <w:shd w:val="clear" w:color="auto" w:fill="F2F2F2" w:themeFill="background1" w:themeFillShade="F2"/>
                </w:tcPr>
                <w:p w14:paraId="5A556B7B" w14:textId="77777777" w:rsidR="00F75306" w:rsidRPr="00F75306" w:rsidRDefault="00F75306" w:rsidP="00F75306">
                  <w:pPr>
                    <w:rPr>
                      <w:szCs w:val="20"/>
                    </w:rPr>
                  </w:pPr>
                  <w:r w:rsidRPr="00F75306">
                    <w:rPr>
                      <w:szCs w:val="20"/>
                    </w:rPr>
                    <w:t>A</w:t>
                  </w:r>
                </w:p>
              </w:tc>
              <w:tc>
                <w:tcPr>
                  <w:tcW w:w="1108" w:type="dxa"/>
                  <w:tcBorders>
                    <w:left w:val="single" w:sz="4" w:space="0" w:color="FFC000"/>
                  </w:tcBorders>
                  <w:shd w:val="clear" w:color="auto" w:fill="F2F2F2" w:themeFill="background1" w:themeFillShade="F2"/>
                </w:tcPr>
                <w:p w14:paraId="1A0933BD" w14:textId="77777777" w:rsidR="00F75306" w:rsidRPr="00F75306" w:rsidRDefault="00F75306" w:rsidP="00F75306">
                  <w:pPr>
                    <w:rPr>
                      <w:szCs w:val="20"/>
                    </w:rPr>
                  </w:pPr>
                  <w:r w:rsidRPr="00F75306">
                    <w:rPr>
                      <w:szCs w:val="20"/>
                    </w:rPr>
                    <w:t>A</w:t>
                  </w:r>
                </w:p>
              </w:tc>
              <w:tc>
                <w:tcPr>
                  <w:tcW w:w="1137" w:type="dxa"/>
                  <w:tcBorders>
                    <w:left w:val="single" w:sz="4" w:space="0" w:color="FFC000"/>
                  </w:tcBorders>
                  <w:shd w:val="clear" w:color="auto" w:fill="F2F2F2" w:themeFill="background1" w:themeFillShade="F2"/>
                </w:tcPr>
                <w:p w14:paraId="6E129C45" w14:textId="77777777" w:rsidR="00F75306" w:rsidRPr="00F75306" w:rsidRDefault="00F75306" w:rsidP="00F75306">
                  <w:pPr>
                    <w:rPr>
                      <w:szCs w:val="20"/>
                    </w:rPr>
                  </w:pPr>
                  <w:r w:rsidRPr="00F75306">
                    <w:rPr>
                      <w:szCs w:val="20"/>
                    </w:rPr>
                    <w:t>A</w:t>
                  </w:r>
                </w:p>
              </w:tc>
              <w:tc>
                <w:tcPr>
                  <w:tcW w:w="1211" w:type="dxa"/>
                  <w:tcBorders>
                    <w:left w:val="single" w:sz="4" w:space="0" w:color="FFC000"/>
                  </w:tcBorders>
                  <w:shd w:val="clear" w:color="auto" w:fill="F2F2F2" w:themeFill="background1" w:themeFillShade="F2"/>
                </w:tcPr>
                <w:p w14:paraId="5B01EF43" w14:textId="77777777" w:rsidR="00F75306" w:rsidRPr="00F75306" w:rsidRDefault="00F75306" w:rsidP="00F75306">
                  <w:pPr>
                    <w:rPr>
                      <w:szCs w:val="20"/>
                    </w:rPr>
                  </w:pPr>
                  <w:r w:rsidRPr="00F75306">
                    <w:rPr>
                      <w:szCs w:val="20"/>
                    </w:rPr>
                    <w:t>I</w:t>
                  </w:r>
                </w:p>
              </w:tc>
            </w:tr>
            <w:tr w:rsidR="00F75306" w:rsidRPr="00F75306" w14:paraId="54AD22BE" w14:textId="77777777" w:rsidTr="00F75306">
              <w:trPr>
                <w:trHeight w:val="557"/>
              </w:trPr>
              <w:tc>
                <w:tcPr>
                  <w:tcW w:w="1203" w:type="dxa"/>
                  <w:tcBorders>
                    <w:right w:val="single" w:sz="4" w:space="0" w:color="FFC000"/>
                  </w:tcBorders>
                  <w:vAlign w:val="center"/>
                </w:tcPr>
                <w:p w14:paraId="0CDD9E3F" w14:textId="77777777" w:rsidR="00F75306" w:rsidRPr="00F75306" w:rsidRDefault="00F75306" w:rsidP="00F75306">
                  <w:pPr>
                    <w:rPr>
                      <w:szCs w:val="20"/>
                    </w:rPr>
                  </w:pPr>
                  <w:r w:rsidRPr="00F75306">
                    <w:rPr>
                      <w:szCs w:val="20"/>
                    </w:rPr>
                    <w:t>JINAG / EnU</w:t>
                  </w:r>
                </w:p>
              </w:tc>
              <w:tc>
                <w:tcPr>
                  <w:tcW w:w="1301" w:type="dxa"/>
                  <w:tcBorders>
                    <w:left w:val="single" w:sz="4" w:space="0" w:color="FFC000"/>
                    <w:right w:val="single" w:sz="4" w:space="0" w:color="FFC000"/>
                  </w:tcBorders>
                  <w:vAlign w:val="center"/>
                </w:tcPr>
                <w:p w14:paraId="2D0C8DF6" w14:textId="77777777" w:rsidR="00F75306" w:rsidRPr="00F75306" w:rsidRDefault="00F75306" w:rsidP="00F75306">
                  <w:pPr>
                    <w:rPr>
                      <w:szCs w:val="20"/>
                    </w:rPr>
                  </w:pPr>
                  <w:r w:rsidRPr="00F75306">
                    <w:rPr>
                      <w:szCs w:val="20"/>
                    </w:rPr>
                    <w:t>I</w:t>
                  </w:r>
                </w:p>
              </w:tc>
              <w:tc>
                <w:tcPr>
                  <w:tcW w:w="1052" w:type="dxa"/>
                  <w:tcBorders>
                    <w:left w:val="single" w:sz="4" w:space="0" w:color="FFC000"/>
                    <w:right w:val="single" w:sz="4" w:space="0" w:color="FFC000"/>
                  </w:tcBorders>
                  <w:vAlign w:val="center"/>
                </w:tcPr>
                <w:p w14:paraId="55AEDD40" w14:textId="77777777" w:rsidR="00F75306" w:rsidRPr="00F75306" w:rsidRDefault="00F75306" w:rsidP="00F75306">
                  <w:pPr>
                    <w:rPr>
                      <w:szCs w:val="20"/>
                    </w:rPr>
                  </w:pPr>
                  <w:r w:rsidRPr="00F75306">
                    <w:rPr>
                      <w:szCs w:val="20"/>
                    </w:rPr>
                    <w:t>A</w:t>
                  </w:r>
                </w:p>
              </w:tc>
              <w:tc>
                <w:tcPr>
                  <w:tcW w:w="1127" w:type="dxa"/>
                  <w:tcBorders>
                    <w:left w:val="single" w:sz="4" w:space="0" w:color="FFC000"/>
                  </w:tcBorders>
                  <w:vAlign w:val="center"/>
                </w:tcPr>
                <w:p w14:paraId="306AB3A5" w14:textId="77777777" w:rsidR="00F75306" w:rsidRPr="00F75306" w:rsidRDefault="00F75306" w:rsidP="00F75306">
                  <w:pPr>
                    <w:rPr>
                      <w:szCs w:val="20"/>
                    </w:rPr>
                  </w:pPr>
                  <w:r w:rsidRPr="00F75306">
                    <w:rPr>
                      <w:szCs w:val="20"/>
                    </w:rPr>
                    <w:t>A/U</w:t>
                  </w:r>
                </w:p>
              </w:tc>
              <w:tc>
                <w:tcPr>
                  <w:tcW w:w="1108" w:type="dxa"/>
                  <w:tcBorders>
                    <w:left w:val="single" w:sz="4" w:space="0" w:color="FFC000"/>
                  </w:tcBorders>
                  <w:vAlign w:val="center"/>
                </w:tcPr>
                <w:p w14:paraId="087AA127" w14:textId="77777777" w:rsidR="00F75306" w:rsidRPr="00F75306" w:rsidRDefault="00F75306" w:rsidP="00F75306">
                  <w:pPr>
                    <w:rPr>
                      <w:szCs w:val="20"/>
                    </w:rPr>
                  </w:pPr>
                  <w:r w:rsidRPr="00F75306">
                    <w:rPr>
                      <w:szCs w:val="20"/>
                    </w:rPr>
                    <w:t>A/U</w:t>
                  </w:r>
                </w:p>
              </w:tc>
              <w:tc>
                <w:tcPr>
                  <w:tcW w:w="1137" w:type="dxa"/>
                  <w:tcBorders>
                    <w:left w:val="single" w:sz="4" w:space="0" w:color="FFC000"/>
                  </w:tcBorders>
                  <w:vAlign w:val="center"/>
                </w:tcPr>
                <w:p w14:paraId="63851155" w14:textId="77777777" w:rsidR="00F75306" w:rsidRPr="00F75306" w:rsidRDefault="00F75306" w:rsidP="00F75306">
                  <w:pPr>
                    <w:rPr>
                      <w:szCs w:val="20"/>
                    </w:rPr>
                  </w:pPr>
                  <w:r w:rsidRPr="00F75306">
                    <w:rPr>
                      <w:szCs w:val="20"/>
                    </w:rPr>
                    <w:t>A/C</w:t>
                  </w:r>
                </w:p>
              </w:tc>
              <w:tc>
                <w:tcPr>
                  <w:tcW w:w="1211" w:type="dxa"/>
                  <w:tcBorders>
                    <w:left w:val="single" w:sz="4" w:space="0" w:color="FFC000"/>
                  </w:tcBorders>
                  <w:vAlign w:val="center"/>
                </w:tcPr>
                <w:p w14:paraId="02F6E49E" w14:textId="77777777" w:rsidR="00F75306" w:rsidRPr="00F75306" w:rsidRDefault="00F75306" w:rsidP="00F75306">
                  <w:pPr>
                    <w:rPr>
                      <w:szCs w:val="20"/>
                    </w:rPr>
                  </w:pPr>
                  <w:r w:rsidRPr="00F75306">
                    <w:rPr>
                      <w:szCs w:val="20"/>
                    </w:rPr>
                    <w:t>A</w:t>
                  </w:r>
                </w:p>
              </w:tc>
            </w:tr>
            <w:tr w:rsidR="00F75306" w:rsidRPr="00F75306" w14:paraId="55CDA388" w14:textId="77777777" w:rsidTr="00F75306">
              <w:trPr>
                <w:trHeight w:val="332"/>
              </w:trPr>
              <w:tc>
                <w:tcPr>
                  <w:tcW w:w="1203" w:type="dxa"/>
                  <w:tcBorders>
                    <w:bottom w:val="single" w:sz="4" w:space="0" w:color="FFC000"/>
                    <w:right w:val="single" w:sz="4" w:space="0" w:color="FFC000"/>
                  </w:tcBorders>
                  <w:shd w:val="clear" w:color="auto" w:fill="F2F2F2" w:themeFill="background1" w:themeFillShade="F2"/>
                  <w:vAlign w:val="center"/>
                </w:tcPr>
                <w:p w14:paraId="111AA659" w14:textId="77777777" w:rsidR="00F75306" w:rsidRPr="00F75306" w:rsidRDefault="00F75306" w:rsidP="00F75306">
                  <w:pPr>
                    <w:rPr>
                      <w:szCs w:val="20"/>
                    </w:rPr>
                  </w:pPr>
                  <w:r w:rsidRPr="00F75306">
                    <w:rPr>
                      <w:szCs w:val="20"/>
                    </w:rPr>
                    <w:t>TRESS</w:t>
                  </w:r>
                </w:p>
              </w:tc>
              <w:tc>
                <w:tcPr>
                  <w:tcW w:w="1301" w:type="dxa"/>
                  <w:tcBorders>
                    <w:left w:val="single" w:sz="4" w:space="0" w:color="FFC000"/>
                    <w:bottom w:val="single" w:sz="4" w:space="0" w:color="FFC000"/>
                    <w:right w:val="single" w:sz="4" w:space="0" w:color="FFC000"/>
                  </w:tcBorders>
                  <w:shd w:val="clear" w:color="auto" w:fill="F2F2F2" w:themeFill="background1" w:themeFillShade="F2"/>
                  <w:vAlign w:val="center"/>
                </w:tcPr>
                <w:p w14:paraId="466C6E36" w14:textId="77777777" w:rsidR="00F75306" w:rsidRPr="00F75306" w:rsidRDefault="00F75306" w:rsidP="00F75306">
                  <w:pPr>
                    <w:rPr>
                      <w:szCs w:val="20"/>
                    </w:rPr>
                  </w:pPr>
                  <w:r w:rsidRPr="00F75306">
                    <w:rPr>
                      <w:szCs w:val="20"/>
                    </w:rPr>
                    <w:t>I/A</w:t>
                  </w:r>
                </w:p>
              </w:tc>
              <w:tc>
                <w:tcPr>
                  <w:tcW w:w="1052" w:type="dxa"/>
                  <w:tcBorders>
                    <w:left w:val="single" w:sz="4" w:space="0" w:color="FFC000"/>
                    <w:bottom w:val="single" w:sz="4" w:space="0" w:color="FFC000"/>
                    <w:right w:val="single" w:sz="4" w:space="0" w:color="FFC000"/>
                  </w:tcBorders>
                  <w:shd w:val="clear" w:color="auto" w:fill="F2F2F2" w:themeFill="background1" w:themeFillShade="F2"/>
                  <w:vAlign w:val="center"/>
                </w:tcPr>
                <w:p w14:paraId="48CCEB34" w14:textId="77777777" w:rsidR="00F75306" w:rsidRPr="00F75306" w:rsidRDefault="00F75306" w:rsidP="00F75306">
                  <w:pPr>
                    <w:rPr>
                      <w:szCs w:val="20"/>
                    </w:rPr>
                  </w:pPr>
                  <w:r w:rsidRPr="00F75306">
                    <w:rPr>
                      <w:szCs w:val="20"/>
                    </w:rPr>
                    <w:t>I/A</w:t>
                  </w:r>
                </w:p>
              </w:tc>
              <w:tc>
                <w:tcPr>
                  <w:tcW w:w="1127" w:type="dxa"/>
                  <w:tcBorders>
                    <w:left w:val="single" w:sz="4" w:space="0" w:color="FFC000"/>
                    <w:bottom w:val="single" w:sz="4" w:space="0" w:color="FFC000"/>
                  </w:tcBorders>
                  <w:shd w:val="clear" w:color="auto" w:fill="F2F2F2" w:themeFill="background1" w:themeFillShade="F2"/>
                </w:tcPr>
                <w:p w14:paraId="7867FEB5" w14:textId="77777777" w:rsidR="00F75306" w:rsidRPr="00F75306" w:rsidRDefault="00F75306" w:rsidP="00F75306">
                  <w:pPr>
                    <w:rPr>
                      <w:szCs w:val="20"/>
                    </w:rPr>
                  </w:pPr>
                  <w:r w:rsidRPr="00F75306">
                    <w:rPr>
                      <w:szCs w:val="20"/>
                    </w:rPr>
                    <w:t>I/A</w:t>
                  </w:r>
                </w:p>
              </w:tc>
              <w:tc>
                <w:tcPr>
                  <w:tcW w:w="1108" w:type="dxa"/>
                  <w:tcBorders>
                    <w:left w:val="single" w:sz="4" w:space="0" w:color="FFC000"/>
                    <w:bottom w:val="single" w:sz="4" w:space="0" w:color="FFC000"/>
                  </w:tcBorders>
                  <w:shd w:val="clear" w:color="auto" w:fill="F2F2F2" w:themeFill="background1" w:themeFillShade="F2"/>
                </w:tcPr>
                <w:p w14:paraId="48A35745" w14:textId="77777777" w:rsidR="00F75306" w:rsidRPr="00F75306" w:rsidRDefault="00F75306" w:rsidP="00F75306">
                  <w:pPr>
                    <w:rPr>
                      <w:szCs w:val="20"/>
                    </w:rPr>
                  </w:pPr>
                  <w:r w:rsidRPr="00F75306">
                    <w:rPr>
                      <w:szCs w:val="20"/>
                    </w:rPr>
                    <w:t>I/A</w:t>
                  </w:r>
                </w:p>
              </w:tc>
              <w:tc>
                <w:tcPr>
                  <w:tcW w:w="1137" w:type="dxa"/>
                  <w:tcBorders>
                    <w:left w:val="single" w:sz="4" w:space="0" w:color="FFC000"/>
                    <w:bottom w:val="single" w:sz="4" w:space="0" w:color="FFC000"/>
                  </w:tcBorders>
                  <w:shd w:val="clear" w:color="auto" w:fill="F2F2F2" w:themeFill="background1" w:themeFillShade="F2"/>
                </w:tcPr>
                <w:p w14:paraId="3D57D319" w14:textId="77777777" w:rsidR="00F75306" w:rsidRPr="00F75306" w:rsidRDefault="00F75306" w:rsidP="00F75306">
                  <w:pPr>
                    <w:rPr>
                      <w:szCs w:val="20"/>
                    </w:rPr>
                  </w:pPr>
                  <w:r w:rsidRPr="00F75306">
                    <w:rPr>
                      <w:szCs w:val="20"/>
                    </w:rPr>
                    <w:t>I/A</w:t>
                  </w:r>
                </w:p>
              </w:tc>
              <w:tc>
                <w:tcPr>
                  <w:tcW w:w="1211" w:type="dxa"/>
                  <w:tcBorders>
                    <w:left w:val="single" w:sz="4" w:space="0" w:color="FFC000"/>
                    <w:bottom w:val="single" w:sz="4" w:space="0" w:color="FFC000"/>
                  </w:tcBorders>
                  <w:shd w:val="clear" w:color="auto" w:fill="F2F2F2" w:themeFill="background1" w:themeFillShade="F2"/>
                </w:tcPr>
                <w:p w14:paraId="6D4A4889" w14:textId="77777777" w:rsidR="00F75306" w:rsidRPr="00F75306" w:rsidRDefault="00F75306" w:rsidP="00F75306">
                  <w:pPr>
                    <w:rPr>
                      <w:szCs w:val="20"/>
                    </w:rPr>
                  </w:pPr>
                  <w:r w:rsidRPr="00F75306">
                    <w:rPr>
                      <w:szCs w:val="20"/>
                    </w:rPr>
                    <w:t>I/A</w:t>
                  </w:r>
                </w:p>
              </w:tc>
            </w:tr>
            <w:tr w:rsidR="00F75306" w:rsidRPr="00F75306" w14:paraId="328A9C66" w14:textId="77777777" w:rsidTr="00F75306">
              <w:trPr>
                <w:trHeight w:val="332"/>
              </w:trPr>
              <w:tc>
                <w:tcPr>
                  <w:tcW w:w="1203" w:type="dxa"/>
                  <w:tcBorders>
                    <w:bottom w:val="single" w:sz="4" w:space="0" w:color="FFC000"/>
                    <w:right w:val="single" w:sz="4" w:space="0" w:color="FFC000"/>
                  </w:tcBorders>
                </w:tcPr>
                <w:p w14:paraId="4D078AAC" w14:textId="77777777" w:rsidR="00F75306" w:rsidRPr="00F75306" w:rsidRDefault="00F75306" w:rsidP="00F75306">
                  <w:pPr>
                    <w:rPr>
                      <w:szCs w:val="20"/>
                    </w:rPr>
                  </w:pPr>
                  <w:r w:rsidRPr="00F75306">
                    <w:rPr>
                      <w:szCs w:val="20"/>
                    </w:rPr>
                    <w:t>FEPC</w:t>
                  </w:r>
                </w:p>
              </w:tc>
              <w:tc>
                <w:tcPr>
                  <w:tcW w:w="1301" w:type="dxa"/>
                  <w:tcBorders>
                    <w:left w:val="single" w:sz="4" w:space="0" w:color="FFC000"/>
                    <w:bottom w:val="single" w:sz="4" w:space="0" w:color="FFC000"/>
                    <w:right w:val="single" w:sz="4" w:space="0" w:color="FFC000"/>
                  </w:tcBorders>
                </w:tcPr>
                <w:p w14:paraId="355FC266" w14:textId="77777777" w:rsidR="00F75306" w:rsidRPr="00F75306" w:rsidRDefault="00F75306" w:rsidP="00F75306">
                  <w:pPr>
                    <w:rPr>
                      <w:szCs w:val="20"/>
                    </w:rPr>
                  </w:pPr>
                  <w:r w:rsidRPr="00F75306">
                    <w:rPr>
                      <w:szCs w:val="20"/>
                    </w:rPr>
                    <w:t>I/A</w:t>
                  </w:r>
                </w:p>
              </w:tc>
              <w:tc>
                <w:tcPr>
                  <w:tcW w:w="1052" w:type="dxa"/>
                  <w:tcBorders>
                    <w:left w:val="single" w:sz="4" w:space="0" w:color="FFC000"/>
                    <w:bottom w:val="single" w:sz="4" w:space="0" w:color="FFC000"/>
                    <w:right w:val="single" w:sz="4" w:space="0" w:color="FFC000"/>
                  </w:tcBorders>
                </w:tcPr>
                <w:p w14:paraId="35B19BB2" w14:textId="77777777" w:rsidR="00F75306" w:rsidRPr="00F75306" w:rsidRDefault="00F75306" w:rsidP="00F75306">
                  <w:pPr>
                    <w:rPr>
                      <w:szCs w:val="20"/>
                    </w:rPr>
                  </w:pPr>
                  <w:r w:rsidRPr="00F75306">
                    <w:rPr>
                      <w:szCs w:val="20"/>
                    </w:rPr>
                    <w:t>I/A</w:t>
                  </w:r>
                </w:p>
              </w:tc>
              <w:tc>
                <w:tcPr>
                  <w:tcW w:w="1127" w:type="dxa"/>
                  <w:tcBorders>
                    <w:left w:val="single" w:sz="4" w:space="0" w:color="FFC000"/>
                    <w:bottom w:val="single" w:sz="4" w:space="0" w:color="FFC000"/>
                  </w:tcBorders>
                </w:tcPr>
                <w:p w14:paraId="79AED0EE" w14:textId="77777777" w:rsidR="00F75306" w:rsidRPr="00F75306" w:rsidRDefault="00F75306" w:rsidP="00F75306">
                  <w:pPr>
                    <w:rPr>
                      <w:szCs w:val="20"/>
                    </w:rPr>
                  </w:pPr>
                  <w:r w:rsidRPr="00F75306">
                    <w:rPr>
                      <w:szCs w:val="20"/>
                    </w:rPr>
                    <w:t>I/A</w:t>
                  </w:r>
                </w:p>
              </w:tc>
              <w:tc>
                <w:tcPr>
                  <w:tcW w:w="1108" w:type="dxa"/>
                  <w:tcBorders>
                    <w:left w:val="single" w:sz="4" w:space="0" w:color="FFC000"/>
                    <w:bottom w:val="single" w:sz="4" w:space="0" w:color="FFC000"/>
                  </w:tcBorders>
                </w:tcPr>
                <w:p w14:paraId="42922F6D" w14:textId="77777777" w:rsidR="00F75306" w:rsidRPr="00F75306" w:rsidRDefault="00F75306" w:rsidP="00F75306">
                  <w:pPr>
                    <w:rPr>
                      <w:szCs w:val="20"/>
                    </w:rPr>
                  </w:pPr>
                  <w:r w:rsidRPr="00F75306">
                    <w:rPr>
                      <w:szCs w:val="20"/>
                    </w:rPr>
                    <w:t>I/A</w:t>
                  </w:r>
                </w:p>
              </w:tc>
              <w:tc>
                <w:tcPr>
                  <w:tcW w:w="1137" w:type="dxa"/>
                  <w:tcBorders>
                    <w:left w:val="single" w:sz="4" w:space="0" w:color="FFC000"/>
                    <w:bottom w:val="single" w:sz="4" w:space="0" w:color="FFC000"/>
                  </w:tcBorders>
                </w:tcPr>
                <w:p w14:paraId="7D3230E6" w14:textId="77777777" w:rsidR="00F75306" w:rsidRPr="00F75306" w:rsidRDefault="00F75306" w:rsidP="00F75306">
                  <w:pPr>
                    <w:rPr>
                      <w:szCs w:val="20"/>
                    </w:rPr>
                  </w:pPr>
                  <w:r w:rsidRPr="00F75306">
                    <w:rPr>
                      <w:szCs w:val="20"/>
                    </w:rPr>
                    <w:t>I/A</w:t>
                  </w:r>
                </w:p>
              </w:tc>
              <w:tc>
                <w:tcPr>
                  <w:tcW w:w="1211" w:type="dxa"/>
                  <w:tcBorders>
                    <w:left w:val="single" w:sz="4" w:space="0" w:color="FFC000"/>
                    <w:bottom w:val="single" w:sz="4" w:space="0" w:color="FFC000"/>
                  </w:tcBorders>
                </w:tcPr>
                <w:p w14:paraId="098AF2A0" w14:textId="77777777" w:rsidR="00F75306" w:rsidRPr="00F75306" w:rsidRDefault="00F75306" w:rsidP="00F75306">
                  <w:pPr>
                    <w:rPr>
                      <w:szCs w:val="20"/>
                    </w:rPr>
                  </w:pPr>
                  <w:r w:rsidRPr="00F75306">
                    <w:rPr>
                      <w:szCs w:val="20"/>
                    </w:rPr>
                    <w:t>--</w:t>
                  </w:r>
                </w:p>
              </w:tc>
            </w:tr>
          </w:tbl>
          <w:p w14:paraId="0A9EB858" w14:textId="77777777" w:rsidR="00F75306" w:rsidRPr="00F75306" w:rsidRDefault="00F75306" w:rsidP="00F75306">
            <w:pPr>
              <w:rPr>
                <w:szCs w:val="20"/>
              </w:rPr>
            </w:pPr>
            <w:r w:rsidRPr="00F75306">
              <w:rPr>
                <w:szCs w:val="20"/>
              </w:rPr>
              <w:lastRenderedPageBreak/>
              <w:t xml:space="preserve">Based on the investigation across the 15 projects and especially of the seven above, the following lessons learnt were collected which are useful for the RenoInGR service development.  </w:t>
            </w:r>
          </w:p>
          <w:p w14:paraId="0612BFCB" w14:textId="77777777" w:rsidR="00F75306" w:rsidRPr="00F75306" w:rsidRDefault="00F75306" w:rsidP="00F75306">
            <w:pPr>
              <w:rPr>
                <w:szCs w:val="20"/>
              </w:rPr>
            </w:pPr>
            <w:r w:rsidRPr="00F75306">
              <w:rPr>
                <w:szCs w:val="20"/>
              </w:rPr>
              <w:t>A review of European One-Stop Shop (OSS) initiatives supporting municipalities and public building renovation shows that the most successful models combine integrated technical, financial, legal, and procurement support across the full renovation cycle.</w:t>
            </w:r>
          </w:p>
          <w:p w14:paraId="18548E96" w14:textId="77777777" w:rsidR="00F75306" w:rsidRPr="00F75306" w:rsidRDefault="00F75306" w:rsidP="00F75306">
            <w:pPr>
              <w:rPr>
                <w:szCs w:val="20"/>
              </w:rPr>
            </w:pPr>
            <w:r w:rsidRPr="00F75306">
              <w:rPr>
                <w:szCs w:val="20"/>
              </w:rPr>
              <w:t xml:space="preserve">Specific lessons learnt from the above seven projects were: </w:t>
            </w:r>
          </w:p>
          <w:p w14:paraId="7EEEE109" w14:textId="77777777" w:rsidR="00F75306" w:rsidRPr="00F75306" w:rsidRDefault="00F75306" w:rsidP="00F75306">
            <w:pPr>
              <w:pStyle w:val="ListParagraph"/>
              <w:numPr>
                <w:ilvl w:val="0"/>
                <w:numId w:val="39"/>
              </w:numPr>
              <w:spacing w:before="60" w:after="60" w:line="240" w:lineRule="auto"/>
              <w:jc w:val="both"/>
              <w:rPr>
                <w:szCs w:val="20"/>
              </w:rPr>
            </w:pPr>
            <w:r w:rsidRPr="00F75306">
              <w:rPr>
                <w:szCs w:val="20"/>
              </w:rPr>
              <w:t>Financial readiness must be embedded from the earliest stages, rather than treated as a downstream activity (CROSSFIT).  This is particularly relevant for RenoInGR.</w:t>
            </w:r>
          </w:p>
          <w:p w14:paraId="2D3C2097" w14:textId="77777777" w:rsidR="00F75306" w:rsidRPr="00F75306" w:rsidRDefault="00F75306" w:rsidP="00F75306">
            <w:pPr>
              <w:pStyle w:val="ListParagraph"/>
              <w:numPr>
                <w:ilvl w:val="0"/>
                <w:numId w:val="39"/>
              </w:numPr>
              <w:spacing w:before="60" w:after="60" w:line="240" w:lineRule="auto"/>
              <w:jc w:val="both"/>
              <w:rPr>
                <w:szCs w:val="20"/>
              </w:rPr>
            </w:pPr>
            <w:r w:rsidRPr="00F75306">
              <w:rPr>
                <w:szCs w:val="20"/>
              </w:rPr>
              <w:t>Main success factor appears to be a strong regional governance combined with standardised M&amp;V and EPC frameworks (GASLESS). This is highly transferable to bundled municipal buildings.</w:t>
            </w:r>
          </w:p>
          <w:p w14:paraId="76BB0051" w14:textId="77777777" w:rsidR="00F75306" w:rsidRPr="00F75306" w:rsidRDefault="00F75306" w:rsidP="00F75306">
            <w:pPr>
              <w:pStyle w:val="ListParagraph"/>
              <w:numPr>
                <w:ilvl w:val="0"/>
                <w:numId w:val="39"/>
              </w:numPr>
              <w:spacing w:before="60" w:after="60" w:line="240" w:lineRule="auto"/>
              <w:jc w:val="both"/>
              <w:rPr>
                <w:szCs w:val="20"/>
              </w:rPr>
            </w:pPr>
            <w:r w:rsidRPr="00F75306">
              <w:rPr>
                <w:szCs w:val="20"/>
              </w:rPr>
              <w:t xml:space="preserve">Stronger digitalisation and standardised service templates facilitate scaling of the OSS services (CROSS) </w:t>
            </w:r>
          </w:p>
          <w:p w14:paraId="7F081DDB" w14:textId="77777777" w:rsidR="00F75306" w:rsidRPr="00F75306" w:rsidRDefault="00F75306" w:rsidP="00F75306">
            <w:pPr>
              <w:pStyle w:val="ListParagraph"/>
              <w:numPr>
                <w:ilvl w:val="0"/>
                <w:numId w:val="39"/>
              </w:numPr>
              <w:spacing w:before="60" w:after="60" w:line="240" w:lineRule="auto"/>
              <w:jc w:val="both"/>
              <w:rPr>
                <w:szCs w:val="20"/>
              </w:rPr>
            </w:pPr>
            <w:r w:rsidRPr="00F75306">
              <w:rPr>
                <w:szCs w:val="20"/>
              </w:rPr>
              <w:t>standardisation though key for successful services should not reduce flexibility for complex municipal cases (BAOBAP)</w:t>
            </w:r>
          </w:p>
          <w:p w14:paraId="756E5344" w14:textId="77777777" w:rsidR="00F75306" w:rsidRPr="00F75306" w:rsidRDefault="00F75306" w:rsidP="00F75306">
            <w:pPr>
              <w:pStyle w:val="ListParagraph"/>
              <w:numPr>
                <w:ilvl w:val="0"/>
                <w:numId w:val="39"/>
              </w:numPr>
              <w:spacing w:before="60" w:after="60" w:line="240" w:lineRule="auto"/>
              <w:jc w:val="both"/>
              <w:rPr>
                <w:szCs w:val="20"/>
              </w:rPr>
            </w:pPr>
            <w:r w:rsidRPr="00F75306">
              <w:rPr>
                <w:szCs w:val="20"/>
              </w:rPr>
              <w:t>coaching-only models may require stronger in-house engineering support for implementation stages (JINAG)</w:t>
            </w:r>
          </w:p>
          <w:p w14:paraId="247D4985" w14:textId="77777777" w:rsidR="00F75306" w:rsidRPr="00F75306" w:rsidRDefault="00F75306" w:rsidP="00F75306">
            <w:pPr>
              <w:pStyle w:val="ListParagraph"/>
              <w:numPr>
                <w:ilvl w:val="0"/>
                <w:numId w:val="39"/>
              </w:numPr>
              <w:spacing w:before="60" w:after="60" w:line="240" w:lineRule="auto"/>
              <w:jc w:val="both"/>
              <w:rPr>
                <w:szCs w:val="20"/>
              </w:rPr>
            </w:pPr>
            <w:r w:rsidRPr="00F75306">
              <w:rPr>
                <w:szCs w:val="20"/>
              </w:rPr>
              <w:t>local institutional trust significantly improves uptake (TRESS).</w:t>
            </w:r>
          </w:p>
          <w:p w14:paraId="757A49DB" w14:textId="77777777" w:rsidR="00F75306" w:rsidRPr="00F75306" w:rsidRDefault="00F75306" w:rsidP="00F75306">
            <w:pPr>
              <w:pBdr>
                <w:top w:val="single" w:sz="4" w:space="1" w:color="FFC000"/>
              </w:pBdr>
              <w:shd w:val="clear" w:color="auto" w:fill="F2F2F2" w:themeFill="background1" w:themeFillShade="F2"/>
              <w:rPr>
                <w:szCs w:val="20"/>
              </w:rPr>
            </w:pPr>
            <w:r w:rsidRPr="00F75306">
              <w:rPr>
                <w:szCs w:val="20"/>
              </w:rPr>
              <w:t>Across all initiatives, the most successful OSS services combine:</w:t>
            </w:r>
          </w:p>
          <w:p w14:paraId="6F704EE4" w14:textId="77777777" w:rsidR="00F75306" w:rsidRPr="00F75306" w:rsidRDefault="00F75306" w:rsidP="00F75306">
            <w:pPr>
              <w:pStyle w:val="ListParagraph"/>
              <w:numPr>
                <w:ilvl w:val="0"/>
                <w:numId w:val="40"/>
              </w:numPr>
              <w:shd w:val="clear" w:color="auto" w:fill="F2F2F2" w:themeFill="background1" w:themeFillShade="F2"/>
              <w:spacing w:before="60" w:after="60" w:line="240" w:lineRule="auto"/>
              <w:jc w:val="both"/>
              <w:rPr>
                <w:szCs w:val="20"/>
              </w:rPr>
            </w:pPr>
            <w:r w:rsidRPr="00F75306">
              <w:rPr>
                <w:szCs w:val="20"/>
              </w:rPr>
              <w:t>technical assistance</w:t>
            </w:r>
          </w:p>
          <w:p w14:paraId="428F763E" w14:textId="77777777" w:rsidR="00F75306" w:rsidRPr="00F75306" w:rsidRDefault="00F75306" w:rsidP="00F75306">
            <w:pPr>
              <w:pStyle w:val="ListParagraph"/>
              <w:numPr>
                <w:ilvl w:val="0"/>
                <w:numId w:val="40"/>
              </w:numPr>
              <w:shd w:val="clear" w:color="auto" w:fill="F2F2F2" w:themeFill="background1" w:themeFillShade="F2"/>
              <w:spacing w:before="60" w:after="60" w:line="240" w:lineRule="auto"/>
              <w:jc w:val="both"/>
              <w:rPr>
                <w:szCs w:val="20"/>
              </w:rPr>
            </w:pPr>
            <w:r w:rsidRPr="00F75306">
              <w:rPr>
                <w:szCs w:val="20"/>
              </w:rPr>
              <w:t>financial structuring</w:t>
            </w:r>
          </w:p>
          <w:p w14:paraId="14B7F447" w14:textId="77777777" w:rsidR="00F75306" w:rsidRPr="00F75306" w:rsidRDefault="00F75306" w:rsidP="00F75306">
            <w:pPr>
              <w:pStyle w:val="ListParagraph"/>
              <w:numPr>
                <w:ilvl w:val="0"/>
                <w:numId w:val="40"/>
              </w:numPr>
              <w:shd w:val="clear" w:color="auto" w:fill="F2F2F2" w:themeFill="background1" w:themeFillShade="F2"/>
              <w:spacing w:before="60" w:after="60" w:line="240" w:lineRule="auto"/>
              <w:jc w:val="both"/>
              <w:rPr>
                <w:szCs w:val="20"/>
              </w:rPr>
            </w:pPr>
            <w:r w:rsidRPr="00F75306">
              <w:rPr>
                <w:szCs w:val="20"/>
              </w:rPr>
              <w:t>procurement support</w:t>
            </w:r>
          </w:p>
          <w:p w14:paraId="702313C5" w14:textId="77777777" w:rsidR="00F75306" w:rsidRPr="00F75306" w:rsidRDefault="00F75306" w:rsidP="00F75306">
            <w:pPr>
              <w:pStyle w:val="ListParagraph"/>
              <w:numPr>
                <w:ilvl w:val="0"/>
                <w:numId w:val="40"/>
              </w:numPr>
              <w:shd w:val="clear" w:color="auto" w:fill="F2F2F2" w:themeFill="background1" w:themeFillShade="F2"/>
              <w:spacing w:before="60" w:after="60" w:line="240" w:lineRule="auto"/>
              <w:jc w:val="both"/>
              <w:rPr>
                <w:szCs w:val="20"/>
              </w:rPr>
            </w:pPr>
            <w:r w:rsidRPr="00F75306">
              <w:rPr>
                <w:szCs w:val="20"/>
              </w:rPr>
              <w:t>post-implementation monitoring</w:t>
            </w:r>
          </w:p>
          <w:p w14:paraId="0CBA4D74" w14:textId="77777777" w:rsidR="00F75306" w:rsidRPr="00F75306" w:rsidRDefault="00F75306" w:rsidP="00F75306">
            <w:pPr>
              <w:pStyle w:val="ListParagraph"/>
              <w:numPr>
                <w:ilvl w:val="0"/>
                <w:numId w:val="40"/>
              </w:numPr>
              <w:shd w:val="clear" w:color="auto" w:fill="F2F2F2" w:themeFill="background1" w:themeFillShade="F2"/>
              <w:spacing w:before="60" w:after="60" w:line="240" w:lineRule="auto"/>
              <w:jc w:val="both"/>
              <w:rPr>
                <w:szCs w:val="20"/>
              </w:rPr>
            </w:pPr>
            <w:r w:rsidRPr="00F75306">
              <w:rPr>
                <w:szCs w:val="20"/>
              </w:rPr>
              <w:t>trusted local governance</w:t>
            </w:r>
          </w:p>
          <w:p w14:paraId="623A095F" w14:textId="77777777" w:rsidR="00F75306" w:rsidRPr="00F75306" w:rsidRDefault="00F75306" w:rsidP="00F75306">
            <w:pPr>
              <w:pBdr>
                <w:bottom w:val="single" w:sz="4" w:space="1" w:color="FFC000"/>
              </w:pBdr>
              <w:shd w:val="clear" w:color="auto" w:fill="F2F2F2" w:themeFill="background1" w:themeFillShade="F2"/>
              <w:rPr>
                <w:szCs w:val="20"/>
              </w:rPr>
            </w:pPr>
            <w:r w:rsidRPr="00F75306">
              <w:rPr>
                <w:szCs w:val="20"/>
              </w:rPr>
              <w:t>The strongest lesson from EU experience is that fragmented advisory support is significantly less effective than integrated lifecycle services.</w:t>
            </w:r>
          </w:p>
          <w:p w14:paraId="67865E1F" w14:textId="77777777" w:rsidR="00F75306" w:rsidRPr="00F75306" w:rsidRDefault="00F75306" w:rsidP="00F75306">
            <w:pPr>
              <w:rPr>
                <w:szCs w:val="20"/>
              </w:rPr>
            </w:pPr>
          </w:p>
          <w:p w14:paraId="28D5B895" w14:textId="77777777" w:rsidR="00F75306" w:rsidRPr="00F75306" w:rsidRDefault="00F75306" w:rsidP="00F75306">
            <w:pPr>
              <w:pStyle w:val="Heading5"/>
              <w:rPr>
                <w:sz w:val="20"/>
                <w:szCs w:val="20"/>
              </w:rPr>
            </w:pPr>
            <w:r w:rsidRPr="00F75306">
              <w:rPr>
                <w:sz w:val="20"/>
                <w:szCs w:val="20"/>
              </w:rPr>
              <w:t>RenoInGR Services</w:t>
            </w:r>
          </w:p>
          <w:p w14:paraId="2A17067E" w14:textId="77777777" w:rsidR="00F75306" w:rsidRPr="00F75306" w:rsidRDefault="00F75306" w:rsidP="00F75306">
            <w:pPr>
              <w:rPr>
                <w:szCs w:val="20"/>
              </w:rPr>
            </w:pPr>
            <w:r w:rsidRPr="00F75306">
              <w:rPr>
                <w:szCs w:val="20"/>
              </w:rPr>
              <w:t xml:space="preserve">The RenoInGR OSS services were finalised based on the dialogues with municipalities and the market actors, and the conclusions, lessons learned and suggestions from completed and ongoing EU-funded projects that have established or are establishing OSS or similar facilitation structures.  </w:t>
            </w:r>
          </w:p>
          <w:p w14:paraId="5060EBDC" w14:textId="77777777" w:rsidR="00F75306" w:rsidRPr="00F75306" w:rsidRDefault="00F75306" w:rsidP="00F75306">
            <w:pPr>
              <w:rPr>
                <w:szCs w:val="20"/>
              </w:rPr>
            </w:pPr>
            <w:r w:rsidRPr="00F75306">
              <w:rPr>
                <w:szCs w:val="20"/>
              </w:rPr>
              <w:t>In line with the preliminary services identified for RenoInGR and presented in D3.1, the support to be provided will extend from the very beginning of the project development process up to the operation phase following renovation works and will integrate three levels of assistance as detailed below.</w:t>
            </w:r>
          </w:p>
          <w:p w14:paraId="314539D4" w14:textId="77777777" w:rsidR="00F75306" w:rsidRPr="00F75306" w:rsidRDefault="00F75306" w:rsidP="00F75306">
            <w:pPr>
              <w:rPr>
                <w:szCs w:val="20"/>
              </w:rPr>
            </w:pPr>
            <w:r w:rsidRPr="00F75306">
              <w:rPr>
                <w:szCs w:val="20"/>
              </w:rPr>
              <w:t>The services are presented in the following.</w:t>
            </w:r>
          </w:p>
          <w:p w14:paraId="47C84ADD" w14:textId="77777777" w:rsidR="00F75306" w:rsidRPr="00F75306" w:rsidRDefault="00F75306" w:rsidP="00F75306">
            <w:pPr>
              <w:rPr>
                <w:szCs w:val="20"/>
              </w:rPr>
            </w:pPr>
            <w:r w:rsidRPr="00F75306">
              <w:rPr>
                <w:szCs w:val="20"/>
                <w:u w:val="single"/>
              </w:rPr>
              <w:t>Engagement with municipalities</w:t>
            </w:r>
            <w:r w:rsidRPr="00F75306">
              <w:rPr>
                <w:szCs w:val="20"/>
              </w:rPr>
              <w:t xml:space="preserve">:  Two ways are foreseen </w:t>
            </w:r>
          </w:p>
          <w:p w14:paraId="69ECD9BF" w14:textId="77777777" w:rsidR="00F75306" w:rsidRPr="00F75306" w:rsidRDefault="00F75306" w:rsidP="00F75306">
            <w:pPr>
              <w:pStyle w:val="ListParagraph"/>
              <w:numPr>
                <w:ilvl w:val="0"/>
                <w:numId w:val="41"/>
              </w:numPr>
              <w:spacing w:before="60" w:after="60" w:line="240" w:lineRule="auto"/>
              <w:jc w:val="both"/>
              <w:rPr>
                <w:szCs w:val="20"/>
              </w:rPr>
            </w:pPr>
            <w:r w:rsidRPr="00F75306">
              <w:rPr>
                <w:szCs w:val="20"/>
              </w:rPr>
              <w:t xml:space="preserve">Direct contact with the physical office or through the OSS digital platform, </w:t>
            </w:r>
          </w:p>
          <w:p w14:paraId="3E6A6FF2" w14:textId="77777777" w:rsidR="00F75306" w:rsidRPr="00F75306" w:rsidRDefault="00F75306" w:rsidP="00F75306">
            <w:pPr>
              <w:pStyle w:val="ListParagraph"/>
              <w:numPr>
                <w:ilvl w:val="0"/>
                <w:numId w:val="41"/>
              </w:numPr>
              <w:spacing w:before="60" w:after="60" w:line="240" w:lineRule="auto"/>
              <w:jc w:val="both"/>
              <w:rPr>
                <w:szCs w:val="20"/>
              </w:rPr>
            </w:pPr>
            <w:r w:rsidRPr="00F75306">
              <w:rPr>
                <w:szCs w:val="20"/>
              </w:rPr>
              <w:t xml:space="preserve">Calls for expression of Interest concurrent with preliminary announcements of the public funding programmes.  Preliminary announcements are usually launched before the official launching of the funding programmes.  These calls will be open, that is the municipalities can apply any time convenient, but deadlines will be given for the bundling of the projects. </w:t>
            </w:r>
          </w:p>
          <w:p w14:paraId="14555E8C" w14:textId="77777777" w:rsidR="00F75306" w:rsidRPr="00F75306" w:rsidRDefault="00F75306" w:rsidP="00F75306">
            <w:pPr>
              <w:rPr>
                <w:szCs w:val="20"/>
              </w:rPr>
            </w:pPr>
            <w:r w:rsidRPr="00F75306">
              <w:rPr>
                <w:szCs w:val="20"/>
              </w:rPr>
              <w:lastRenderedPageBreak/>
              <w:t>Following the application of the municipality an assessment of “Readiness” will be made.  Readiness criteria include the data necessary for energy audits and administrative data.  These criteria are recorded in an EXCEL file (</w:t>
            </w:r>
            <w:r w:rsidRPr="00F75306">
              <w:rPr>
                <w:szCs w:val="20"/>
                <w:u w:val="single"/>
              </w:rPr>
              <w:t>Doc1</w:t>
            </w:r>
            <w:r w:rsidRPr="00F75306">
              <w:rPr>
                <w:rStyle w:val="FootnoteReference"/>
                <w:szCs w:val="20"/>
              </w:rPr>
              <w:footnoteReference w:id="1"/>
            </w:r>
            <w:r w:rsidRPr="00F75306">
              <w:rPr>
                <w:szCs w:val="20"/>
              </w:rPr>
              <w:t>) which will be available on the OSS platform.</w:t>
            </w:r>
          </w:p>
          <w:p w14:paraId="2A18ED37" w14:textId="77777777" w:rsidR="00F75306" w:rsidRPr="00F75306" w:rsidRDefault="00F75306" w:rsidP="00F75306">
            <w:pPr>
              <w:rPr>
                <w:szCs w:val="20"/>
              </w:rPr>
            </w:pPr>
            <w:r w:rsidRPr="00F75306">
              <w:rPr>
                <w:szCs w:val="20"/>
              </w:rPr>
              <w:t xml:space="preserve">The municipalities receive a service description (Doc 2), which will be available on the platform for downloading detailing the services that can be offered.  </w:t>
            </w:r>
          </w:p>
          <w:p w14:paraId="19510DFB" w14:textId="77777777" w:rsidR="00F75306" w:rsidRPr="00F75306" w:rsidRDefault="00F75306" w:rsidP="00F75306">
            <w:pPr>
              <w:rPr>
                <w:szCs w:val="20"/>
              </w:rPr>
            </w:pPr>
            <w:r w:rsidRPr="00F75306">
              <w:rPr>
                <w:szCs w:val="20"/>
              </w:rPr>
              <w:t>Following an official approval, e.g. from the municipal council of the cooperation with the OSS, an Agreement (</w:t>
            </w:r>
            <w:r w:rsidRPr="00F75306">
              <w:rPr>
                <w:szCs w:val="20"/>
                <w:u w:val="single"/>
              </w:rPr>
              <w:t>Doc 3</w:t>
            </w:r>
            <w:r w:rsidRPr="00F75306">
              <w:rPr>
                <w:szCs w:val="20"/>
              </w:rPr>
              <w:t xml:space="preserve">) is signed between the municipality and the OSS.  The Agreement will be available at the platform for downloading. </w:t>
            </w:r>
          </w:p>
          <w:p w14:paraId="55921619" w14:textId="77777777" w:rsidR="00F75306" w:rsidRPr="00F75306" w:rsidRDefault="00F75306" w:rsidP="00F75306">
            <w:pPr>
              <w:rPr>
                <w:szCs w:val="20"/>
              </w:rPr>
            </w:pPr>
            <w:r w:rsidRPr="00F75306">
              <w:rPr>
                <w:szCs w:val="20"/>
              </w:rPr>
              <w:t>Following these administrative steps, the municipality will start receiving support through the entire project development pathway.</w:t>
            </w:r>
          </w:p>
          <w:p w14:paraId="60669499" w14:textId="77777777" w:rsidR="00F75306" w:rsidRPr="00F75306" w:rsidRDefault="00F75306" w:rsidP="00F75306">
            <w:pPr>
              <w:rPr>
                <w:szCs w:val="20"/>
              </w:rPr>
            </w:pPr>
            <w:r w:rsidRPr="00F75306">
              <w:rPr>
                <w:szCs w:val="20"/>
              </w:rPr>
              <w:t>Figure 3.2 depicts the stages of the project development and the main activities to be undertaken.  The first stages and the activities in Fig. 3.2 differ somewhat compared to Fig 3.1 (Task 3.1) because they are divided into two stages for more detailed presentation of the planned services.</w:t>
            </w:r>
          </w:p>
          <w:p w14:paraId="5A5F916A" w14:textId="77777777" w:rsidR="00F75306" w:rsidRPr="00F75306" w:rsidRDefault="00F75306" w:rsidP="00F75306">
            <w:pPr>
              <w:rPr>
                <w:szCs w:val="20"/>
              </w:rPr>
            </w:pPr>
          </w:p>
          <w:p w14:paraId="1F5A7590" w14:textId="77777777" w:rsidR="00F75306" w:rsidRPr="00F75306" w:rsidRDefault="00F75306" w:rsidP="00F75306">
            <w:pPr>
              <w:ind w:left="-450"/>
              <w:jc w:val="center"/>
              <w:rPr>
                <w:szCs w:val="20"/>
              </w:rPr>
            </w:pPr>
            <w:r w:rsidRPr="00F75306">
              <w:rPr>
                <w:noProof/>
                <w:szCs w:val="20"/>
              </w:rPr>
              <w:drawing>
                <wp:inline distT="0" distB="0" distL="0" distR="0" wp14:anchorId="72915BC9" wp14:editId="7D6A1CEE">
                  <wp:extent cx="5386317" cy="745081"/>
                  <wp:effectExtent l="0" t="0" r="5080" b="0"/>
                  <wp:docPr id="12084740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481048" cy="758185"/>
                          </a:xfrm>
                          <a:prstGeom prst="rect">
                            <a:avLst/>
                          </a:prstGeom>
                          <a:noFill/>
                          <a:ln>
                            <a:noFill/>
                          </a:ln>
                        </pic:spPr>
                      </pic:pic>
                    </a:graphicData>
                  </a:graphic>
                </wp:inline>
              </w:drawing>
            </w:r>
          </w:p>
          <w:p w14:paraId="6C5CD7EC" w14:textId="77777777" w:rsidR="00F75306" w:rsidRPr="00F75306" w:rsidRDefault="00F75306" w:rsidP="00F75306">
            <w:pPr>
              <w:rPr>
                <w:szCs w:val="20"/>
              </w:rPr>
            </w:pPr>
            <w:r w:rsidRPr="00F75306">
              <w:rPr>
                <w:szCs w:val="20"/>
              </w:rPr>
              <w:t>Fig. 3.2 Project development stages</w:t>
            </w:r>
          </w:p>
          <w:p w14:paraId="40D464EE" w14:textId="77777777" w:rsidR="00F75306" w:rsidRPr="00F75306" w:rsidRDefault="00F75306" w:rsidP="00F75306">
            <w:pPr>
              <w:rPr>
                <w:szCs w:val="20"/>
              </w:rPr>
            </w:pPr>
          </w:p>
          <w:p w14:paraId="2F30E364" w14:textId="77777777" w:rsidR="00F75306" w:rsidRPr="00F75306" w:rsidRDefault="00F75306" w:rsidP="00F75306">
            <w:pPr>
              <w:rPr>
                <w:szCs w:val="20"/>
              </w:rPr>
            </w:pPr>
            <w:r w:rsidRPr="00F75306">
              <w:rPr>
                <w:szCs w:val="20"/>
              </w:rPr>
              <w:t>In the following, the services are presented.</w:t>
            </w:r>
          </w:p>
          <w:p w14:paraId="01904082" w14:textId="77777777" w:rsidR="00F75306" w:rsidRPr="00F75306" w:rsidRDefault="00F75306" w:rsidP="00F75306">
            <w:pPr>
              <w:rPr>
                <w:szCs w:val="20"/>
              </w:rPr>
            </w:pPr>
            <w:r w:rsidRPr="00F75306">
              <w:rPr>
                <w:szCs w:val="20"/>
              </w:rPr>
              <w:t>Table 3.4</w:t>
            </w:r>
          </w:p>
          <w:tbl>
            <w:tblPr>
              <w:tblStyle w:val="TableGrid"/>
              <w:tblW w:w="5000" w:type="pct"/>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Look w:val="04A0" w:firstRow="1" w:lastRow="0" w:firstColumn="1" w:lastColumn="0" w:noHBand="0" w:noVBand="1"/>
            </w:tblPr>
            <w:tblGrid>
              <w:gridCol w:w="8898"/>
            </w:tblGrid>
            <w:tr w:rsidR="00F75306" w:rsidRPr="00F75306" w14:paraId="36B2FB1E" w14:textId="77777777" w:rsidTr="00F75306">
              <w:tc>
                <w:tcPr>
                  <w:tcW w:w="5000" w:type="pct"/>
                  <w:shd w:val="clear" w:color="auto" w:fill="FFC91D"/>
                  <w:vAlign w:val="center"/>
                </w:tcPr>
                <w:p w14:paraId="16077227" w14:textId="77777777" w:rsidR="00F75306" w:rsidRPr="00F75306" w:rsidRDefault="00F75306" w:rsidP="00F75306">
                  <w:pPr>
                    <w:ind w:right="-12"/>
                    <w:rPr>
                      <w:b/>
                      <w:bCs/>
                      <w:szCs w:val="20"/>
                    </w:rPr>
                  </w:pPr>
                  <w:r w:rsidRPr="00F75306">
                    <w:rPr>
                      <w:b/>
                      <w:bCs/>
                      <w:color w:val="262626" w:themeColor="text1" w:themeTint="D9"/>
                      <w:szCs w:val="20"/>
                    </w:rPr>
                    <w:t xml:space="preserve">Stage 1 – </w:t>
                  </w:r>
                  <w:r w:rsidRPr="00F75306">
                    <w:rPr>
                      <w:b/>
                      <w:bCs/>
                      <w:i/>
                      <w:iCs/>
                      <w:color w:val="262626" w:themeColor="text1" w:themeTint="D9"/>
                      <w:szCs w:val="20"/>
                    </w:rPr>
                    <w:t>"Preliminary building selection – Preparatory Work"</w:t>
                  </w:r>
                </w:p>
              </w:tc>
            </w:tr>
            <w:tr w:rsidR="00F75306" w:rsidRPr="00F75306" w14:paraId="0B286A76" w14:textId="77777777" w:rsidTr="00F75306">
              <w:tc>
                <w:tcPr>
                  <w:tcW w:w="5000" w:type="pct"/>
                  <w:shd w:val="clear" w:color="auto" w:fill="F7F7F7"/>
                </w:tcPr>
                <w:p w14:paraId="0B586EAD" w14:textId="77777777" w:rsidR="00F75306" w:rsidRPr="00F75306" w:rsidRDefault="00F75306" w:rsidP="00F75306">
                  <w:pPr>
                    <w:pStyle w:val="ListParagraph"/>
                    <w:numPr>
                      <w:ilvl w:val="1"/>
                      <w:numId w:val="42"/>
                    </w:numPr>
                    <w:spacing w:before="60" w:after="60"/>
                    <w:jc w:val="both"/>
                    <w:rPr>
                      <w:szCs w:val="20"/>
                    </w:rPr>
                  </w:pPr>
                  <w:r w:rsidRPr="00F75306">
                    <w:rPr>
                      <w:szCs w:val="20"/>
                    </w:rPr>
                    <w:t>Identification of the buildings’ condition, listing the required documentation, and assisting in their collection (e.g., plans, energy consumption data)</w:t>
                  </w:r>
                </w:p>
                <w:p w14:paraId="5A9AAAA1" w14:textId="77777777" w:rsidR="00F75306" w:rsidRPr="00F75306" w:rsidRDefault="00F75306" w:rsidP="00F75306">
                  <w:pPr>
                    <w:pStyle w:val="ListParagraph"/>
                    <w:numPr>
                      <w:ilvl w:val="0"/>
                      <w:numId w:val="44"/>
                    </w:numPr>
                    <w:spacing w:before="60" w:after="60"/>
                    <w:jc w:val="both"/>
                    <w:rPr>
                      <w:szCs w:val="20"/>
                    </w:rPr>
                  </w:pPr>
                  <w:r w:rsidRPr="00F75306">
                    <w:rPr>
                      <w:szCs w:val="20"/>
                    </w:rPr>
                    <w:t xml:space="preserve">Support in the final selection of buildings to be renovated (prerequisites: clear ownership status, availability of plans, energy and fuel purchase invoices and consumption data, unless a change of use is planned; commitment to issuing pre-earthquake inspection certificate, SEAK, DHSME). </w:t>
                  </w:r>
                </w:p>
                <w:p w14:paraId="7A90BCC6" w14:textId="77777777" w:rsidR="00F75306" w:rsidRPr="00F75306" w:rsidRDefault="00F75306" w:rsidP="00F75306">
                  <w:pPr>
                    <w:pStyle w:val="ListParagraph"/>
                    <w:numPr>
                      <w:ilvl w:val="0"/>
                      <w:numId w:val="44"/>
                    </w:numPr>
                    <w:spacing w:before="60" w:after="60"/>
                    <w:jc w:val="both"/>
                    <w:rPr>
                      <w:szCs w:val="20"/>
                    </w:rPr>
                  </w:pPr>
                  <w:r w:rsidRPr="00F75306">
                    <w:rPr>
                      <w:szCs w:val="20"/>
                    </w:rPr>
                    <w:t>To address the problem of lack of ownership or building legalisation, a legalisation roadmap (</w:t>
                  </w:r>
                  <w:r w:rsidRPr="00F75306">
                    <w:rPr>
                      <w:szCs w:val="20"/>
                      <w:u w:val="single"/>
                    </w:rPr>
                    <w:t>Doc 4</w:t>
                  </w:r>
                  <w:r w:rsidRPr="00F75306">
                    <w:rPr>
                      <w:szCs w:val="20"/>
                    </w:rPr>
                    <w:t xml:space="preserve">) and support will be offered though these issues are not directly related to energy renovation.  However, without these approvals, the municipality cannot access public funding.  In the near future, the project will investigate whether this task can be carried out by the OSS on behalf of the municipalities needing this service) </w:t>
                  </w:r>
                </w:p>
                <w:p w14:paraId="1DA6F36A" w14:textId="77777777" w:rsidR="00F75306" w:rsidRPr="00F75306" w:rsidRDefault="00F75306" w:rsidP="00F75306">
                  <w:pPr>
                    <w:pStyle w:val="ListParagraph"/>
                    <w:numPr>
                      <w:ilvl w:val="1"/>
                      <w:numId w:val="42"/>
                    </w:numPr>
                    <w:spacing w:before="60" w:after="60"/>
                    <w:jc w:val="both"/>
                    <w:rPr>
                      <w:szCs w:val="20"/>
                    </w:rPr>
                  </w:pPr>
                  <w:r w:rsidRPr="00F75306">
                    <w:rPr>
                      <w:szCs w:val="20"/>
                    </w:rPr>
                    <w:t xml:space="preserve">Building selection and collection of missing technical and administrative documentation support (this support can range from a “to do check list” to executing the task on behalf of the municipality. However, the latter is not foreseen during the pilot phase of the OSS. </w:t>
                  </w:r>
                </w:p>
                <w:p w14:paraId="28D4EA2C" w14:textId="77777777" w:rsidR="00F75306" w:rsidRPr="00F75306" w:rsidRDefault="00F75306" w:rsidP="00F75306">
                  <w:pPr>
                    <w:pStyle w:val="ListParagraph"/>
                    <w:numPr>
                      <w:ilvl w:val="0"/>
                      <w:numId w:val="45"/>
                    </w:numPr>
                    <w:spacing w:before="60" w:after="60"/>
                    <w:jc w:val="both"/>
                    <w:rPr>
                      <w:szCs w:val="20"/>
                    </w:rPr>
                  </w:pPr>
                  <w:r w:rsidRPr="00F75306">
                    <w:rPr>
                      <w:szCs w:val="20"/>
                    </w:rPr>
                    <w:lastRenderedPageBreak/>
                    <w:t>The OSS will investigate and provide guidance to municipalities concerning the execution of SEAK and DHSME. Concerning the Administrative Capacity Certification (gives eligibility to receive public funds), information on the application to be made to the relevant public bodies will be provided e.g. the steps required for their execution. This information will be available on the OSS platform.</w:t>
                  </w:r>
                </w:p>
              </w:tc>
            </w:tr>
            <w:tr w:rsidR="00F75306" w:rsidRPr="00F75306" w14:paraId="27259036" w14:textId="77777777" w:rsidTr="00F75306">
              <w:tc>
                <w:tcPr>
                  <w:tcW w:w="5000" w:type="pct"/>
                  <w:shd w:val="clear" w:color="auto" w:fill="FFC91D"/>
                </w:tcPr>
                <w:p w14:paraId="2888E77E" w14:textId="77777777" w:rsidR="00F75306" w:rsidRPr="00F75306" w:rsidRDefault="00F75306" w:rsidP="00F75306">
                  <w:pPr>
                    <w:rPr>
                      <w:b/>
                      <w:bCs/>
                      <w:szCs w:val="20"/>
                    </w:rPr>
                  </w:pPr>
                  <w:r w:rsidRPr="00F75306">
                    <w:rPr>
                      <w:b/>
                      <w:bCs/>
                      <w:szCs w:val="20"/>
                    </w:rPr>
                    <w:lastRenderedPageBreak/>
                    <w:t xml:space="preserve">Stage 2 – </w:t>
                  </w:r>
                  <w:r w:rsidRPr="00F75306">
                    <w:rPr>
                      <w:b/>
                      <w:bCs/>
                      <w:i/>
                      <w:iCs/>
                      <w:szCs w:val="20"/>
                    </w:rPr>
                    <w:t>"Project definition"</w:t>
                  </w:r>
                </w:p>
              </w:tc>
            </w:tr>
            <w:tr w:rsidR="00F75306" w:rsidRPr="00F75306" w14:paraId="20A117EA" w14:textId="77777777" w:rsidTr="00F75306">
              <w:tc>
                <w:tcPr>
                  <w:tcW w:w="5000" w:type="pct"/>
                  <w:shd w:val="clear" w:color="auto" w:fill="F7F7F7"/>
                </w:tcPr>
                <w:p w14:paraId="671A2D60" w14:textId="77777777" w:rsidR="00F75306" w:rsidRPr="00F75306" w:rsidRDefault="00F75306" w:rsidP="00F75306">
                  <w:pPr>
                    <w:pStyle w:val="ListParagraph"/>
                    <w:numPr>
                      <w:ilvl w:val="1"/>
                      <w:numId w:val="43"/>
                    </w:numPr>
                    <w:spacing w:before="60" w:after="60"/>
                    <w:jc w:val="both"/>
                    <w:rPr>
                      <w:szCs w:val="20"/>
                    </w:rPr>
                  </w:pPr>
                  <w:r w:rsidRPr="00F75306">
                    <w:rPr>
                      <w:szCs w:val="20"/>
                    </w:rPr>
                    <w:t>Finalisation of the selected buildings and definition of energy renovation targets</w:t>
                  </w:r>
                </w:p>
                <w:p w14:paraId="724B99D5" w14:textId="77777777" w:rsidR="00F75306" w:rsidRPr="00F75306" w:rsidRDefault="00F75306" w:rsidP="00F75306">
                  <w:pPr>
                    <w:pStyle w:val="ListParagraph"/>
                    <w:numPr>
                      <w:ilvl w:val="0"/>
                      <w:numId w:val="46"/>
                    </w:numPr>
                    <w:spacing w:before="60" w:after="60"/>
                    <w:jc w:val="both"/>
                    <w:rPr>
                      <w:szCs w:val="20"/>
                    </w:rPr>
                  </w:pPr>
                  <w:r w:rsidRPr="00F75306">
                    <w:rPr>
                      <w:szCs w:val="20"/>
                    </w:rPr>
                    <w:t xml:space="preserve">Guidelines (Deliverable D3.4) will be offered to support finalisation of building selection and setting of energy and environmental targets in line with EPBD recast and the provisions of the Greek regulations.  The Guidelines are available on the OSS platform as an interactive guidance, under the title “Project Development Guide”. </w:t>
                  </w:r>
                </w:p>
                <w:p w14:paraId="5959780A" w14:textId="77777777" w:rsidR="00F75306" w:rsidRPr="00F75306" w:rsidRDefault="00F75306" w:rsidP="00F75306">
                  <w:pPr>
                    <w:pStyle w:val="ListParagraph"/>
                    <w:numPr>
                      <w:ilvl w:val="0"/>
                      <w:numId w:val="49"/>
                    </w:numPr>
                    <w:spacing w:before="60" w:after="60"/>
                    <w:jc w:val="both"/>
                    <w:rPr>
                      <w:szCs w:val="20"/>
                    </w:rPr>
                  </w:pPr>
                  <w:r w:rsidRPr="00F75306">
                    <w:rPr>
                      <w:szCs w:val="20"/>
                    </w:rPr>
                    <w:t xml:space="preserve">Care must be taken to align targets with requirements usually set in the funding programmes, for funding approval.  Through the guidelines, the OSS give energy and environmental targets aligned with the EPBD and supports the municipalities with examples of renovated municipal buildings with ZEB and nZEB standards (D3.4, available on the platform under the “Support materials” tab. </w:t>
                  </w:r>
                </w:p>
                <w:p w14:paraId="585EF49E" w14:textId="77777777" w:rsidR="00F75306" w:rsidRPr="00F75306" w:rsidRDefault="00F75306" w:rsidP="00F75306">
                  <w:pPr>
                    <w:pStyle w:val="ListParagraph"/>
                    <w:numPr>
                      <w:ilvl w:val="1"/>
                      <w:numId w:val="43"/>
                    </w:numPr>
                    <w:spacing w:before="60" w:after="60"/>
                    <w:jc w:val="both"/>
                    <w:rPr>
                      <w:szCs w:val="20"/>
                      <w:lang w:val="el-GR"/>
                    </w:rPr>
                  </w:pPr>
                  <w:r w:rsidRPr="00F75306">
                    <w:rPr>
                      <w:szCs w:val="20"/>
                    </w:rPr>
                    <w:t>Public funding availability</w:t>
                  </w:r>
                </w:p>
                <w:p w14:paraId="4DDB3B32" w14:textId="77777777" w:rsidR="00F75306" w:rsidRPr="00F75306" w:rsidRDefault="00F75306" w:rsidP="00F75306">
                  <w:pPr>
                    <w:pStyle w:val="ListParagraph"/>
                    <w:numPr>
                      <w:ilvl w:val="0"/>
                      <w:numId w:val="47"/>
                    </w:numPr>
                    <w:spacing w:before="60" w:after="60"/>
                    <w:jc w:val="both"/>
                    <w:rPr>
                      <w:szCs w:val="20"/>
                    </w:rPr>
                  </w:pPr>
                  <w:r w:rsidRPr="00F75306">
                    <w:rPr>
                      <w:szCs w:val="20"/>
                    </w:rPr>
                    <w:t>The OSS supports the municipalities by providing continuous information about the planned and launched funding programmes</w:t>
                  </w:r>
                </w:p>
                <w:p w14:paraId="6E7AD948" w14:textId="77777777" w:rsidR="00F75306" w:rsidRPr="00F75306" w:rsidRDefault="00F75306" w:rsidP="00F75306">
                  <w:pPr>
                    <w:pStyle w:val="ListParagraph"/>
                    <w:numPr>
                      <w:ilvl w:val="0"/>
                      <w:numId w:val="47"/>
                    </w:numPr>
                    <w:spacing w:before="60" w:after="60"/>
                    <w:jc w:val="both"/>
                    <w:rPr>
                      <w:szCs w:val="20"/>
                    </w:rPr>
                  </w:pPr>
                  <w:r w:rsidRPr="00F75306">
                    <w:rPr>
                      <w:szCs w:val="20"/>
                    </w:rPr>
                    <w:t>Provides Advisory services to the municipalities for decision making</w:t>
                  </w:r>
                </w:p>
                <w:p w14:paraId="79EEA37A" w14:textId="77777777" w:rsidR="00F75306" w:rsidRPr="00F75306" w:rsidRDefault="00F75306" w:rsidP="00F75306">
                  <w:pPr>
                    <w:pStyle w:val="ListParagraph"/>
                    <w:numPr>
                      <w:ilvl w:val="1"/>
                      <w:numId w:val="43"/>
                    </w:numPr>
                    <w:spacing w:before="60" w:after="60"/>
                    <w:jc w:val="both"/>
                    <w:rPr>
                      <w:szCs w:val="20"/>
                    </w:rPr>
                  </w:pPr>
                  <w:r w:rsidRPr="00F75306">
                    <w:rPr>
                      <w:szCs w:val="20"/>
                    </w:rPr>
                    <w:t>Decision making whether the municipality will consider ESCO financing through and EnPC from this stage on or will follow the typical path of project development</w:t>
                  </w:r>
                </w:p>
                <w:p w14:paraId="53027721" w14:textId="77777777" w:rsidR="00F75306" w:rsidRPr="00F75306" w:rsidRDefault="00F75306" w:rsidP="00F75306">
                  <w:pPr>
                    <w:pStyle w:val="ListParagraph"/>
                    <w:numPr>
                      <w:ilvl w:val="0"/>
                      <w:numId w:val="48"/>
                    </w:numPr>
                    <w:spacing w:before="60" w:after="60"/>
                    <w:jc w:val="both"/>
                    <w:rPr>
                      <w:szCs w:val="20"/>
                    </w:rPr>
                  </w:pPr>
                  <w:r w:rsidRPr="00F75306">
                    <w:rPr>
                      <w:szCs w:val="20"/>
                    </w:rPr>
                    <w:t>The OSS will produce a document (</w:t>
                  </w:r>
                  <w:r w:rsidRPr="00F75306">
                    <w:rPr>
                      <w:szCs w:val="20"/>
                      <w:u w:val="single"/>
                    </w:rPr>
                    <w:t>Doc 5</w:t>
                  </w:r>
                  <w:r w:rsidRPr="00F75306">
                    <w:rPr>
                      <w:szCs w:val="20"/>
                    </w:rPr>
                    <w:t xml:space="preserve">) explaining the benefits, obligations, and pros and cons of financing through EnPC to facilitate decision making.  The municipality has also the opportunity to decide again on ENPC at Stage 4 where the financing plan is complete.  </w:t>
                  </w:r>
                </w:p>
              </w:tc>
            </w:tr>
            <w:tr w:rsidR="00F75306" w:rsidRPr="00F75306" w14:paraId="492FBC66" w14:textId="77777777" w:rsidTr="00F75306">
              <w:tc>
                <w:tcPr>
                  <w:tcW w:w="5000" w:type="pct"/>
                  <w:shd w:val="clear" w:color="auto" w:fill="FFC20C"/>
                </w:tcPr>
                <w:p w14:paraId="5F1F2733" w14:textId="77777777" w:rsidR="00F75306" w:rsidRPr="00F75306" w:rsidRDefault="00F75306" w:rsidP="00F75306">
                  <w:pPr>
                    <w:rPr>
                      <w:b/>
                      <w:bCs/>
                      <w:i/>
                      <w:iCs/>
                      <w:szCs w:val="20"/>
                    </w:rPr>
                  </w:pPr>
                  <w:r w:rsidRPr="00F75306">
                    <w:rPr>
                      <w:b/>
                      <w:bCs/>
                      <w:i/>
                      <w:iCs/>
                      <w:szCs w:val="20"/>
                    </w:rPr>
                    <w:t>Stage 3 – "Energy Renovation</w:t>
                  </w:r>
                  <w:r w:rsidRPr="00F75306">
                    <w:rPr>
                      <w:b/>
                      <w:bCs/>
                      <w:i/>
                      <w:iCs/>
                      <w:szCs w:val="20"/>
                      <w:lang w:val="el-GR"/>
                    </w:rPr>
                    <w:t xml:space="preserve"> </w:t>
                  </w:r>
                  <w:r w:rsidRPr="00F75306">
                    <w:rPr>
                      <w:b/>
                      <w:bCs/>
                      <w:i/>
                      <w:iCs/>
                      <w:szCs w:val="20"/>
                    </w:rPr>
                    <w:t>design"</w:t>
                  </w:r>
                </w:p>
              </w:tc>
            </w:tr>
            <w:tr w:rsidR="00F75306" w:rsidRPr="00F75306" w14:paraId="49029C27" w14:textId="77777777" w:rsidTr="00F75306">
              <w:tc>
                <w:tcPr>
                  <w:tcW w:w="5000" w:type="pct"/>
                  <w:shd w:val="clear" w:color="auto" w:fill="F7F7F7"/>
                </w:tcPr>
                <w:p w14:paraId="475B6BF9" w14:textId="77777777" w:rsidR="00F75306" w:rsidRPr="00F75306" w:rsidRDefault="00F75306" w:rsidP="00F75306">
                  <w:pPr>
                    <w:pStyle w:val="ListParagraph"/>
                    <w:numPr>
                      <w:ilvl w:val="1"/>
                      <w:numId w:val="50"/>
                    </w:numPr>
                    <w:spacing w:before="60" w:after="60"/>
                    <w:jc w:val="both"/>
                    <w:rPr>
                      <w:szCs w:val="20"/>
                    </w:rPr>
                  </w:pPr>
                  <w:r w:rsidRPr="00F75306">
                    <w:rPr>
                      <w:szCs w:val="20"/>
                    </w:rPr>
                    <w:t>Decision-making regarding the preparation of the energy renovation design study by the Technical Services of the Region or Municipality, or through assignment to an external consultant.</w:t>
                  </w:r>
                </w:p>
                <w:p w14:paraId="1949FDE9" w14:textId="77777777" w:rsidR="00F75306" w:rsidRPr="00F75306" w:rsidRDefault="00F75306" w:rsidP="00F75306">
                  <w:pPr>
                    <w:pStyle w:val="ListParagraph"/>
                    <w:numPr>
                      <w:ilvl w:val="0"/>
                      <w:numId w:val="48"/>
                    </w:numPr>
                    <w:spacing w:before="60" w:after="60"/>
                    <w:jc w:val="both"/>
                    <w:rPr>
                      <w:szCs w:val="20"/>
                    </w:rPr>
                  </w:pPr>
                  <w:r w:rsidRPr="00F75306">
                    <w:rPr>
                      <w:szCs w:val="20"/>
                    </w:rPr>
                    <w:t>At this stage the municipality must decide whether the renovation design will be carried out internally or tendered through an open bid.  This decision-making pertains to medium and large sized municipalities.  Concerning the small island and mountainous municipalities, the OSS will prepare and will prepare the tender documents for the bid and launch the bid on their behalf if this is requested by a municipality.</w:t>
                  </w:r>
                </w:p>
                <w:p w14:paraId="469E8DF0" w14:textId="77777777" w:rsidR="00F75306" w:rsidRPr="00F75306" w:rsidRDefault="00F75306" w:rsidP="00F75306">
                  <w:pPr>
                    <w:pStyle w:val="ListParagraph"/>
                    <w:numPr>
                      <w:ilvl w:val="1"/>
                      <w:numId w:val="50"/>
                    </w:numPr>
                    <w:spacing w:before="60" w:after="60"/>
                    <w:jc w:val="both"/>
                    <w:rPr>
                      <w:szCs w:val="20"/>
                    </w:rPr>
                  </w:pPr>
                  <w:r w:rsidRPr="00F75306">
                    <w:rPr>
                      <w:szCs w:val="20"/>
                    </w:rPr>
                    <w:t>Execution of the renovation design and preparation of the technical tender documents for renovation works</w:t>
                  </w:r>
                </w:p>
                <w:p w14:paraId="4BB8162A" w14:textId="77777777" w:rsidR="00F75306" w:rsidRPr="00F75306" w:rsidRDefault="00F75306" w:rsidP="00F75306">
                  <w:pPr>
                    <w:pStyle w:val="ListParagraph"/>
                    <w:numPr>
                      <w:ilvl w:val="0"/>
                      <w:numId w:val="48"/>
                    </w:numPr>
                    <w:spacing w:before="60" w:after="60"/>
                    <w:jc w:val="both"/>
                    <w:rPr>
                      <w:szCs w:val="20"/>
                    </w:rPr>
                  </w:pPr>
                  <w:r w:rsidRPr="00F75306">
                    <w:rPr>
                      <w:szCs w:val="20"/>
                    </w:rPr>
                    <w:t xml:space="preserve">The OSS will provide a template (Doc 6) for the renovation tender document, incorporating </w:t>
                  </w:r>
                  <w:r w:rsidRPr="00F75306">
                    <w:rPr>
                      <w:rFonts w:ascii="Calibri" w:hAnsi="Calibri" w:cs="Calibri"/>
                      <w:color w:val="000000"/>
                      <w:szCs w:val="20"/>
                    </w:rPr>
                    <w:t xml:space="preserve">detailed provisions to meet renovation objectives of </w:t>
                  </w:r>
                  <w:r w:rsidRPr="00F75306">
                    <w:rPr>
                      <w:rFonts w:ascii="Calibri" w:hAnsi="Calibri" w:cs="Calibri"/>
                      <w:b/>
                      <w:color w:val="000000"/>
                      <w:szCs w:val="20"/>
                    </w:rPr>
                    <w:t>zero operational emissions and/or nZEB standards, as well as requirements for low embodied carbon materials</w:t>
                  </w:r>
                  <w:r w:rsidRPr="00F75306">
                    <w:rPr>
                      <w:szCs w:val="20"/>
                    </w:rPr>
                    <w:t xml:space="preserve">.  The template is prepared based on the standard tender document produced by the National Authority of Public Contracts (EADHSY) for tendering design studies and a similar template produced in PRODESA, a completed H2020-funded project.  The alterations made are mainly pertinent to the objectives of the renovation design, the expected outcomes, the qualifications of implementation team, the evaluation criteria, and method of scoring. Regarding the expected outcomes, the implementation team is requested to carry out audits, investigate interventions considering the guidelines included in the template, formulate up to three scenarios and carry out an LCC assessment to rank these scenarios.  Ranking is expected to be made based not only on the LCC results, but on some additional criteria pertinent to building conditions and health.  Additionally, the Implementation Team is asked to prepare the technical tender documents for the construction bid to be launched next, in Stage 5.  Concerning the guidelines of the template they include terms relevant to the heating and cooling systems, especially regarding the heat pump sizing and installation, </w:t>
                  </w:r>
                  <w:r w:rsidRPr="00F75306">
                    <w:rPr>
                      <w:szCs w:val="20"/>
                    </w:rPr>
                    <w:lastRenderedPageBreak/>
                    <w:t>ventilation with heat recovery, building shell improvement (external insulation, windows, infiltration, shading), hot water, PV and thermal solar systems, building management and control systems, as well as low embodied carbon materials and selection guidance.</w:t>
                  </w:r>
                </w:p>
                <w:p w14:paraId="70372B43" w14:textId="77777777" w:rsidR="00F75306" w:rsidRPr="00F75306" w:rsidRDefault="00F75306" w:rsidP="00F75306">
                  <w:pPr>
                    <w:ind w:left="720"/>
                    <w:rPr>
                      <w:szCs w:val="20"/>
                    </w:rPr>
                  </w:pPr>
                  <w:r w:rsidRPr="00F75306">
                    <w:rPr>
                      <w:szCs w:val="20"/>
                    </w:rPr>
                    <w:t>DoC 5 has been prepared by EUDITI and reviewed by CRES, the legal Partner Kelemenis &amp;Co, four field architects and engineers outside the consortium with long experience on public building renovation design, and the Consortium municipalities and Regions.</w:t>
                  </w:r>
                </w:p>
                <w:p w14:paraId="0F8399A9" w14:textId="77777777" w:rsidR="00F75306" w:rsidRPr="00F75306" w:rsidRDefault="00F75306" w:rsidP="00F75306">
                  <w:pPr>
                    <w:pStyle w:val="ListParagraph"/>
                    <w:rPr>
                      <w:szCs w:val="20"/>
                    </w:rPr>
                  </w:pPr>
                  <w:r w:rsidRPr="00F75306">
                    <w:rPr>
                      <w:szCs w:val="20"/>
                    </w:rPr>
                    <w:t xml:space="preserve">The template is useful in both cases, namely in-house or out-sourced execution of the renovation design.  </w:t>
                  </w:r>
                </w:p>
                <w:p w14:paraId="46AAA6A9" w14:textId="77777777" w:rsidR="00F75306" w:rsidRPr="00F75306" w:rsidRDefault="00F75306" w:rsidP="00F75306">
                  <w:pPr>
                    <w:pStyle w:val="ListParagraph"/>
                    <w:numPr>
                      <w:ilvl w:val="1"/>
                      <w:numId w:val="50"/>
                    </w:numPr>
                    <w:spacing w:before="60" w:after="60"/>
                    <w:jc w:val="both"/>
                    <w:rPr>
                      <w:szCs w:val="20"/>
                    </w:rPr>
                  </w:pPr>
                  <w:r w:rsidRPr="00F75306">
                    <w:rPr>
                      <w:szCs w:val="20"/>
                    </w:rPr>
                    <w:t xml:space="preserve">Renovation design approval by the Technical Services or other Appointed Authorities </w:t>
                  </w:r>
                </w:p>
                <w:p w14:paraId="1BC87910" w14:textId="77777777" w:rsidR="00F75306" w:rsidRPr="00F75306" w:rsidRDefault="00F75306" w:rsidP="00F75306">
                  <w:pPr>
                    <w:pStyle w:val="ListParagraph"/>
                    <w:numPr>
                      <w:ilvl w:val="0"/>
                      <w:numId w:val="48"/>
                    </w:numPr>
                    <w:spacing w:before="60" w:after="60"/>
                    <w:jc w:val="both"/>
                    <w:rPr>
                      <w:szCs w:val="20"/>
                    </w:rPr>
                  </w:pPr>
                  <w:r w:rsidRPr="00F75306">
                    <w:rPr>
                      <w:szCs w:val="20"/>
                    </w:rPr>
                    <w:t>For the small-sized municipalities, support will be offered at check points along with the execution of the study and a review of the outcomes to provide feedback for acceptance or for improvements.</w:t>
                  </w:r>
                </w:p>
                <w:p w14:paraId="74D92237" w14:textId="77777777" w:rsidR="00F75306" w:rsidRPr="00F75306" w:rsidRDefault="00F75306" w:rsidP="00F75306">
                  <w:pPr>
                    <w:ind w:left="720"/>
                    <w:rPr>
                      <w:szCs w:val="20"/>
                    </w:rPr>
                  </w:pPr>
                  <w:r w:rsidRPr="00F75306">
                    <w:rPr>
                      <w:szCs w:val="20"/>
                    </w:rPr>
                    <w:t>Fo the medium sized and large municipalities, advisory services can be offered during the execution of the renovation study at check points and at the end for reviewing the deliverables and the technical documents for tendering the implementation.</w:t>
                  </w:r>
                </w:p>
              </w:tc>
            </w:tr>
            <w:tr w:rsidR="00F75306" w:rsidRPr="00F75306" w14:paraId="5DDDA8FB" w14:textId="77777777" w:rsidTr="00F75306">
              <w:tc>
                <w:tcPr>
                  <w:tcW w:w="5000" w:type="pct"/>
                  <w:shd w:val="clear" w:color="auto" w:fill="FFC20C"/>
                </w:tcPr>
                <w:p w14:paraId="042D6DE5" w14:textId="77777777" w:rsidR="00F75306" w:rsidRPr="00F75306" w:rsidRDefault="00F75306" w:rsidP="00F75306">
                  <w:pPr>
                    <w:rPr>
                      <w:b/>
                      <w:bCs/>
                      <w:i/>
                      <w:iCs/>
                      <w:szCs w:val="20"/>
                    </w:rPr>
                  </w:pPr>
                  <w:r w:rsidRPr="00F75306">
                    <w:rPr>
                      <w:b/>
                      <w:bCs/>
                      <w:i/>
                      <w:iCs/>
                      <w:szCs w:val="20"/>
                    </w:rPr>
                    <w:lastRenderedPageBreak/>
                    <w:t>Stage 4 – "Financing plan of the Energy Renovation"</w:t>
                  </w:r>
                </w:p>
              </w:tc>
            </w:tr>
            <w:tr w:rsidR="00F75306" w:rsidRPr="00F75306" w14:paraId="6F84E0D2" w14:textId="77777777" w:rsidTr="00F75306">
              <w:tc>
                <w:tcPr>
                  <w:tcW w:w="5000" w:type="pct"/>
                  <w:shd w:val="clear" w:color="auto" w:fill="F2F2F2" w:themeFill="background1" w:themeFillShade="F2"/>
                </w:tcPr>
                <w:p w14:paraId="1BA88744" w14:textId="77777777" w:rsidR="00F75306" w:rsidRPr="00F75306" w:rsidRDefault="00F75306" w:rsidP="00F75306">
                  <w:pPr>
                    <w:pStyle w:val="ListParagraph"/>
                    <w:numPr>
                      <w:ilvl w:val="1"/>
                      <w:numId w:val="51"/>
                    </w:numPr>
                    <w:spacing w:before="60" w:after="60"/>
                    <w:ind w:left="424"/>
                    <w:jc w:val="both"/>
                    <w:rPr>
                      <w:szCs w:val="20"/>
                    </w:rPr>
                  </w:pPr>
                  <w:r w:rsidRPr="00F75306">
                    <w:rPr>
                      <w:szCs w:val="20"/>
                    </w:rPr>
                    <w:t xml:space="preserve">Development of a financial plan and actions to secure funding, e.g., preparation of grant application.  </w:t>
                  </w:r>
                </w:p>
                <w:p w14:paraId="2B5A0CA1" w14:textId="77777777" w:rsidR="00F75306" w:rsidRPr="00F75306" w:rsidRDefault="00F75306" w:rsidP="00F75306">
                  <w:pPr>
                    <w:pStyle w:val="ListParagraph"/>
                    <w:numPr>
                      <w:ilvl w:val="0"/>
                      <w:numId w:val="48"/>
                    </w:numPr>
                    <w:spacing w:before="60" w:after="60"/>
                    <w:jc w:val="both"/>
                    <w:rPr>
                      <w:szCs w:val="20"/>
                    </w:rPr>
                  </w:pPr>
                  <w:r w:rsidRPr="00F75306">
                    <w:rPr>
                      <w:szCs w:val="20"/>
                    </w:rPr>
                    <w:t xml:space="preserve">As mentioned above, information on financing programmes will be available on the OSS platform so that municipalities can access updated information soon enough to prepare their application/dossier.  </w:t>
                  </w:r>
                </w:p>
                <w:p w14:paraId="38A3368F" w14:textId="77777777" w:rsidR="00F75306" w:rsidRPr="00F75306" w:rsidRDefault="00F75306" w:rsidP="00F75306">
                  <w:pPr>
                    <w:pStyle w:val="ListParagraph"/>
                    <w:numPr>
                      <w:ilvl w:val="0"/>
                      <w:numId w:val="48"/>
                    </w:numPr>
                    <w:spacing w:before="60" w:after="60"/>
                    <w:jc w:val="both"/>
                    <w:rPr>
                      <w:szCs w:val="20"/>
                    </w:rPr>
                  </w:pPr>
                  <w:r w:rsidRPr="00F75306">
                    <w:rPr>
                      <w:szCs w:val="20"/>
                    </w:rPr>
                    <w:t xml:space="preserve">Moreover, an easy-to-use tool (deliverable D 3.6) enabling comparison between several financing scenarios can assist municipalities in decision making. </w:t>
                  </w:r>
                </w:p>
                <w:p w14:paraId="6870DD05" w14:textId="77777777" w:rsidR="00F75306" w:rsidRPr="00F75306" w:rsidRDefault="00F75306" w:rsidP="00F75306">
                  <w:pPr>
                    <w:pStyle w:val="ListParagraph"/>
                    <w:numPr>
                      <w:ilvl w:val="0"/>
                      <w:numId w:val="48"/>
                    </w:numPr>
                    <w:spacing w:before="60" w:after="60"/>
                    <w:jc w:val="both"/>
                    <w:rPr>
                      <w:szCs w:val="20"/>
                    </w:rPr>
                  </w:pPr>
                  <w:r w:rsidRPr="00F75306">
                    <w:rPr>
                      <w:szCs w:val="20"/>
                    </w:rPr>
                    <w:t>For small-sized municipalities, the OSS will prepare the application for funding.</w:t>
                  </w:r>
                </w:p>
                <w:p w14:paraId="4CDBF72F" w14:textId="77777777" w:rsidR="00F75306" w:rsidRPr="00F75306" w:rsidRDefault="00F75306" w:rsidP="00F75306">
                  <w:pPr>
                    <w:pStyle w:val="ListParagraph"/>
                    <w:numPr>
                      <w:ilvl w:val="1"/>
                      <w:numId w:val="51"/>
                    </w:numPr>
                    <w:spacing w:before="60" w:after="60"/>
                    <w:ind w:left="424"/>
                    <w:jc w:val="both"/>
                    <w:rPr>
                      <w:szCs w:val="20"/>
                    </w:rPr>
                  </w:pPr>
                  <w:r w:rsidRPr="00F75306">
                    <w:rPr>
                      <w:szCs w:val="20"/>
                    </w:rPr>
                    <w:t>In the case a Municipality decides—directly or upon the OSS’s recommendation—to obtain private financing (e.g., through EnPC or the Energy Efficiency Obligation Scheme), the OSS undertakes the necessary procedures so that the project becomes eligible for funding from a single or combined sources.  In this case, the OSS will support all three types of municipalities, large, medium and small.</w:t>
                  </w:r>
                </w:p>
                <w:p w14:paraId="2DA6B545" w14:textId="77777777" w:rsidR="00F75306" w:rsidRPr="00F75306" w:rsidRDefault="00F75306" w:rsidP="00F75306">
                  <w:pPr>
                    <w:ind w:left="424"/>
                    <w:rPr>
                      <w:szCs w:val="20"/>
                    </w:rPr>
                  </w:pPr>
                  <w:r w:rsidRPr="00F75306">
                    <w:rPr>
                      <w:szCs w:val="20"/>
                    </w:rPr>
                    <w:t xml:space="preserve">As municipalities have limited knowledge of EnPC, the OSS will prepare a briefing note </w:t>
                  </w:r>
                  <w:r w:rsidRPr="00F75306">
                    <w:rPr>
                      <w:szCs w:val="20"/>
                      <w:u w:val="single"/>
                    </w:rPr>
                    <w:t>(Doc 5</w:t>
                  </w:r>
                  <w:r w:rsidRPr="00F75306">
                    <w:rPr>
                      <w:szCs w:val="20"/>
                    </w:rPr>
                    <w:t xml:space="preserve">) outlining the advantages and disadvantages of Energy Performance Contracting, along with one or two examples. Upon a municipality's request, the OSS can draft the technical section of a proposal to be submitted to the Municipal Council. This proposal will include financial data and comparisons of EnPC against other financing plans, enabling the municipality to decide whether to proceed with an EnPC.  </w:t>
                  </w:r>
                </w:p>
              </w:tc>
            </w:tr>
            <w:tr w:rsidR="00F75306" w:rsidRPr="00F75306" w14:paraId="5930751C" w14:textId="77777777" w:rsidTr="00F75306">
              <w:tc>
                <w:tcPr>
                  <w:tcW w:w="5000" w:type="pct"/>
                  <w:shd w:val="clear" w:color="auto" w:fill="FFC20C"/>
                </w:tcPr>
                <w:p w14:paraId="57B1C070" w14:textId="77777777" w:rsidR="00F75306" w:rsidRPr="00F75306" w:rsidRDefault="00F75306" w:rsidP="00F75306">
                  <w:pPr>
                    <w:rPr>
                      <w:b/>
                      <w:bCs/>
                      <w:i/>
                      <w:iCs/>
                      <w:szCs w:val="20"/>
                    </w:rPr>
                  </w:pPr>
                  <w:r w:rsidRPr="00F75306">
                    <w:rPr>
                      <w:b/>
                      <w:bCs/>
                      <w:i/>
                      <w:iCs/>
                      <w:szCs w:val="20"/>
                    </w:rPr>
                    <w:t>Stage 5 – "Implementation of renovation works"</w:t>
                  </w:r>
                </w:p>
              </w:tc>
            </w:tr>
            <w:tr w:rsidR="00F75306" w:rsidRPr="00F75306" w14:paraId="595520C8" w14:textId="77777777" w:rsidTr="00F75306">
              <w:tc>
                <w:tcPr>
                  <w:tcW w:w="5000" w:type="pct"/>
                  <w:shd w:val="clear" w:color="auto" w:fill="F7F7F7"/>
                </w:tcPr>
                <w:p w14:paraId="330986A5" w14:textId="77777777" w:rsidR="00F75306" w:rsidRPr="00F75306" w:rsidRDefault="00F75306" w:rsidP="00F75306">
                  <w:pPr>
                    <w:pStyle w:val="ListParagraph"/>
                    <w:numPr>
                      <w:ilvl w:val="1"/>
                      <w:numId w:val="54"/>
                    </w:numPr>
                    <w:spacing w:before="60" w:after="60"/>
                    <w:ind w:left="424"/>
                    <w:jc w:val="both"/>
                    <w:rPr>
                      <w:szCs w:val="20"/>
                    </w:rPr>
                  </w:pPr>
                  <w:r w:rsidRPr="00F75306">
                    <w:rPr>
                      <w:szCs w:val="20"/>
                    </w:rPr>
                    <w:t>At this point the municipality is ready to proceed with procuring renovation works.  The OSS can assist small-sized municipalities in drafting the tender documents, launching the tender, responding to any questions from the part of the bidders, and assist with the evaluation of received offers. This will be done whether it concerns a typical contract financed by public funds and equity or involves an EnPC.</w:t>
                  </w:r>
                </w:p>
                <w:p w14:paraId="0F7F28C2" w14:textId="77777777" w:rsidR="00F75306" w:rsidRPr="00F75306" w:rsidRDefault="00F75306" w:rsidP="00F75306">
                  <w:pPr>
                    <w:pStyle w:val="ListParagraph"/>
                    <w:numPr>
                      <w:ilvl w:val="1"/>
                      <w:numId w:val="54"/>
                    </w:numPr>
                    <w:spacing w:before="60" w:after="60"/>
                    <w:ind w:left="424"/>
                    <w:jc w:val="both"/>
                    <w:rPr>
                      <w:szCs w:val="20"/>
                    </w:rPr>
                  </w:pPr>
                  <w:r w:rsidRPr="00F75306">
                    <w:rPr>
                      <w:szCs w:val="20"/>
                    </w:rPr>
                    <w:t xml:space="preserve">If a medium and large sized municipality has decided to proceed with EnPC, then the OSS will provide full support consisting of assisting with the drafting of the tender and contract and evaluating the offers.  </w:t>
                  </w:r>
                </w:p>
                <w:p w14:paraId="1C4B5287" w14:textId="77777777" w:rsidR="00F75306" w:rsidRPr="00F75306" w:rsidRDefault="00F75306" w:rsidP="00F75306">
                  <w:pPr>
                    <w:pStyle w:val="ListParagraph"/>
                    <w:numPr>
                      <w:ilvl w:val="0"/>
                      <w:numId w:val="55"/>
                    </w:numPr>
                    <w:spacing w:before="60" w:after="60"/>
                    <w:jc w:val="both"/>
                    <w:rPr>
                      <w:szCs w:val="20"/>
                    </w:rPr>
                  </w:pPr>
                  <w:r w:rsidRPr="00F75306">
                    <w:rPr>
                      <w:szCs w:val="20"/>
                      <w:u w:val="single"/>
                    </w:rPr>
                    <w:t>DoC 7</w:t>
                  </w:r>
                  <w:r w:rsidRPr="00F75306">
                    <w:rPr>
                      <w:szCs w:val="20"/>
                    </w:rPr>
                    <w:t xml:space="preserve"> includes templates of Energy Performance Contracting for the municipalities to consult and/or adapt to their specific project requirements.</w:t>
                  </w:r>
                </w:p>
                <w:p w14:paraId="10A9B36D" w14:textId="77777777" w:rsidR="00F75306" w:rsidRPr="00F75306" w:rsidRDefault="00F75306" w:rsidP="00F75306">
                  <w:pPr>
                    <w:pStyle w:val="ListParagraph"/>
                    <w:numPr>
                      <w:ilvl w:val="1"/>
                      <w:numId w:val="54"/>
                    </w:numPr>
                    <w:spacing w:before="60" w:after="60"/>
                    <w:ind w:left="424"/>
                    <w:jc w:val="both"/>
                    <w:rPr>
                      <w:szCs w:val="20"/>
                    </w:rPr>
                  </w:pPr>
                  <w:r w:rsidRPr="00F75306">
                    <w:rPr>
                      <w:szCs w:val="20"/>
                    </w:rPr>
                    <w:t xml:space="preserve">OSS will provide support in following up the construction works as well as in assisting with commissioning in the cases of 5.1 and 5.2.  </w:t>
                  </w:r>
                </w:p>
              </w:tc>
            </w:tr>
            <w:tr w:rsidR="00F75306" w:rsidRPr="00F75306" w14:paraId="32FF7069" w14:textId="77777777" w:rsidTr="00F75306">
              <w:tc>
                <w:tcPr>
                  <w:tcW w:w="5000" w:type="pct"/>
                  <w:shd w:val="clear" w:color="auto" w:fill="FFC20C"/>
                </w:tcPr>
                <w:p w14:paraId="31D77DBC" w14:textId="77777777" w:rsidR="00F75306" w:rsidRPr="00F75306" w:rsidRDefault="00F75306" w:rsidP="00F75306">
                  <w:pPr>
                    <w:rPr>
                      <w:b/>
                      <w:bCs/>
                      <w:i/>
                      <w:iCs/>
                      <w:szCs w:val="20"/>
                    </w:rPr>
                  </w:pPr>
                  <w:r w:rsidRPr="00F75306">
                    <w:rPr>
                      <w:b/>
                      <w:bCs/>
                      <w:i/>
                      <w:iCs/>
                      <w:szCs w:val="20"/>
                    </w:rPr>
                    <w:t>Stage 6 – "Operation Phase -Post Renovation"</w:t>
                  </w:r>
                </w:p>
              </w:tc>
            </w:tr>
            <w:tr w:rsidR="00F75306" w:rsidRPr="00F75306" w14:paraId="6239AE7E" w14:textId="77777777" w:rsidTr="00F75306">
              <w:tc>
                <w:tcPr>
                  <w:tcW w:w="5000" w:type="pct"/>
                  <w:shd w:val="clear" w:color="auto" w:fill="F7F7F7"/>
                </w:tcPr>
                <w:p w14:paraId="0C884131" w14:textId="77777777" w:rsidR="00F75306" w:rsidRPr="00F75306" w:rsidRDefault="00F75306" w:rsidP="00F75306">
                  <w:pPr>
                    <w:ind w:left="-20"/>
                    <w:rPr>
                      <w:szCs w:val="20"/>
                    </w:rPr>
                  </w:pPr>
                  <w:r w:rsidRPr="00F75306">
                    <w:rPr>
                      <w:szCs w:val="20"/>
                    </w:rPr>
                    <w:t xml:space="preserve">The support consists of guidelines on how to ensure the designed operation of energy efficiency and RES interventions e.g. service installations, monitoring of energy consumption and maintain </w:t>
                  </w:r>
                  <w:r w:rsidRPr="00F75306">
                    <w:rPr>
                      <w:szCs w:val="20"/>
                    </w:rPr>
                    <w:lastRenderedPageBreak/>
                    <w:t>the BMS system and reliable accounts of energy consumption, and how to avoid the “rebound effect”.  The guidelines are included in the “Project Development Guide” delivered by Task 3.4.</w:t>
                  </w:r>
                </w:p>
              </w:tc>
            </w:tr>
          </w:tbl>
          <w:p w14:paraId="59E812BB" w14:textId="77777777" w:rsidR="00F75306" w:rsidRPr="00F75306" w:rsidRDefault="00F75306" w:rsidP="00F75306">
            <w:pPr>
              <w:rPr>
                <w:szCs w:val="20"/>
              </w:rPr>
            </w:pPr>
          </w:p>
          <w:p w14:paraId="37236C8C" w14:textId="77777777" w:rsidR="00F75306" w:rsidRPr="00F75306" w:rsidRDefault="00F75306" w:rsidP="00F75306">
            <w:pPr>
              <w:rPr>
                <w:szCs w:val="20"/>
              </w:rPr>
            </w:pPr>
            <w:r w:rsidRPr="00F75306">
              <w:rPr>
                <w:szCs w:val="20"/>
              </w:rPr>
              <w:t>At each stage of the project development there are documents (7 in total) supporting the services, tabulated below.</w:t>
            </w:r>
          </w:p>
          <w:p w14:paraId="6507FDD1" w14:textId="77777777" w:rsidR="00F75306" w:rsidRPr="00F75306" w:rsidRDefault="00F75306" w:rsidP="00F75306">
            <w:pPr>
              <w:rPr>
                <w:szCs w:val="20"/>
              </w:rPr>
            </w:pPr>
            <w:r w:rsidRPr="00F75306">
              <w:rPr>
                <w:szCs w:val="20"/>
              </w:rPr>
              <w:t>Table 3.5</w:t>
            </w:r>
          </w:p>
          <w:tbl>
            <w:tblPr>
              <w:tblStyle w:val="TableGrid"/>
              <w:tblW w:w="8995" w:type="dxa"/>
              <w:tblBorders>
                <w:top w:val="single" w:sz="4" w:space="0" w:color="FFC000"/>
                <w:left w:val="single" w:sz="4" w:space="0" w:color="FFC000"/>
                <w:bottom w:val="single" w:sz="4" w:space="0" w:color="FFC000"/>
                <w:right w:val="single" w:sz="4" w:space="0" w:color="FFC000"/>
                <w:insideH w:val="single" w:sz="4" w:space="0" w:color="FFC000"/>
                <w:insideV w:val="none" w:sz="0" w:space="0" w:color="auto"/>
              </w:tblBorders>
              <w:tblLook w:val="04A0" w:firstRow="1" w:lastRow="0" w:firstColumn="1" w:lastColumn="0" w:noHBand="0" w:noVBand="1"/>
            </w:tblPr>
            <w:tblGrid>
              <w:gridCol w:w="1435"/>
              <w:gridCol w:w="7560"/>
            </w:tblGrid>
            <w:tr w:rsidR="00F75306" w:rsidRPr="00F75306" w14:paraId="04CB7414" w14:textId="77777777" w:rsidTr="00F75306">
              <w:tc>
                <w:tcPr>
                  <w:tcW w:w="1435" w:type="dxa"/>
                  <w:shd w:val="clear" w:color="auto" w:fill="F2F2F2" w:themeFill="background1" w:themeFillShade="F2"/>
                </w:tcPr>
                <w:p w14:paraId="7EA11549" w14:textId="77777777" w:rsidR="00F75306" w:rsidRPr="00F75306" w:rsidRDefault="00F75306" w:rsidP="00F75306">
                  <w:pPr>
                    <w:jc w:val="center"/>
                    <w:rPr>
                      <w:rStyle w:val="Strong"/>
                      <w:szCs w:val="20"/>
                    </w:rPr>
                  </w:pPr>
                  <w:r w:rsidRPr="00F75306">
                    <w:rPr>
                      <w:rStyle w:val="Strong"/>
                      <w:szCs w:val="20"/>
                    </w:rPr>
                    <w:t>Supporting Documents</w:t>
                  </w:r>
                </w:p>
              </w:tc>
              <w:tc>
                <w:tcPr>
                  <w:tcW w:w="7560" w:type="dxa"/>
                  <w:shd w:val="clear" w:color="auto" w:fill="F2F2F2" w:themeFill="background1" w:themeFillShade="F2"/>
                </w:tcPr>
                <w:p w14:paraId="04BA93F9" w14:textId="77777777" w:rsidR="00F75306" w:rsidRPr="00F75306" w:rsidRDefault="00F75306" w:rsidP="00F75306">
                  <w:pPr>
                    <w:jc w:val="center"/>
                    <w:rPr>
                      <w:rStyle w:val="Strong"/>
                      <w:szCs w:val="20"/>
                    </w:rPr>
                  </w:pPr>
                  <w:r w:rsidRPr="00F75306">
                    <w:rPr>
                      <w:rStyle w:val="Strong"/>
                      <w:szCs w:val="20"/>
                    </w:rPr>
                    <w:t>Document description</w:t>
                  </w:r>
                </w:p>
              </w:tc>
            </w:tr>
            <w:tr w:rsidR="00F75306" w:rsidRPr="00F75306" w14:paraId="430C4301" w14:textId="77777777" w:rsidTr="00F75306">
              <w:tc>
                <w:tcPr>
                  <w:tcW w:w="1435" w:type="dxa"/>
                </w:tcPr>
                <w:p w14:paraId="0C30D4B9" w14:textId="77777777" w:rsidR="00F75306" w:rsidRPr="00F75306" w:rsidRDefault="00F75306" w:rsidP="00F75306">
                  <w:pPr>
                    <w:rPr>
                      <w:szCs w:val="20"/>
                    </w:rPr>
                  </w:pPr>
                  <w:r w:rsidRPr="00F75306">
                    <w:rPr>
                      <w:szCs w:val="20"/>
                    </w:rPr>
                    <w:t>Doc 1</w:t>
                  </w:r>
                </w:p>
              </w:tc>
              <w:tc>
                <w:tcPr>
                  <w:tcW w:w="7560" w:type="dxa"/>
                </w:tcPr>
                <w:p w14:paraId="485D6C30" w14:textId="77777777" w:rsidR="00F75306" w:rsidRPr="00F75306" w:rsidRDefault="00F75306" w:rsidP="00F75306">
                  <w:pPr>
                    <w:rPr>
                      <w:szCs w:val="20"/>
                    </w:rPr>
                  </w:pPr>
                  <w:r w:rsidRPr="00F75306">
                    <w:rPr>
                      <w:szCs w:val="20"/>
                    </w:rPr>
                    <w:t>This is an EXCEL file recording all necessary documents a municipality must have available for energy auditing and development of energy renovation interventions as well as receiving public funding, debt financing or financing through EnPC.</w:t>
                  </w:r>
                </w:p>
              </w:tc>
            </w:tr>
            <w:tr w:rsidR="00F75306" w:rsidRPr="00F75306" w14:paraId="14A13C6F" w14:textId="77777777" w:rsidTr="00F75306">
              <w:tc>
                <w:tcPr>
                  <w:tcW w:w="1435" w:type="dxa"/>
                  <w:shd w:val="clear" w:color="auto" w:fill="F2F2F2" w:themeFill="background1" w:themeFillShade="F2"/>
                </w:tcPr>
                <w:p w14:paraId="487367D6" w14:textId="77777777" w:rsidR="00F75306" w:rsidRPr="00F75306" w:rsidRDefault="00F75306" w:rsidP="00F75306">
                  <w:pPr>
                    <w:rPr>
                      <w:szCs w:val="20"/>
                    </w:rPr>
                  </w:pPr>
                  <w:r w:rsidRPr="00F75306">
                    <w:rPr>
                      <w:szCs w:val="20"/>
                    </w:rPr>
                    <w:t>Doc 2</w:t>
                  </w:r>
                </w:p>
              </w:tc>
              <w:tc>
                <w:tcPr>
                  <w:tcW w:w="7560" w:type="dxa"/>
                  <w:shd w:val="clear" w:color="auto" w:fill="F2F2F2" w:themeFill="background1" w:themeFillShade="F2"/>
                </w:tcPr>
                <w:p w14:paraId="0E635ADB" w14:textId="77777777" w:rsidR="00F75306" w:rsidRPr="00F75306" w:rsidRDefault="00F75306" w:rsidP="00F75306">
                  <w:pPr>
                    <w:rPr>
                      <w:szCs w:val="20"/>
                    </w:rPr>
                  </w:pPr>
                  <w:r w:rsidRPr="00F75306">
                    <w:rPr>
                      <w:szCs w:val="20"/>
                    </w:rPr>
                    <w:t>It describes in detail the services that a municipality can expect from the OSS.  From this offer, the municipality can decide the services it would like to receive.  This document will be further elaborated following the completion of Task 6.1 when the sustainability study will pinpoint how the OSS will be funded and the fee required to support operation.  It should be mentioned here again that the OSS operation will not compete with the market at any stage of project development, especially at stage 3.  On the contrary, it will speed up project development and offer through open bids energy renovation studies to be carried out by the relevant market actors, and construction projects at a second step. The OSS services will contribute to speed up renovations and tap the earmarked public funds which otherwise can be used in other economic areas.</w:t>
                  </w:r>
                </w:p>
              </w:tc>
            </w:tr>
            <w:tr w:rsidR="00F75306" w:rsidRPr="00F75306" w14:paraId="6633E560" w14:textId="77777777" w:rsidTr="00F75306">
              <w:tc>
                <w:tcPr>
                  <w:tcW w:w="1435" w:type="dxa"/>
                </w:tcPr>
                <w:p w14:paraId="08981CA2" w14:textId="77777777" w:rsidR="00F75306" w:rsidRPr="00F75306" w:rsidRDefault="00F75306" w:rsidP="00F75306">
                  <w:pPr>
                    <w:rPr>
                      <w:szCs w:val="20"/>
                    </w:rPr>
                  </w:pPr>
                  <w:r w:rsidRPr="00F75306">
                    <w:rPr>
                      <w:szCs w:val="20"/>
                    </w:rPr>
                    <w:t>Doc 3</w:t>
                  </w:r>
                </w:p>
              </w:tc>
              <w:tc>
                <w:tcPr>
                  <w:tcW w:w="7560" w:type="dxa"/>
                </w:tcPr>
                <w:p w14:paraId="4E8F3011" w14:textId="77777777" w:rsidR="00F75306" w:rsidRPr="00F75306" w:rsidRDefault="00F75306" w:rsidP="00F75306">
                  <w:pPr>
                    <w:ind w:left="-21"/>
                    <w:rPr>
                      <w:szCs w:val="20"/>
                    </w:rPr>
                  </w:pPr>
                  <w:r w:rsidRPr="00F75306">
                    <w:rPr>
                      <w:szCs w:val="20"/>
                    </w:rPr>
                    <w:t>Template of the Agreement between the OSS and the municipalities.  At this point, of project advancement, the template reflects the services provided to the pilot municipalities.  Following the completion of Rask 6.1 and Workpackage 4, the Agreement template will be reviewed.</w:t>
                  </w:r>
                </w:p>
              </w:tc>
            </w:tr>
            <w:tr w:rsidR="00F75306" w:rsidRPr="00F75306" w14:paraId="0DCBC366" w14:textId="77777777" w:rsidTr="00F75306">
              <w:tc>
                <w:tcPr>
                  <w:tcW w:w="1435" w:type="dxa"/>
                  <w:shd w:val="clear" w:color="auto" w:fill="F2F2F2" w:themeFill="background1" w:themeFillShade="F2"/>
                </w:tcPr>
                <w:p w14:paraId="6FF36E9C" w14:textId="77777777" w:rsidR="00F75306" w:rsidRPr="00F75306" w:rsidRDefault="00F75306" w:rsidP="00F75306">
                  <w:pPr>
                    <w:rPr>
                      <w:szCs w:val="20"/>
                    </w:rPr>
                  </w:pPr>
                  <w:r w:rsidRPr="00F75306">
                    <w:rPr>
                      <w:szCs w:val="20"/>
                    </w:rPr>
                    <w:t>Doc 4</w:t>
                  </w:r>
                </w:p>
              </w:tc>
              <w:tc>
                <w:tcPr>
                  <w:tcW w:w="7560" w:type="dxa"/>
                  <w:shd w:val="clear" w:color="auto" w:fill="F2F2F2" w:themeFill="background1" w:themeFillShade="F2"/>
                </w:tcPr>
                <w:p w14:paraId="68E75599" w14:textId="77777777" w:rsidR="00F75306" w:rsidRPr="00F75306" w:rsidRDefault="00F75306" w:rsidP="00F75306">
                  <w:pPr>
                    <w:rPr>
                      <w:szCs w:val="20"/>
                    </w:rPr>
                  </w:pPr>
                  <w:r w:rsidRPr="00F75306">
                    <w:rPr>
                      <w:szCs w:val="20"/>
                    </w:rPr>
                    <w:t>It contains information about the procedures a municipality should follow to obtain the required “Public Funding Management Adequacy” and the legalisation of municipal buildings as ownership status is not always clear.  Some municipal buildings are still registered with older ownership status.  Establishment of appropriate ownership is crucial for funding and energy performance contracting.</w:t>
                  </w:r>
                </w:p>
              </w:tc>
            </w:tr>
            <w:tr w:rsidR="00F75306" w:rsidRPr="00F75306" w14:paraId="3B10AEB5" w14:textId="77777777" w:rsidTr="00F75306">
              <w:tc>
                <w:tcPr>
                  <w:tcW w:w="1435" w:type="dxa"/>
                </w:tcPr>
                <w:p w14:paraId="5D13DA59" w14:textId="77777777" w:rsidR="00F75306" w:rsidRPr="00F75306" w:rsidRDefault="00F75306" w:rsidP="00F75306">
                  <w:pPr>
                    <w:rPr>
                      <w:szCs w:val="20"/>
                    </w:rPr>
                  </w:pPr>
                  <w:r w:rsidRPr="00F75306">
                    <w:rPr>
                      <w:szCs w:val="20"/>
                    </w:rPr>
                    <w:t>Doc 5</w:t>
                  </w:r>
                </w:p>
              </w:tc>
              <w:tc>
                <w:tcPr>
                  <w:tcW w:w="7560" w:type="dxa"/>
                </w:tcPr>
                <w:p w14:paraId="5DAC6E4F" w14:textId="77777777" w:rsidR="00F75306" w:rsidRPr="00F75306" w:rsidRDefault="00F75306" w:rsidP="00F75306">
                  <w:pPr>
                    <w:rPr>
                      <w:szCs w:val="20"/>
                    </w:rPr>
                  </w:pPr>
                  <w:r w:rsidRPr="00F75306">
                    <w:rPr>
                      <w:szCs w:val="20"/>
                    </w:rPr>
                    <w:t>This document explains the benefits, obligations, and pros and cons of financing through EnPC to facilitate decision making.</w:t>
                  </w:r>
                </w:p>
              </w:tc>
            </w:tr>
            <w:tr w:rsidR="00F75306" w:rsidRPr="00F75306" w14:paraId="22D87266" w14:textId="77777777" w:rsidTr="00F75306">
              <w:tc>
                <w:tcPr>
                  <w:tcW w:w="1435" w:type="dxa"/>
                  <w:shd w:val="clear" w:color="auto" w:fill="F2F2F2" w:themeFill="background1" w:themeFillShade="F2"/>
                </w:tcPr>
                <w:p w14:paraId="0A0B1FB6" w14:textId="77777777" w:rsidR="00F75306" w:rsidRPr="00F75306" w:rsidRDefault="00F75306" w:rsidP="00F75306">
                  <w:pPr>
                    <w:rPr>
                      <w:szCs w:val="20"/>
                    </w:rPr>
                  </w:pPr>
                  <w:r w:rsidRPr="00F75306">
                    <w:rPr>
                      <w:szCs w:val="20"/>
                    </w:rPr>
                    <w:t>Doc 6</w:t>
                  </w:r>
                </w:p>
              </w:tc>
              <w:tc>
                <w:tcPr>
                  <w:tcW w:w="7560" w:type="dxa"/>
                  <w:shd w:val="clear" w:color="auto" w:fill="F2F2F2" w:themeFill="background1" w:themeFillShade="F2"/>
                </w:tcPr>
                <w:p w14:paraId="67CC474E" w14:textId="77777777" w:rsidR="00F75306" w:rsidRPr="00F75306" w:rsidRDefault="00F75306" w:rsidP="00F75306">
                  <w:pPr>
                    <w:rPr>
                      <w:rFonts w:ascii="Calibri" w:hAnsi="Calibri"/>
                      <w:szCs w:val="20"/>
                    </w:rPr>
                  </w:pPr>
                  <w:r w:rsidRPr="00F75306">
                    <w:rPr>
                      <w:szCs w:val="20"/>
                    </w:rPr>
                    <w:t xml:space="preserve">A template, that can be used as an example of a renovation tender document, </w:t>
                  </w:r>
                  <w:r w:rsidRPr="00F75306">
                    <w:rPr>
                      <w:rFonts w:ascii="Calibri" w:hAnsi="Calibri" w:cs="Calibri"/>
                      <w:color w:val="000000"/>
                      <w:szCs w:val="20"/>
                    </w:rPr>
                    <w:t xml:space="preserve">incorporating detailed provisions to meet renovation objectives of </w:t>
                  </w:r>
                  <w:r w:rsidRPr="00F75306">
                    <w:rPr>
                      <w:rFonts w:ascii="Calibri" w:hAnsi="Calibri" w:cs="Calibri"/>
                      <w:b/>
                      <w:color w:val="000000"/>
                      <w:szCs w:val="20"/>
                    </w:rPr>
                    <w:t>zero operational emissions and/or nZEB standards, as well as requirements for low embodied carbon materials</w:t>
                  </w:r>
                  <w:r w:rsidRPr="00F75306">
                    <w:rPr>
                      <w:rFonts w:ascii="Calibri" w:hAnsi="Calibri" w:cs="Calibri"/>
                      <w:color w:val="000000"/>
                      <w:szCs w:val="20"/>
                    </w:rPr>
                    <w:t>.</w:t>
                  </w:r>
                  <w:r w:rsidRPr="00F75306">
                    <w:rPr>
                      <w:rFonts w:cs="Calibri"/>
                      <w:color w:val="000000"/>
                      <w:szCs w:val="20"/>
                    </w:rPr>
                    <w:t xml:space="preserve"> </w:t>
                  </w:r>
                  <w:r w:rsidRPr="00F75306">
                    <w:rPr>
                      <w:szCs w:val="20"/>
                    </w:rPr>
                    <w:t>The template is prepared based on the standard tender document produced by the National Authority of Public Contracts (EADHSY) for tendering design studies and a similar template produced in PRODESA, a completed H2020-funded project.  The document is available on the OSS platform and can also be reached through the “Guide for Project Development”, also available on the platform.</w:t>
                  </w:r>
                </w:p>
              </w:tc>
            </w:tr>
            <w:tr w:rsidR="00F75306" w:rsidRPr="00F75306" w14:paraId="5D4B3C8E" w14:textId="77777777" w:rsidTr="00F75306">
              <w:tc>
                <w:tcPr>
                  <w:tcW w:w="1435" w:type="dxa"/>
                </w:tcPr>
                <w:p w14:paraId="64A97E95" w14:textId="77777777" w:rsidR="00F75306" w:rsidRPr="00F75306" w:rsidRDefault="00F75306" w:rsidP="00F75306">
                  <w:pPr>
                    <w:rPr>
                      <w:szCs w:val="20"/>
                    </w:rPr>
                  </w:pPr>
                  <w:r w:rsidRPr="00F75306">
                    <w:rPr>
                      <w:szCs w:val="20"/>
                    </w:rPr>
                    <w:t>Doc 7</w:t>
                  </w:r>
                </w:p>
              </w:tc>
              <w:tc>
                <w:tcPr>
                  <w:tcW w:w="7560" w:type="dxa"/>
                </w:tcPr>
                <w:p w14:paraId="5569F790" w14:textId="77777777" w:rsidR="00F75306" w:rsidRPr="00F75306" w:rsidRDefault="00F75306" w:rsidP="00F75306">
                  <w:pPr>
                    <w:rPr>
                      <w:szCs w:val="20"/>
                    </w:rPr>
                  </w:pPr>
                  <w:r w:rsidRPr="00F75306">
                    <w:rPr>
                      <w:szCs w:val="20"/>
                    </w:rPr>
                    <w:t xml:space="preserve">It presents templates of Energy Performance Contracting for the municipalities to consult and/or adapt to their specific project requirements.  They are drafted based on standard documents of the EADHSY and provide clauses on financing of the works and services, economic and financing adequacy of the municipality, technical and professional qualifications of the ESCO, evaluation criteria including on-off criteria, payment terms and penalties, measurement and verification scheme (M&amp;V) which is suited to most municipal building energy renovations, and risk distribution among the contract parties.  There are </w:t>
                  </w:r>
                  <w:r w:rsidRPr="00F75306">
                    <w:rPr>
                      <w:b/>
                      <w:bCs/>
                      <w:szCs w:val="20"/>
                    </w:rPr>
                    <w:t>two such templates</w:t>
                  </w:r>
                  <w:r w:rsidRPr="00F75306">
                    <w:rPr>
                      <w:szCs w:val="20"/>
                    </w:rPr>
                    <w:t xml:space="preserve">, one </w:t>
                  </w:r>
                  <w:r w:rsidRPr="00F75306">
                    <w:rPr>
                      <w:szCs w:val="20"/>
                    </w:rPr>
                    <w:lastRenderedPageBreak/>
                    <w:t>suitable for the procurement of supply and services and the other for the procurement of works, supply and services.</w:t>
                  </w:r>
                </w:p>
              </w:tc>
            </w:tr>
            <w:tr w:rsidR="00F75306" w:rsidRPr="00F75306" w14:paraId="7625A5E0" w14:textId="77777777" w:rsidTr="00F75306">
              <w:tc>
                <w:tcPr>
                  <w:tcW w:w="1435" w:type="dxa"/>
                  <w:shd w:val="clear" w:color="auto" w:fill="F2F2F2" w:themeFill="background1" w:themeFillShade="F2"/>
                </w:tcPr>
                <w:p w14:paraId="2A5F0D59" w14:textId="77777777" w:rsidR="00F75306" w:rsidRPr="00F75306" w:rsidRDefault="00F75306" w:rsidP="00F75306">
                  <w:pPr>
                    <w:rPr>
                      <w:szCs w:val="20"/>
                    </w:rPr>
                  </w:pPr>
                </w:p>
              </w:tc>
              <w:tc>
                <w:tcPr>
                  <w:tcW w:w="7560" w:type="dxa"/>
                  <w:shd w:val="clear" w:color="auto" w:fill="F2F2F2" w:themeFill="background1" w:themeFillShade="F2"/>
                </w:tcPr>
                <w:p w14:paraId="1B8FC92E" w14:textId="77777777" w:rsidR="00F75306" w:rsidRPr="00F75306" w:rsidRDefault="00F75306" w:rsidP="00F75306">
                  <w:pPr>
                    <w:rPr>
                      <w:szCs w:val="20"/>
                    </w:rPr>
                  </w:pPr>
                </w:p>
              </w:tc>
            </w:tr>
          </w:tbl>
          <w:p w14:paraId="1D597D1C" w14:textId="77777777" w:rsidR="00F75306" w:rsidRPr="00F75306" w:rsidRDefault="00F75306" w:rsidP="00F75306">
            <w:pPr>
              <w:rPr>
                <w:szCs w:val="20"/>
              </w:rPr>
            </w:pPr>
          </w:p>
          <w:p w14:paraId="0D216308" w14:textId="77777777" w:rsidR="00F75306" w:rsidRPr="00F75306" w:rsidRDefault="00F75306" w:rsidP="00F75306">
            <w:pPr>
              <w:rPr>
                <w:szCs w:val="20"/>
              </w:rPr>
            </w:pPr>
            <w:r w:rsidRPr="00F75306">
              <w:rPr>
                <w:szCs w:val="20"/>
              </w:rPr>
              <w:t>Various materials are planned to support Municipalities and enhance the OSS services.  They include examples of municipal buildings renovated to achieve zero operational emissions, a tool for assessing financing plans, and databases containing information on low embodied carbon materials, as well as on AECs (Architecture, Engineering, and Construction) companies and ESCOs. Additionally, municipalities have access to continuously updated information on public funding programmes, new regulations, and news from municipalities and regions across the EU. This helps them make better-informed decisions.  The support materials have been developed in Tasks 3.3, 3.4, 3.5 and 3.6 and are described in the related tasks below.</w:t>
            </w:r>
          </w:p>
          <w:p w14:paraId="54E0E4CD" w14:textId="77777777" w:rsidR="00F75306" w:rsidRPr="00F75306" w:rsidRDefault="00F75306" w:rsidP="00F75306">
            <w:pPr>
              <w:rPr>
                <w:szCs w:val="20"/>
              </w:rPr>
            </w:pPr>
          </w:p>
          <w:p w14:paraId="52B65D78" w14:textId="77777777" w:rsidR="00F75306" w:rsidRPr="00F75306" w:rsidRDefault="00F75306" w:rsidP="00F75306">
            <w:pPr>
              <w:rPr>
                <w:szCs w:val="20"/>
              </w:rPr>
            </w:pPr>
            <w:r w:rsidRPr="00F75306">
              <w:rPr>
                <w:szCs w:val="20"/>
              </w:rPr>
              <w:t>In this task, two templates of contracts and procurement tenders for the design of energy renovation and the implementation, respectively, have been developed in this task.</w:t>
            </w:r>
          </w:p>
          <w:p w14:paraId="392CABFF" w14:textId="77777777" w:rsidR="00F75306" w:rsidRPr="00F75306" w:rsidRDefault="00F75306" w:rsidP="00F75306">
            <w:pPr>
              <w:rPr>
                <w:szCs w:val="20"/>
              </w:rPr>
            </w:pPr>
            <w:r w:rsidRPr="00F75306">
              <w:rPr>
                <w:szCs w:val="20"/>
              </w:rPr>
              <w:t>The first template titled ‘Call for Tender for the Selection of a Contractor to Provide Technical Services’ supports the outsourcing of energy audits and energy renovation design will be standardised to avoid different priorities that may compromise the aim of clean energy transition and low carbon materials and allow fair evaluation of the offers.  The template has been developed by EUDITI and was based on standard tender document produced by the National Authority of Public Contracts (EADHSY) and the templates developed and used in the PRODESA</w:t>
            </w:r>
            <w:r w:rsidRPr="00F75306">
              <w:rPr>
                <w:rStyle w:val="FootnoteReference"/>
                <w:szCs w:val="20"/>
              </w:rPr>
              <w:footnoteReference w:id="2"/>
            </w:r>
            <w:r w:rsidRPr="00F75306">
              <w:rPr>
                <w:szCs w:val="20"/>
              </w:rPr>
              <w:t xml:space="preserve"> H2020 project. The technical scope was updated to include (i) new targets for clean energy transition, e.g. zero operational CO</w:t>
            </w:r>
            <w:r w:rsidRPr="00F75306">
              <w:rPr>
                <w:szCs w:val="20"/>
                <w:vertAlign w:val="subscript"/>
              </w:rPr>
              <w:t>2</w:t>
            </w:r>
            <w:r w:rsidRPr="00F75306">
              <w:rPr>
                <w:szCs w:val="20"/>
              </w:rPr>
              <w:t xml:space="preserve"> emissions, (ii) selection of building components for renovations with lower embodied CO</w:t>
            </w:r>
            <w:r w:rsidRPr="00F75306">
              <w:rPr>
                <w:szCs w:val="20"/>
                <w:vertAlign w:val="subscript"/>
              </w:rPr>
              <w:t>2</w:t>
            </w:r>
            <w:r w:rsidRPr="00F75306">
              <w:rPr>
                <w:szCs w:val="20"/>
              </w:rPr>
              <w:t xml:space="preserve"> including reusable, recycled and/or biobased materials, (iii) updated specifications for energy audits and calculation of energy baseline and savings, and (iv) requirements for a technical and economic appraisal based on Life Cycle Analysis.  The template is available on the OSS platform </w:t>
            </w:r>
            <w:hyperlink r:id="rId26" w:history="1">
              <w:r w:rsidRPr="00F75306">
                <w:rPr>
                  <w:rStyle w:val="Hyperlink"/>
                  <w:szCs w:val="20"/>
                </w:rPr>
                <w:t>https://oss.renoingr.gr/templates/</w:t>
              </w:r>
            </w:hyperlink>
            <w:r w:rsidRPr="00F75306">
              <w:rPr>
                <w:szCs w:val="20"/>
              </w:rPr>
              <w:t>, under the “Support materials” tab.</w:t>
            </w:r>
          </w:p>
          <w:p w14:paraId="01CF2298" w14:textId="77777777" w:rsidR="00F75306" w:rsidRPr="00F75306" w:rsidRDefault="00F75306" w:rsidP="00F75306">
            <w:pPr>
              <w:rPr>
                <w:szCs w:val="20"/>
              </w:rPr>
            </w:pPr>
            <w:r w:rsidRPr="00F75306">
              <w:rPr>
                <w:szCs w:val="20"/>
              </w:rPr>
              <w:t xml:space="preserve">The template has been reviewed by the legal partner “Kelemenis &amp;Co”, CRES, and the other consortium partners.  Additionally, it was reviewed by two PRODESA municipalities, (Municipality of Agii Anargyri Kamatero, and Municipality of Vari Voula Vouliagmeni) and </w:t>
            </w:r>
            <w:r w:rsidRPr="00F75306">
              <w:rPr>
                <w:szCs w:val="20"/>
                <w:u w:val="single"/>
              </w:rPr>
              <w:t>several</w:t>
            </w:r>
            <w:r w:rsidRPr="00F75306">
              <w:rPr>
                <w:szCs w:val="20"/>
              </w:rPr>
              <w:t xml:space="preserve"> field architects and engineers.</w:t>
            </w:r>
          </w:p>
          <w:p w14:paraId="026EC33E" w14:textId="77777777" w:rsidR="00F75306" w:rsidRPr="00F75306" w:rsidRDefault="00F75306" w:rsidP="00F75306">
            <w:pPr>
              <w:rPr>
                <w:szCs w:val="20"/>
              </w:rPr>
            </w:pPr>
            <w:r w:rsidRPr="00F75306">
              <w:rPr>
                <w:szCs w:val="20"/>
              </w:rPr>
              <w:t>As mentioned above, the document follows the National standard tender document and intervenes in the following parts/articles of the tender document.</w:t>
            </w:r>
          </w:p>
          <w:p w14:paraId="6E44C078" w14:textId="77777777" w:rsidR="00F75306" w:rsidRPr="00F75306" w:rsidRDefault="00F75306" w:rsidP="00F75306">
            <w:pPr>
              <w:pStyle w:val="ListParagraph"/>
              <w:numPr>
                <w:ilvl w:val="0"/>
                <w:numId w:val="56"/>
              </w:numPr>
              <w:spacing w:before="60" w:after="60" w:line="240" w:lineRule="auto"/>
              <w:jc w:val="both"/>
              <w:rPr>
                <w:szCs w:val="20"/>
              </w:rPr>
            </w:pPr>
            <w:r w:rsidRPr="00F75306">
              <w:rPr>
                <w:szCs w:val="20"/>
              </w:rPr>
              <w:t>Aim of the tender (introducing the above-mentioned target for decarbonisation and low consumption)</w:t>
            </w:r>
          </w:p>
          <w:p w14:paraId="5E98AD1B" w14:textId="77777777" w:rsidR="00F75306" w:rsidRPr="00F75306" w:rsidRDefault="00F75306" w:rsidP="00F75306">
            <w:pPr>
              <w:pStyle w:val="ListParagraph"/>
              <w:numPr>
                <w:ilvl w:val="0"/>
                <w:numId w:val="56"/>
              </w:numPr>
              <w:spacing w:before="60" w:after="60" w:line="240" w:lineRule="auto"/>
              <w:jc w:val="both"/>
              <w:rPr>
                <w:szCs w:val="20"/>
              </w:rPr>
            </w:pPr>
            <w:r w:rsidRPr="00F75306">
              <w:rPr>
                <w:szCs w:val="20"/>
              </w:rPr>
              <w:t>Qualifications of the tenderers and their team</w:t>
            </w:r>
          </w:p>
          <w:p w14:paraId="2235BE33" w14:textId="77777777" w:rsidR="00F75306" w:rsidRPr="00F75306" w:rsidRDefault="00F75306" w:rsidP="00F75306">
            <w:pPr>
              <w:pStyle w:val="ListParagraph"/>
              <w:numPr>
                <w:ilvl w:val="0"/>
                <w:numId w:val="56"/>
              </w:numPr>
              <w:spacing w:before="60" w:after="60" w:line="240" w:lineRule="auto"/>
              <w:jc w:val="both"/>
              <w:rPr>
                <w:szCs w:val="20"/>
              </w:rPr>
            </w:pPr>
            <w:r w:rsidRPr="00F75306">
              <w:rPr>
                <w:szCs w:val="20"/>
              </w:rPr>
              <w:t>Evaluation criteria</w:t>
            </w:r>
          </w:p>
          <w:p w14:paraId="02CE78C2" w14:textId="77777777" w:rsidR="00F75306" w:rsidRPr="00F75306" w:rsidRDefault="00F75306" w:rsidP="00F75306">
            <w:pPr>
              <w:pStyle w:val="ListParagraph"/>
              <w:numPr>
                <w:ilvl w:val="0"/>
                <w:numId w:val="56"/>
              </w:numPr>
              <w:spacing w:before="60" w:after="60" w:line="240" w:lineRule="auto"/>
              <w:jc w:val="both"/>
              <w:rPr>
                <w:szCs w:val="20"/>
                <w:lang w:val="el-GR"/>
              </w:rPr>
            </w:pPr>
            <w:r w:rsidRPr="00F75306">
              <w:rPr>
                <w:szCs w:val="20"/>
              </w:rPr>
              <w:t>Payment and reimbursement terms</w:t>
            </w:r>
          </w:p>
          <w:p w14:paraId="45FB4FDE" w14:textId="77777777" w:rsidR="00F75306" w:rsidRPr="00F75306" w:rsidRDefault="00F75306" w:rsidP="00F75306">
            <w:pPr>
              <w:pStyle w:val="ListParagraph"/>
              <w:numPr>
                <w:ilvl w:val="0"/>
                <w:numId w:val="56"/>
              </w:numPr>
              <w:spacing w:before="60" w:after="60" w:line="240" w:lineRule="auto"/>
              <w:jc w:val="both"/>
              <w:rPr>
                <w:szCs w:val="20"/>
              </w:rPr>
            </w:pPr>
            <w:r w:rsidRPr="00F75306">
              <w:rPr>
                <w:szCs w:val="20"/>
              </w:rPr>
              <w:t>Guarantee letters</w:t>
            </w:r>
          </w:p>
          <w:p w14:paraId="5533C3A1" w14:textId="77777777" w:rsidR="00F75306" w:rsidRPr="00F75306" w:rsidRDefault="00F75306" w:rsidP="00F75306">
            <w:pPr>
              <w:pStyle w:val="ListParagraph"/>
              <w:numPr>
                <w:ilvl w:val="0"/>
                <w:numId w:val="56"/>
              </w:numPr>
              <w:spacing w:before="60" w:after="60" w:line="240" w:lineRule="auto"/>
              <w:jc w:val="both"/>
              <w:rPr>
                <w:szCs w:val="20"/>
              </w:rPr>
            </w:pPr>
            <w:r w:rsidRPr="00F75306">
              <w:rPr>
                <w:szCs w:val="20"/>
              </w:rPr>
              <w:lastRenderedPageBreak/>
              <w:t>Detailed presentation of the tasks and deliverables (audits, intervention selection, LCC, compilation of the “Energy Performance Certificate”, development of the technical tender documents for the implementation of the energy renovation interventions)</w:t>
            </w:r>
          </w:p>
          <w:p w14:paraId="3DE4C903" w14:textId="77777777" w:rsidR="00F75306" w:rsidRPr="00F75306" w:rsidRDefault="00F75306" w:rsidP="00F75306">
            <w:pPr>
              <w:pStyle w:val="ListParagraph"/>
              <w:numPr>
                <w:ilvl w:val="0"/>
                <w:numId w:val="56"/>
              </w:numPr>
              <w:spacing w:before="60" w:after="60" w:line="240" w:lineRule="auto"/>
              <w:jc w:val="both"/>
              <w:rPr>
                <w:szCs w:val="20"/>
              </w:rPr>
            </w:pPr>
            <w:r w:rsidRPr="00F75306">
              <w:rPr>
                <w:szCs w:val="20"/>
              </w:rPr>
              <w:t>Technical guidelines for the investigation of energy and environmental efficiency interventions</w:t>
            </w:r>
          </w:p>
          <w:p w14:paraId="0D00438C" w14:textId="77777777" w:rsidR="00F75306" w:rsidRPr="00F75306" w:rsidRDefault="00F75306" w:rsidP="00F75306">
            <w:pPr>
              <w:rPr>
                <w:szCs w:val="20"/>
              </w:rPr>
            </w:pPr>
            <w:r w:rsidRPr="00F75306">
              <w:rPr>
                <w:szCs w:val="20"/>
              </w:rPr>
              <w:t xml:space="preserve">The second template concerns the implementation of the renovation interventions and particularly through an Energy Performance Contract.  It is noted that two different templates were produced, one for procurement of construction works and services and the other for supply and services and both are Guarantted Savings EnPC contracts. </w:t>
            </w:r>
          </w:p>
          <w:p w14:paraId="5E2C01F6" w14:textId="77777777" w:rsidR="00F75306" w:rsidRPr="00F75306" w:rsidRDefault="00F75306" w:rsidP="00F75306">
            <w:pPr>
              <w:rPr>
                <w:szCs w:val="20"/>
              </w:rPr>
            </w:pPr>
            <w:r w:rsidRPr="00F75306">
              <w:rPr>
                <w:szCs w:val="20"/>
              </w:rPr>
              <w:t xml:space="preserve">As with the template for the energy renovation design tender, a suitable national standard tender document was used in each case.  The templates are available at the same location as above </w:t>
            </w:r>
            <w:hyperlink r:id="rId27" w:history="1">
              <w:r w:rsidRPr="00F75306">
                <w:rPr>
                  <w:rStyle w:val="Hyperlink"/>
                  <w:szCs w:val="20"/>
                </w:rPr>
                <w:t>https://oss.renoingr.gr/templates/</w:t>
              </w:r>
            </w:hyperlink>
            <w:r w:rsidRPr="00F75306">
              <w:rPr>
                <w:szCs w:val="20"/>
              </w:rPr>
              <w:t xml:space="preserve">. </w:t>
            </w:r>
          </w:p>
          <w:p w14:paraId="59542BBC" w14:textId="77777777" w:rsidR="00F75306" w:rsidRPr="00F75306" w:rsidRDefault="00F75306" w:rsidP="00F75306">
            <w:pPr>
              <w:rPr>
                <w:szCs w:val="20"/>
              </w:rPr>
            </w:pPr>
            <w:r w:rsidRPr="00F75306">
              <w:rPr>
                <w:szCs w:val="20"/>
              </w:rPr>
              <w:t xml:space="preserve">The template specifies as above </w:t>
            </w:r>
            <w:r w:rsidRPr="00F75306">
              <w:rPr>
                <w:szCs w:val="20"/>
                <w:u w:val="single"/>
              </w:rPr>
              <w:t>the 5 first requirements</w:t>
            </w:r>
            <w:r w:rsidRPr="00F75306">
              <w:rPr>
                <w:szCs w:val="20"/>
              </w:rPr>
              <w:t xml:space="preserve"> for a Guaranteed Savings contract and the following ones: </w:t>
            </w:r>
          </w:p>
          <w:p w14:paraId="0D1E9E52" w14:textId="77777777" w:rsidR="00F75306" w:rsidRPr="00F75306" w:rsidRDefault="00F75306" w:rsidP="00F75306">
            <w:pPr>
              <w:pStyle w:val="ListParagraph"/>
              <w:numPr>
                <w:ilvl w:val="0"/>
                <w:numId w:val="57"/>
              </w:numPr>
              <w:spacing w:before="60" w:after="60" w:line="240" w:lineRule="auto"/>
              <w:jc w:val="both"/>
              <w:rPr>
                <w:szCs w:val="20"/>
              </w:rPr>
            </w:pPr>
            <w:r w:rsidRPr="00F75306">
              <w:rPr>
                <w:szCs w:val="20"/>
              </w:rPr>
              <w:t>Measurement &amp; Verification Programme</w:t>
            </w:r>
          </w:p>
          <w:p w14:paraId="6AAC6D27" w14:textId="77777777" w:rsidR="00F75306" w:rsidRPr="00F75306" w:rsidRDefault="00F75306" w:rsidP="00F75306">
            <w:pPr>
              <w:pStyle w:val="ListParagraph"/>
              <w:numPr>
                <w:ilvl w:val="0"/>
                <w:numId w:val="57"/>
              </w:numPr>
              <w:spacing w:before="60" w:after="60" w:line="240" w:lineRule="auto"/>
              <w:jc w:val="both"/>
              <w:rPr>
                <w:szCs w:val="20"/>
              </w:rPr>
            </w:pPr>
            <w:r w:rsidRPr="00F75306">
              <w:rPr>
                <w:szCs w:val="20"/>
              </w:rPr>
              <w:t>Payment terms and penalties in case savings fall behind the expected annual level</w:t>
            </w:r>
          </w:p>
          <w:p w14:paraId="73E4684D" w14:textId="77777777" w:rsidR="00F75306" w:rsidRPr="00F75306" w:rsidRDefault="00F75306" w:rsidP="00F75306">
            <w:pPr>
              <w:pStyle w:val="ListParagraph"/>
              <w:numPr>
                <w:ilvl w:val="0"/>
                <w:numId w:val="57"/>
              </w:numPr>
              <w:spacing w:before="60" w:after="60" w:line="240" w:lineRule="auto"/>
              <w:jc w:val="both"/>
              <w:rPr>
                <w:szCs w:val="20"/>
              </w:rPr>
            </w:pPr>
            <w:r w:rsidRPr="00F75306">
              <w:rPr>
                <w:szCs w:val="20"/>
              </w:rPr>
              <w:t>Provisions governing the assignment of receivables (factoring) or their discounting (forfeiting)</w:t>
            </w:r>
          </w:p>
          <w:p w14:paraId="1C824AD6" w14:textId="77777777" w:rsidR="00F75306" w:rsidRPr="00F75306" w:rsidRDefault="00F75306" w:rsidP="00F75306">
            <w:pPr>
              <w:pStyle w:val="ListParagraph"/>
              <w:numPr>
                <w:ilvl w:val="0"/>
                <w:numId w:val="57"/>
              </w:numPr>
              <w:spacing w:before="60" w:after="60" w:line="240" w:lineRule="auto"/>
              <w:jc w:val="both"/>
              <w:rPr>
                <w:szCs w:val="20"/>
              </w:rPr>
            </w:pPr>
            <w:r w:rsidRPr="00F75306">
              <w:rPr>
                <w:szCs w:val="20"/>
              </w:rPr>
              <w:t>Independent Third Party, which shall be responsible for the preparation of the Annual Verification Reports (AVRs), on the basis of which the annual payments from the Contracting Authority to the Contractor shall be approved.</w:t>
            </w:r>
          </w:p>
          <w:p w14:paraId="4D7DA6C5" w14:textId="77777777" w:rsidR="00F75306" w:rsidRPr="00F75306" w:rsidRDefault="00F75306" w:rsidP="00F75306">
            <w:pPr>
              <w:rPr>
                <w:szCs w:val="20"/>
              </w:rPr>
            </w:pPr>
            <w:r w:rsidRPr="00F75306">
              <w:rPr>
                <w:szCs w:val="20"/>
              </w:rPr>
              <w:t>The templates were adjusted by CRES (Partner 11) and reviewed by Kelemenis &amp; Co (Partner 12) and EUDITI (Partner 10).</w:t>
            </w:r>
          </w:p>
          <w:p w14:paraId="6873A1CA" w14:textId="77777777" w:rsidR="00F75306" w:rsidRPr="00F75306" w:rsidRDefault="00F75306" w:rsidP="00F75306">
            <w:pPr>
              <w:rPr>
                <w:szCs w:val="20"/>
              </w:rPr>
            </w:pPr>
          </w:p>
          <w:p w14:paraId="3712B480" w14:textId="77777777" w:rsidR="00F75306" w:rsidRPr="00F75306" w:rsidRDefault="00F75306" w:rsidP="00F75306">
            <w:pPr>
              <w:pStyle w:val="Heading5"/>
              <w:rPr>
                <w:sz w:val="20"/>
                <w:szCs w:val="20"/>
              </w:rPr>
            </w:pPr>
            <w:r w:rsidRPr="00F75306">
              <w:rPr>
                <w:sz w:val="20"/>
                <w:szCs w:val="20"/>
              </w:rPr>
              <w:t>Conclusions</w:t>
            </w:r>
          </w:p>
          <w:p w14:paraId="63A35E7A" w14:textId="77777777" w:rsidR="00F75306" w:rsidRPr="00F75306" w:rsidRDefault="00F75306" w:rsidP="00F75306">
            <w:pPr>
              <w:shd w:val="clear" w:color="auto" w:fill="F2F2F2" w:themeFill="background1" w:themeFillShade="F2"/>
              <w:rPr>
                <w:szCs w:val="20"/>
              </w:rPr>
            </w:pPr>
            <w:r w:rsidRPr="00F75306">
              <w:rPr>
                <w:szCs w:val="20"/>
              </w:rPr>
              <w:t xml:space="preserve">Overall, Task 3.2 has resulted in an updated set of services to be offered to the municipalities. They have been structured considering the results from the co-creation activities with the stakeholder groups and lessons learnt from current state-of the-art OSS and similar facilitation structures operating across the EU member states.  </w:t>
            </w:r>
          </w:p>
          <w:p w14:paraId="0D6C4F35" w14:textId="77777777" w:rsidR="00F75306" w:rsidRPr="00F75306" w:rsidRDefault="00F75306" w:rsidP="00F75306">
            <w:pPr>
              <w:shd w:val="clear" w:color="auto" w:fill="F2F2F2" w:themeFill="background1" w:themeFillShade="F2"/>
              <w:rPr>
                <w:szCs w:val="20"/>
              </w:rPr>
            </w:pPr>
            <w:r w:rsidRPr="00F75306">
              <w:rPr>
                <w:szCs w:val="20"/>
              </w:rPr>
              <w:t>The services are conceived to be provided by the staff of the RenoInGR OSS. However, at the initial steps, when a municipality seeks information about the support provided by the OSS, the digital platform can provide all the relevant information and reduce effort by the physical office.</w:t>
            </w:r>
          </w:p>
          <w:p w14:paraId="0F27526A" w14:textId="77777777" w:rsidR="00F75306" w:rsidRPr="00F75306" w:rsidRDefault="00F75306" w:rsidP="00F75306">
            <w:pPr>
              <w:shd w:val="clear" w:color="auto" w:fill="F2F2F2" w:themeFill="background1" w:themeFillShade="F2"/>
              <w:rPr>
                <w:szCs w:val="20"/>
              </w:rPr>
            </w:pPr>
            <w:r w:rsidRPr="00F75306">
              <w:rPr>
                <w:szCs w:val="20"/>
              </w:rPr>
              <w:t>The Task yields the deliverable D3.2 which is uploaded in SEP.</w:t>
            </w:r>
          </w:p>
          <w:p w14:paraId="53E15335" w14:textId="77777777" w:rsidR="00F75306" w:rsidRPr="007D500E" w:rsidRDefault="00F75306" w:rsidP="00980F10">
            <w:pPr>
              <w:spacing w:before="120" w:after="120"/>
              <w:jc w:val="both"/>
              <w:rPr>
                <w:rFonts w:eastAsia="Times New Roman" w:cs="Arial"/>
                <w:b/>
                <w:bCs/>
                <w:color w:val="C0504D" w:themeColor="accent2"/>
                <w:sz w:val="18"/>
                <w:szCs w:val="18"/>
              </w:rPr>
            </w:pPr>
          </w:p>
          <w:p w14:paraId="48DDD3C2" w14:textId="2D571477" w:rsidR="000D3F05" w:rsidRPr="007D500E" w:rsidRDefault="000D3F05" w:rsidP="00980F10">
            <w:pPr>
              <w:spacing w:before="120" w:after="120"/>
              <w:jc w:val="both"/>
              <w:rPr>
                <w:rFonts w:eastAsia="Times New Roman" w:cs="Arial"/>
                <w:b/>
                <w:bCs/>
                <w:color w:val="C0504D" w:themeColor="accent2"/>
                <w:sz w:val="18"/>
                <w:szCs w:val="18"/>
              </w:rPr>
            </w:pPr>
            <w:r w:rsidRPr="007D500E">
              <w:rPr>
                <w:rFonts w:eastAsia="Times New Roman" w:cs="Arial"/>
                <w:b/>
                <w:bCs/>
                <w:color w:val="C0504D" w:themeColor="accent2"/>
                <w:sz w:val="18"/>
                <w:szCs w:val="18"/>
              </w:rPr>
              <w:t>T3.3 [Financing solutions] ([Implemented] [Not implemented] [Partially implemented])</w:t>
            </w:r>
          </w:p>
          <w:p w14:paraId="2B0EC52D" w14:textId="77777777" w:rsidR="00AE7D7A" w:rsidRPr="00740D31" w:rsidRDefault="00AE7D7A" w:rsidP="00980F10">
            <w:pPr>
              <w:spacing w:before="120" w:after="120"/>
              <w:jc w:val="both"/>
              <w:rPr>
                <w:rFonts w:eastAsia="Times New Roman" w:cs="Arial"/>
                <w:b/>
                <w:bCs/>
                <w:color w:val="4F81BD" w:themeColor="accent1"/>
                <w:szCs w:val="20"/>
                <w:lang w:val="en-US"/>
              </w:rPr>
            </w:pPr>
            <w:r w:rsidRPr="00AE7D7A">
              <w:rPr>
                <w:rFonts w:eastAsia="Times New Roman" w:cs="Arial"/>
                <w:b/>
                <w:bCs/>
                <w:color w:val="4F81BD" w:themeColor="accent1"/>
                <w:szCs w:val="20"/>
                <w:lang w:val="el-GR"/>
              </w:rPr>
              <w:t>ΕΥΔΙΤΗ</w:t>
            </w:r>
          </w:p>
          <w:p w14:paraId="6180D6BC" w14:textId="77777777" w:rsidR="00AE7D7A" w:rsidRPr="00740D31" w:rsidRDefault="00AE7D7A" w:rsidP="00980F10">
            <w:pPr>
              <w:spacing w:before="120" w:after="120"/>
              <w:jc w:val="both"/>
              <w:rPr>
                <w:rFonts w:eastAsia="Times New Roman" w:cs="Arial"/>
                <w:b/>
                <w:bCs/>
                <w:color w:val="4F81BD" w:themeColor="accent1"/>
                <w:szCs w:val="20"/>
                <w:lang w:val="en-US"/>
              </w:rPr>
            </w:pPr>
          </w:p>
          <w:p w14:paraId="68170C76" w14:textId="5F2840F0" w:rsidR="00AE7D7A" w:rsidRPr="00740D31" w:rsidRDefault="00AE7D7A" w:rsidP="00980F10">
            <w:pPr>
              <w:spacing w:before="120" w:after="120"/>
              <w:jc w:val="both"/>
              <w:rPr>
                <w:rFonts w:eastAsia="Times New Roman" w:cs="Arial"/>
                <w:b/>
                <w:bCs/>
                <w:color w:val="4F81BD" w:themeColor="accent1"/>
                <w:szCs w:val="20"/>
                <w:lang w:val="en-US"/>
              </w:rPr>
            </w:pPr>
            <w:r>
              <w:rPr>
                <w:rFonts w:eastAsia="Times New Roman" w:cs="Arial"/>
                <w:b/>
                <w:bCs/>
                <w:color w:val="4F81BD" w:themeColor="accent1"/>
                <w:szCs w:val="20"/>
                <w:lang w:val="el-GR"/>
              </w:rPr>
              <w:t>Κείμενο</w:t>
            </w:r>
            <w:r w:rsidRPr="00740D31">
              <w:rPr>
                <w:rFonts w:eastAsia="Times New Roman" w:cs="Arial"/>
                <w:b/>
                <w:bCs/>
                <w:color w:val="4F81BD" w:themeColor="accent1"/>
                <w:szCs w:val="20"/>
                <w:lang w:val="en-US"/>
              </w:rPr>
              <w:t xml:space="preserve"> </w:t>
            </w:r>
            <w:r>
              <w:rPr>
                <w:rFonts w:eastAsia="Times New Roman" w:cs="Arial"/>
                <w:b/>
                <w:bCs/>
                <w:color w:val="4F81BD" w:themeColor="accent1"/>
                <w:szCs w:val="20"/>
                <w:lang w:val="el-GR"/>
              </w:rPr>
              <w:t>από</w:t>
            </w:r>
            <w:r w:rsidRPr="00740D31">
              <w:rPr>
                <w:rFonts w:eastAsia="Times New Roman" w:cs="Arial"/>
                <w:b/>
                <w:bCs/>
                <w:color w:val="4F81BD" w:themeColor="accent1"/>
                <w:szCs w:val="20"/>
                <w:lang w:val="en-US"/>
              </w:rPr>
              <w:t xml:space="preserve"> </w:t>
            </w:r>
            <w:r>
              <w:rPr>
                <w:rFonts w:eastAsia="Times New Roman" w:cs="Arial"/>
                <w:b/>
                <w:bCs/>
                <w:color w:val="4F81BD" w:themeColor="accent1"/>
                <w:szCs w:val="20"/>
                <w:lang w:val="el-GR"/>
              </w:rPr>
              <w:t>Τράπεζα</w:t>
            </w:r>
            <w:r w:rsidRPr="00740D31">
              <w:rPr>
                <w:rFonts w:eastAsia="Times New Roman" w:cs="Arial"/>
                <w:b/>
                <w:bCs/>
                <w:color w:val="4F81BD" w:themeColor="accent1"/>
                <w:szCs w:val="20"/>
                <w:lang w:val="en-US"/>
              </w:rPr>
              <w:t xml:space="preserve"> </w:t>
            </w:r>
            <w:r>
              <w:rPr>
                <w:rFonts w:eastAsia="Times New Roman" w:cs="Arial"/>
                <w:b/>
                <w:bCs/>
                <w:color w:val="4F81BD" w:themeColor="accent1"/>
                <w:szCs w:val="20"/>
                <w:lang w:val="el-GR"/>
              </w:rPr>
              <w:t>Ηπείρου</w:t>
            </w:r>
            <w:r w:rsidRPr="00740D31">
              <w:rPr>
                <w:rFonts w:eastAsia="Times New Roman" w:cs="Arial"/>
                <w:b/>
                <w:bCs/>
                <w:color w:val="4F81BD" w:themeColor="accent1"/>
                <w:szCs w:val="20"/>
                <w:lang w:val="en-US"/>
              </w:rPr>
              <w:t xml:space="preserve"> </w:t>
            </w:r>
          </w:p>
          <w:p w14:paraId="070A7032" w14:textId="77777777" w:rsidR="00AE7D7A" w:rsidRPr="00AE7D7A" w:rsidRDefault="00AE7D7A" w:rsidP="00980F10">
            <w:pPr>
              <w:spacing w:before="120" w:after="120"/>
              <w:jc w:val="both"/>
              <w:rPr>
                <w:rFonts w:eastAsia="Times New Roman" w:cs="Arial"/>
                <w:color w:val="4BACC6" w:themeColor="accent5"/>
                <w:szCs w:val="20"/>
                <w:lang w:val="en-US"/>
              </w:rPr>
            </w:pPr>
            <w:r w:rsidRPr="00AE7D7A">
              <w:rPr>
                <w:rFonts w:eastAsia="Times New Roman" w:cs="Arial"/>
                <w:color w:val="4BACC6" w:themeColor="accent5"/>
                <w:szCs w:val="20"/>
                <w:lang w:val="en-US"/>
              </w:rPr>
              <w:t>The Bank of Epirus is in the process of developing a formalised, step-by-step guidance framework addressed to Local Authorities (OTAs) intending to access financing schemes.</w:t>
            </w:r>
          </w:p>
          <w:p w14:paraId="367EE47D" w14:textId="77777777" w:rsidR="00AE7D7A" w:rsidRPr="00AE7D7A" w:rsidRDefault="00AE7D7A" w:rsidP="00980F10">
            <w:pPr>
              <w:spacing w:before="120" w:after="120"/>
              <w:jc w:val="both"/>
              <w:rPr>
                <w:rFonts w:eastAsia="Times New Roman" w:cs="Arial"/>
                <w:color w:val="4BACC6" w:themeColor="accent5"/>
                <w:szCs w:val="20"/>
                <w:lang w:val="en-US"/>
              </w:rPr>
            </w:pPr>
            <w:r w:rsidRPr="00AE7D7A">
              <w:rPr>
                <w:rFonts w:eastAsia="Times New Roman" w:cs="Arial"/>
                <w:color w:val="4BACC6" w:themeColor="accent5"/>
                <w:szCs w:val="20"/>
                <w:lang w:val="en-US"/>
              </w:rPr>
              <w:lastRenderedPageBreak/>
              <w:t>It is recognised that the administrative and procedural requirements governing loan origination and approval are complex and may pose significant challenges, particularly for small and mountainous municipalities with limited access to adequately specialised personnel and technical capacity.</w:t>
            </w:r>
          </w:p>
          <w:p w14:paraId="3D105D56" w14:textId="77777777" w:rsidR="00AE7D7A" w:rsidRPr="00AE7D7A" w:rsidRDefault="00AE7D7A" w:rsidP="00980F10">
            <w:pPr>
              <w:spacing w:before="120" w:after="120"/>
              <w:jc w:val="both"/>
              <w:rPr>
                <w:rFonts w:eastAsia="Times New Roman" w:cs="Arial"/>
                <w:color w:val="4BACC6" w:themeColor="accent5"/>
                <w:szCs w:val="20"/>
                <w:lang w:val="en-US"/>
              </w:rPr>
            </w:pPr>
            <w:r w:rsidRPr="00AE7D7A">
              <w:rPr>
                <w:rFonts w:eastAsia="Times New Roman" w:cs="Arial"/>
                <w:color w:val="4BACC6" w:themeColor="accent5"/>
                <w:szCs w:val="20"/>
                <w:lang w:val="en-US"/>
              </w:rPr>
              <w:t>In this context, the Bank of Epirus may provide advisory support and technical guidance on a non-binding basis. It is explicitly noted that all decisions regarding participation, structuring, and execution remain under the sole responsibility of the respective Local Authority and are subject to the applicable legal and regulatory approval processes, including authorisation by the competent Ministry.</w:t>
            </w:r>
          </w:p>
          <w:p w14:paraId="37D9827C" w14:textId="77777777" w:rsidR="00AE7D7A" w:rsidRPr="00AE7D7A" w:rsidRDefault="00AE7D7A" w:rsidP="00980F10">
            <w:pPr>
              <w:spacing w:before="120" w:after="120"/>
              <w:jc w:val="both"/>
              <w:rPr>
                <w:rFonts w:eastAsia="Times New Roman" w:cs="Arial"/>
                <w:color w:val="4BACC6" w:themeColor="accent5"/>
                <w:szCs w:val="20"/>
                <w:lang w:val="en-US"/>
              </w:rPr>
            </w:pPr>
            <w:r w:rsidRPr="00AE7D7A">
              <w:rPr>
                <w:rFonts w:eastAsia="Times New Roman" w:cs="Arial"/>
                <w:color w:val="4BACC6" w:themeColor="accent5"/>
                <w:szCs w:val="20"/>
                <w:lang w:val="en-US"/>
              </w:rPr>
              <w:t>The Bank is assessing the development of targeted financing instruments, including preferential interest rate arrangements for the coverage of the municipality’s own contribution in co-financed projects (under national and/or European funding frameworks), as well as fully financed structures, subject to the existence of adequate and enforceable guarantees (including, but not limited to, assignment of statutory revenues and/or provision of collateral).</w:t>
            </w:r>
          </w:p>
          <w:p w14:paraId="2E6FAB83" w14:textId="77777777" w:rsidR="00AE7D7A" w:rsidRPr="00AE7D7A" w:rsidRDefault="00AE7D7A" w:rsidP="00980F10">
            <w:pPr>
              <w:spacing w:before="120" w:after="120"/>
              <w:jc w:val="both"/>
              <w:rPr>
                <w:rFonts w:eastAsia="Times New Roman" w:cs="Arial"/>
                <w:color w:val="4BACC6" w:themeColor="accent5"/>
                <w:szCs w:val="20"/>
                <w:lang w:val="en-US"/>
              </w:rPr>
            </w:pPr>
            <w:r w:rsidRPr="00AE7D7A">
              <w:rPr>
                <w:rFonts w:eastAsia="Times New Roman" w:cs="Arial"/>
                <w:color w:val="4BACC6" w:themeColor="accent5"/>
                <w:szCs w:val="20"/>
                <w:lang w:val="en-US"/>
              </w:rPr>
              <w:t>In addition, the Bank is evaluating the feasibility of incorporating contractual assignment mechanisms linked to energy efficiency or performance-based projects (including ESCROW-type structures), where applicable and legally permissible.</w:t>
            </w:r>
          </w:p>
          <w:p w14:paraId="68E9485E" w14:textId="0D13799D" w:rsidR="00AE7D7A" w:rsidRPr="00AE7D7A" w:rsidRDefault="00AE7D7A" w:rsidP="00980F10">
            <w:pPr>
              <w:spacing w:before="120" w:after="120"/>
              <w:jc w:val="both"/>
              <w:rPr>
                <w:rFonts w:eastAsia="Times New Roman" w:cs="Arial"/>
                <w:color w:val="4BACC6" w:themeColor="accent5"/>
                <w:szCs w:val="20"/>
                <w:lang w:val="en-US"/>
              </w:rPr>
            </w:pPr>
            <w:r w:rsidRPr="00AE7D7A">
              <w:rPr>
                <w:rFonts w:eastAsia="Times New Roman" w:cs="Arial"/>
                <w:color w:val="4BACC6" w:themeColor="accent5"/>
                <w:szCs w:val="20"/>
                <w:lang w:val="en-US"/>
              </w:rPr>
              <w:t>All financing solutions shall be designed and implemented in accordance with the principle of proportionality and will be tailored to the specific financial condition, risk profile, and operational needs of each Local Authority, in full alignment with the applicable regulatory and supervisory framework</w:t>
            </w:r>
          </w:p>
          <w:p w14:paraId="19A7791C" w14:textId="5D88DC28" w:rsidR="000D3F05" w:rsidRPr="00740D31" w:rsidRDefault="000D3F05" w:rsidP="00980F10">
            <w:pPr>
              <w:spacing w:before="120" w:after="120"/>
              <w:jc w:val="both"/>
              <w:rPr>
                <w:rFonts w:eastAsia="Times New Roman" w:cs="Arial"/>
                <w:color w:val="C0504D" w:themeColor="accent2"/>
                <w:sz w:val="18"/>
                <w:szCs w:val="18"/>
                <w:lang w:val="en-US"/>
              </w:rPr>
            </w:pPr>
            <w:commentRangeStart w:id="47"/>
            <w:r w:rsidRPr="007D500E">
              <w:rPr>
                <w:rFonts w:eastAsia="Times New Roman" w:cs="Arial"/>
                <w:color w:val="C0504D" w:themeColor="accent2"/>
                <w:sz w:val="18"/>
                <w:szCs w:val="18"/>
              </w:rPr>
              <w:t>Task</w:t>
            </w:r>
            <w:r w:rsidRPr="00740D31">
              <w:rPr>
                <w:rFonts w:eastAsia="Times New Roman" w:cs="Arial"/>
                <w:color w:val="C0504D" w:themeColor="accent2"/>
                <w:sz w:val="18"/>
                <w:szCs w:val="18"/>
                <w:lang w:val="en-US"/>
              </w:rPr>
              <w:t xml:space="preserve"> 3.3.1 </w:t>
            </w:r>
            <w:commentRangeEnd w:id="47"/>
            <w:r w:rsidRPr="00740D31">
              <w:rPr>
                <w:rStyle w:val="CommentReference"/>
                <w:rFonts w:eastAsia="Times New Roman" w:cs="Arial"/>
                <w:color w:val="C0504D" w:themeColor="accent2"/>
                <w:sz w:val="18"/>
                <w:szCs w:val="18"/>
                <w:lang w:val="en-US"/>
              </w:rPr>
              <w:commentReference w:id="47"/>
            </w:r>
            <w:r w:rsidR="00F75306" w:rsidRPr="00740D31">
              <w:rPr>
                <w:rFonts w:eastAsia="Times New Roman" w:cs="Arial"/>
                <w:color w:val="C0504D" w:themeColor="accent2"/>
                <w:sz w:val="18"/>
                <w:szCs w:val="18"/>
                <w:lang w:val="en-US"/>
              </w:rPr>
              <w:t>(Epirus Bank, EUDITI)</w:t>
            </w:r>
          </w:p>
          <w:p w14:paraId="7C15724B" w14:textId="77777777" w:rsidR="00F75306" w:rsidRDefault="00F75306" w:rsidP="00F75306">
            <w:r>
              <w:t>This subtask aimed to undertake a comprehensive survey of the various funding instruments and mechanisms that are available both during the project's active phase and for a period of five years following its completion. This survey focused on a range of funding options, encompassing both national and European Union (EU) sources.</w:t>
            </w:r>
          </w:p>
          <w:p w14:paraId="5DCEA93F" w14:textId="77777777" w:rsidR="00F75306" w:rsidRDefault="00F75306" w:rsidP="00F75306">
            <w:r>
              <w:t>The survey examined both national and EU funding options, which included those directly accessible, such as EIB financing, and those available through Greek financial institutions (country-specific operations), including InvestEU, the Just Transition Fund, and the Recovery and Resilience Fund. Additionally, other funding instruments that rely on private financing and can be utilised either directly or in combination with public grants were identified.</w:t>
            </w:r>
          </w:p>
          <w:p w14:paraId="5C3FB56B" w14:textId="77777777" w:rsidR="00F75306" w:rsidRDefault="00F75306" w:rsidP="00F75306">
            <w:r>
              <w:t xml:space="preserve">Furthermore, the survey also sought to identify additional funding instruments that rely on private financing. These instruments can be utilised independently or in hybrid models that combine private investments with public grants. </w:t>
            </w:r>
          </w:p>
          <w:p w14:paraId="131FBA6B" w14:textId="77777777" w:rsidR="00F75306" w:rsidRDefault="00F75306" w:rsidP="00F75306">
            <w:r>
              <w:t>By mapping out these various mechanisms, Subtask 3.3.1 aimed to provide a clearer understanding of the financial landscape available and</w:t>
            </w:r>
            <w:r w:rsidRPr="00226303">
              <w:t xml:space="preserve"> inform municipalities and the RenoInGR One-Stop-Shop on the most relevant financing </w:t>
            </w:r>
            <w:r>
              <w:t>mechanisms</w:t>
            </w:r>
            <w:r w:rsidRPr="00226303">
              <w:t xml:space="preserve"> for renovation projects targeting nearly zero-energy building standards and, where possible, zero operational emissions.</w:t>
            </w:r>
          </w:p>
          <w:p w14:paraId="433F479A" w14:textId="77777777" w:rsidR="00F75306" w:rsidRDefault="00F75306" w:rsidP="00F75306">
            <w:r>
              <w:t>The findings were compiled in deliverable D3.3 that is already submitted. A summary is given below.</w:t>
            </w:r>
          </w:p>
          <w:p w14:paraId="6DAAC9A4" w14:textId="77777777" w:rsidR="00F75306" w:rsidRDefault="00F75306" w:rsidP="00F75306">
            <w:r>
              <w:t xml:space="preserve">The deliverable starts with an analysis of a key structural challenge: deep energy renovation in municipal buildings is difficult to finance through a single funding source. In Greece, many municipal buildings, especially schools and administrative buildings, have relatively low and discontinuous energy consumption. As a result, the financial returns generated by energy savings are often </w:t>
            </w:r>
            <w:r>
              <w:lastRenderedPageBreak/>
              <w:t>insufficient to repay substantial upfront investments within a short time horizon. This affects the attractiveness of projects for commercial lenders, ESCOs and other private investors.</w:t>
            </w:r>
          </w:p>
          <w:p w14:paraId="4C068B98" w14:textId="77777777" w:rsidR="00F75306" w:rsidRDefault="00F75306" w:rsidP="00F75306">
            <w:r>
              <w:t>The deliverable also underlines that many municipalities, particularly small, island and mountainous ones, face limited borrowing capacity and insufficient technical and administrative resources for structuring complex investments. In parallel, the Greek market for advanced financing schemes such as Energy Performance Contracting and Public-Private Partnerships remains relatively immature in the field of municipal energy renovation. These factors make it difficult to rely on private capital alone, even where the technical case for renovation is strong.</w:t>
            </w:r>
          </w:p>
          <w:p w14:paraId="3226192A" w14:textId="77777777" w:rsidR="00F75306" w:rsidRDefault="00F75306" w:rsidP="00F75306">
            <w:r>
              <w:t>Due to these conditions, public support remains essential for most municipal renovation projects. Grants and concessional public financing are not only important for reducing the investment burden on municipalities, but also for improving the bankability of projects and enabling the mobilisation of complementary private capital. For this reason, blended financing approaches are recommended, whereby grants, public loans and selected private financing tools are combined in ways that are tailored to the profile and capabilities of each municipality.</w:t>
            </w:r>
          </w:p>
          <w:p w14:paraId="7AA03D04" w14:textId="77777777" w:rsidR="00F75306" w:rsidRDefault="00F75306" w:rsidP="00F75306">
            <w:r>
              <w:t>A further strategic recommendation is the bundling of buildings within one municipality or across several municipalities. Bundling can create economies of scale, reduce transaction costs, shorten preparation and procurement time, and make projects more attractive to financiers and contractors. This is particularly relevant for smaller municipalities whose individual projects may be too limited in size to attract market interest on a stand-alone basis.</w:t>
            </w:r>
          </w:p>
          <w:p w14:paraId="7051BDB5" w14:textId="77777777" w:rsidR="00F75306" w:rsidRDefault="00F75306" w:rsidP="00F75306">
            <w:r>
              <w:t xml:space="preserve">The financing landscape reviewed in Deliverable D3.3 is organised into three broad groups: debt financing, public grants, and private or alternative financing mechanisms. </w:t>
            </w:r>
          </w:p>
          <w:p w14:paraId="0AE7C151" w14:textId="77777777" w:rsidR="00F75306" w:rsidRDefault="00F75306" w:rsidP="00F75306">
            <w:r>
              <w:t>Within debt financing, the document examines commercial bank loans, the Consignment Deposits and Loans Fund, and financing linked to the European Investment Bank. The assessment suggests that conventional bank lending is possible only in a limited number of cases, whereas the Consignment Deposits and Loans Fund is especially relevant for municipalities because it offers more favourable terms and is institutionally aligned with local government financing needs.</w:t>
            </w:r>
          </w:p>
          <w:p w14:paraId="77EFFDF0" w14:textId="77777777" w:rsidR="00F75306" w:rsidRDefault="00F75306" w:rsidP="00F75306">
            <w:r>
              <w:t xml:space="preserve">Regarding public grants, the deliverable reviews the main opportunities of practical relevance to RenoInGR, including ESPA 2021–2027, the National Recovery and Resilience Plan (Greece 2.0), the ELECTRA programme, the forthcoming “Clusters” programme for public buildings through Energy Performance Contracts, the Public Investment Programme, the Green Fund, and the EEA (European Economic Area) and Norway Grants. </w:t>
            </w:r>
          </w:p>
          <w:p w14:paraId="4CEDE542" w14:textId="77777777" w:rsidR="00F75306" w:rsidRDefault="00F75306" w:rsidP="00F75306">
            <w:r>
              <w:t>It is noted that obviously, grant-based programmes are generally the most attractive option for municipalities because they reduce or eliminate repayment obligations. At the same time, they are often subject to geographical limits, thematic conditions, specific eligibility rules and restricted call windows, which means that they rarely provide a complete solution on their own.</w:t>
            </w:r>
          </w:p>
          <w:p w14:paraId="5D810598" w14:textId="77777777" w:rsidR="00F75306" w:rsidRDefault="00F75306" w:rsidP="00F75306">
            <w:r>
              <w:t xml:space="preserve">The private and alternative mechanisms reviewed include Public-Private Partnerships, Energy Performance Contracting, crowdfunding, vendor financing and the Energy Efficiency Obligation Scheme. The deliverable recognises the strategic potential of Energy Performance Contracting and PPPs, especially for larger or aggregated projects, but also points out important barriers in the Greek </w:t>
            </w:r>
            <w:r>
              <w:lastRenderedPageBreak/>
              <w:t>context, such as long payback periods, high preparation complexity, accounting treatment issues, and the difficulty of combining these models with grant support.</w:t>
            </w:r>
          </w:p>
          <w:p w14:paraId="39C07249" w14:textId="77777777" w:rsidR="00F75306" w:rsidRDefault="00F75306" w:rsidP="00F75306">
            <w:r>
              <w:t xml:space="preserve">Crowdfunding is considered useful only for very small or community-driven energy improvement interventions, while vendor financing may be appropriate for targeted technology packages. </w:t>
            </w:r>
          </w:p>
          <w:p w14:paraId="26ED1ABC" w14:textId="77777777" w:rsidR="00F75306" w:rsidRDefault="00F75306" w:rsidP="00F75306">
            <w:r>
              <w:t>The Energy Efficiency Obligation Scheme is identified as a promising complementary mechanism, particularly for projects with short to medium payback periods and clearly measurable energy savings or electricity and/or heat generation.</w:t>
            </w:r>
          </w:p>
          <w:p w14:paraId="71276B52" w14:textId="77777777" w:rsidR="00F75306" w:rsidRDefault="00F75306" w:rsidP="00F75306">
            <w:r>
              <w:t xml:space="preserve">The deliverable concludes with a benchmarking that compares the instruments against criteria such as simplicity, setup time, setup cost, cost of financing, maturity in the Greek market, stakeholder experience and likelihood of successful implementation. </w:t>
            </w:r>
          </w:p>
          <w:p w14:paraId="104D1E81" w14:textId="77777777" w:rsidR="00F75306" w:rsidRDefault="00F75306" w:rsidP="00F75306">
            <w:r>
              <w:t>The overall picture that emerges is that public grants, the Consignment Deposits and Loans Fund, and well-structured public programmes such as ELECTRA, which promotes mixed financing are among the most practical and immediately relevant financing routes for municipalities. By contrast, EnPC, PPP and crowdfunding are assessed as either more complex, more selective, or less suitable as primary financing channels for the majority of municipal renovation projects.</w:t>
            </w:r>
          </w:p>
          <w:p w14:paraId="7997FC1F" w14:textId="77777777" w:rsidR="00F75306" w:rsidRDefault="00F75306" w:rsidP="00F75306">
            <w:r>
              <w:t>In conclusion, Deliverable D3.3 discusses that the successful financing of municipal building renovations in Greece will depend on carefully designed combinations of instruments rather than on any single programme or mechanism. Within this landscape, the RenoInGR One-Stop-Shop is expected to play a central role by helping municipalities identify feasible financing mixes, improve project maturity, structure bundled investments, and align technical renovation solutions with realistic financing pathways.</w:t>
            </w:r>
          </w:p>
          <w:p w14:paraId="56B0397B" w14:textId="77777777" w:rsidR="00F75306" w:rsidRDefault="00F75306" w:rsidP="00F75306">
            <w:pPr>
              <w:spacing w:after="120"/>
            </w:pPr>
            <w:r>
              <w:t xml:space="preserve">The following table consolidates the programmes, financing tools and complementary mechanisms discussed in Deliverable D3.3. </w:t>
            </w:r>
          </w:p>
          <w:p w14:paraId="419A0637" w14:textId="77777777" w:rsidR="00F75306" w:rsidRDefault="00F75306" w:rsidP="00F75306">
            <w:pPr>
              <w:spacing w:after="120"/>
            </w:pPr>
            <w:r>
              <w:t>Table 3.6</w:t>
            </w:r>
          </w:p>
          <w:tbl>
            <w:tblPr>
              <w:tblW w:w="0" w:type="auto"/>
              <w:jc w:val="center"/>
              <w:tblBorders>
                <w:top w:val="dotted" w:sz="4" w:space="0" w:color="FFC000"/>
                <w:left w:val="dotted" w:sz="4" w:space="0" w:color="FFC000"/>
                <w:bottom w:val="dotted" w:sz="4" w:space="0" w:color="FFC000"/>
                <w:right w:val="dotted" w:sz="4" w:space="0" w:color="FFC000"/>
                <w:insideH w:val="dotted" w:sz="4" w:space="0" w:color="FFC000"/>
                <w:insideV w:val="dotted" w:sz="4" w:space="0" w:color="FFC000"/>
              </w:tblBorders>
              <w:tblLook w:val="04A0" w:firstRow="1" w:lastRow="0" w:firstColumn="1" w:lastColumn="0" w:noHBand="0" w:noVBand="1"/>
            </w:tblPr>
            <w:tblGrid>
              <w:gridCol w:w="1475"/>
              <w:gridCol w:w="2461"/>
              <w:gridCol w:w="4972"/>
            </w:tblGrid>
            <w:tr w:rsidR="00F75306" w:rsidRPr="00BA3447" w14:paraId="28AEC9E7" w14:textId="77777777" w:rsidTr="00F75306">
              <w:trPr>
                <w:tblHeader/>
                <w:jc w:val="center"/>
              </w:trPr>
              <w:tc>
                <w:tcPr>
                  <w:tcW w:w="0" w:type="auto"/>
                  <w:tcBorders>
                    <w:top w:val="nil"/>
                    <w:left w:val="nil"/>
                    <w:bottom w:val="nil"/>
                    <w:right w:val="nil"/>
                  </w:tcBorders>
                  <w:shd w:val="clear" w:color="auto" w:fill="FFC000"/>
                  <w:tcMar>
                    <w:top w:w="110" w:type="dxa"/>
                    <w:left w:w="110" w:type="dxa"/>
                    <w:bottom w:w="110" w:type="dxa"/>
                    <w:right w:w="110" w:type="dxa"/>
                  </w:tcMar>
                  <w:vAlign w:val="center"/>
                </w:tcPr>
                <w:p w14:paraId="4CED4059" w14:textId="77777777" w:rsidR="00F75306" w:rsidRPr="00BA3447" w:rsidRDefault="00F75306" w:rsidP="00F75306">
                  <w:pPr>
                    <w:jc w:val="center"/>
                    <w:rPr>
                      <w:rFonts w:cs="Arial"/>
                      <w:sz w:val="18"/>
                      <w:szCs w:val="18"/>
                    </w:rPr>
                  </w:pPr>
                  <w:r w:rsidRPr="00BA3447">
                    <w:rPr>
                      <w:rFonts w:cs="Arial"/>
                      <w:b/>
                      <w:color w:val="1F3864"/>
                      <w:sz w:val="18"/>
                      <w:szCs w:val="18"/>
                    </w:rPr>
                    <w:t>Category</w:t>
                  </w:r>
                </w:p>
              </w:tc>
              <w:tc>
                <w:tcPr>
                  <w:tcW w:w="0" w:type="auto"/>
                  <w:tcBorders>
                    <w:top w:val="nil"/>
                    <w:left w:val="nil"/>
                    <w:bottom w:val="nil"/>
                    <w:right w:val="nil"/>
                  </w:tcBorders>
                  <w:shd w:val="clear" w:color="auto" w:fill="FFC000"/>
                  <w:tcMar>
                    <w:top w:w="110" w:type="dxa"/>
                    <w:left w:w="110" w:type="dxa"/>
                    <w:bottom w:w="110" w:type="dxa"/>
                    <w:right w:w="110" w:type="dxa"/>
                  </w:tcMar>
                  <w:vAlign w:val="center"/>
                </w:tcPr>
                <w:p w14:paraId="44CA8467" w14:textId="77777777" w:rsidR="00F75306" w:rsidRPr="00BA3447" w:rsidRDefault="00F75306" w:rsidP="00F75306">
                  <w:pPr>
                    <w:jc w:val="center"/>
                    <w:rPr>
                      <w:rFonts w:cs="Arial"/>
                      <w:sz w:val="18"/>
                      <w:szCs w:val="18"/>
                    </w:rPr>
                  </w:pPr>
                  <w:r w:rsidRPr="00BA3447">
                    <w:rPr>
                      <w:rFonts w:cs="Arial"/>
                      <w:b/>
                      <w:color w:val="1F3864"/>
                      <w:sz w:val="18"/>
                      <w:szCs w:val="18"/>
                    </w:rPr>
                    <w:t>Programme / tool /mechanism</w:t>
                  </w:r>
                </w:p>
              </w:tc>
              <w:tc>
                <w:tcPr>
                  <w:tcW w:w="0" w:type="auto"/>
                  <w:tcBorders>
                    <w:top w:val="nil"/>
                    <w:left w:val="nil"/>
                    <w:bottom w:val="nil"/>
                    <w:right w:val="nil"/>
                  </w:tcBorders>
                  <w:shd w:val="clear" w:color="auto" w:fill="FFC000"/>
                  <w:tcMar>
                    <w:top w:w="110" w:type="dxa"/>
                    <w:left w:w="110" w:type="dxa"/>
                    <w:bottom w:w="110" w:type="dxa"/>
                    <w:right w:w="110" w:type="dxa"/>
                  </w:tcMar>
                  <w:vAlign w:val="center"/>
                </w:tcPr>
                <w:p w14:paraId="284636BD" w14:textId="77777777" w:rsidR="00F75306" w:rsidRPr="00BA3447" w:rsidRDefault="00F75306" w:rsidP="00F75306">
                  <w:pPr>
                    <w:jc w:val="center"/>
                    <w:rPr>
                      <w:rFonts w:cs="Arial"/>
                      <w:sz w:val="18"/>
                      <w:szCs w:val="18"/>
                    </w:rPr>
                  </w:pPr>
                  <w:r w:rsidRPr="00BA3447">
                    <w:rPr>
                      <w:rFonts w:cs="Arial"/>
                      <w:b/>
                      <w:color w:val="1F3864"/>
                      <w:sz w:val="18"/>
                      <w:szCs w:val="18"/>
                    </w:rPr>
                    <w:t>Short description</w:t>
                  </w:r>
                </w:p>
              </w:tc>
            </w:tr>
            <w:tr w:rsidR="00F75306" w:rsidRPr="00BA3447" w14:paraId="057A6640" w14:textId="77777777" w:rsidTr="00F75306">
              <w:trPr>
                <w:jc w:val="center"/>
              </w:trPr>
              <w:tc>
                <w:tcPr>
                  <w:tcW w:w="0" w:type="auto"/>
                  <w:tcBorders>
                    <w:top w:val="nil"/>
                  </w:tcBorders>
                  <w:tcMar>
                    <w:top w:w="72" w:type="dxa"/>
                    <w:left w:w="95" w:type="dxa"/>
                    <w:bottom w:w="72" w:type="dxa"/>
                    <w:right w:w="95" w:type="dxa"/>
                  </w:tcMar>
                  <w:vAlign w:val="center"/>
                </w:tcPr>
                <w:p w14:paraId="54846335" w14:textId="77777777" w:rsidR="00F75306" w:rsidRPr="00BA3447" w:rsidRDefault="00F75306" w:rsidP="00F75306">
                  <w:pPr>
                    <w:spacing w:after="0"/>
                    <w:jc w:val="center"/>
                    <w:rPr>
                      <w:rFonts w:cs="Arial"/>
                      <w:sz w:val="18"/>
                      <w:szCs w:val="18"/>
                    </w:rPr>
                  </w:pPr>
                  <w:r w:rsidRPr="00BA3447">
                    <w:rPr>
                      <w:rFonts w:cs="Arial"/>
                      <w:sz w:val="18"/>
                      <w:szCs w:val="18"/>
                    </w:rPr>
                    <w:t>Debt financing</w:t>
                  </w:r>
                </w:p>
              </w:tc>
              <w:tc>
                <w:tcPr>
                  <w:tcW w:w="0" w:type="auto"/>
                  <w:tcBorders>
                    <w:top w:val="nil"/>
                  </w:tcBorders>
                  <w:tcMar>
                    <w:top w:w="72" w:type="dxa"/>
                    <w:left w:w="95" w:type="dxa"/>
                    <w:bottom w:w="72" w:type="dxa"/>
                    <w:right w:w="95" w:type="dxa"/>
                  </w:tcMar>
                  <w:vAlign w:val="center"/>
                </w:tcPr>
                <w:p w14:paraId="75DEBC3F" w14:textId="77777777" w:rsidR="00F75306" w:rsidRPr="00BA3447" w:rsidRDefault="00F75306" w:rsidP="00F75306">
                  <w:pPr>
                    <w:spacing w:after="0"/>
                    <w:jc w:val="center"/>
                    <w:rPr>
                      <w:rFonts w:cs="Arial"/>
                      <w:sz w:val="18"/>
                      <w:szCs w:val="18"/>
                    </w:rPr>
                  </w:pPr>
                  <w:r w:rsidRPr="00BA3447">
                    <w:rPr>
                      <w:rFonts w:cs="Arial"/>
                      <w:b/>
                      <w:sz w:val="18"/>
                      <w:szCs w:val="18"/>
                    </w:rPr>
                    <w:t>Bank loans</w:t>
                  </w:r>
                </w:p>
              </w:tc>
              <w:tc>
                <w:tcPr>
                  <w:tcW w:w="0" w:type="auto"/>
                  <w:tcBorders>
                    <w:top w:val="nil"/>
                  </w:tcBorders>
                  <w:tcMar>
                    <w:top w:w="72" w:type="dxa"/>
                    <w:left w:w="95" w:type="dxa"/>
                    <w:bottom w:w="72" w:type="dxa"/>
                    <w:right w:w="95" w:type="dxa"/>
                  </w:tcMar>
                  <w:vAlign w:val="center"/>
                </w:tcPr>
                <w:p w14:paraId="7CE8AE7A" w14:textId="77777777" w:rsidR="00F75306" w:rsidRPr="00BA3447" w:rsidRDefault="00F75306" w:rsidP="00F75306">
                  <w:pPr>
                    <w:spacing w:after="0"/>
                    <w:rPr>
                      <w:rFonts w:cs="Arial"/>
                      <w:sz w:val="18"/>
                      <w:szCs w:val="18"/>
                    </w:rPr>
                  </w:pPr>
                  <w:r w:rsidRPr="00BA3447">
                    <w:rPr>
                      <w:rFonts w:cs="Arial"/>
                      <w:sz w:val="18"/>
                      <w:szCs w:val="18"/>
                    </w:rPr>
                    <w:t>Conventional commercial lending. Potentially relevant for municipalities with sufficient creditworthiness, but generally constrained by borrowing capacity, project bankability and limited availability of products specifically tailored to municipal energy renovation.</w:t>
                  </w:r>
                </w:p>
              </w:tc>
            </w:tr>
            <w:tr w:rsidR="00F75306" w:rsidRPr="00BA3447" w14:paraId="25B940BF" w14:textId="77777777" w:rsidTr="00F75306">
              <w:trPr>
                <w:jc w:val="center"/>
              </w:trPr>
              <w:tc>
                <w:tcPr>
                  <w:tcW w:w="0" w:type="auto"/>
                  <w:shd w:val="clear" w:color="auto" w:fill="F2F2F2" w:themeFill="background1" w:themeFillShade="F2"/>
                  <w:tcMar>
                    <w:top w:w="72" w:type="dxa"/>
                    <w:left w:w="95" w:type="dxa"/>
                    <w:bottom w:w="72" w:type="dxa"/>
                    <w:right w:w="95" w:type="dxa"/>
                  </w:tcMar>
                  <w:vAlign w:val="center"/>
                </w:tcPr>
                <w:p w14:paraId="43B15654" w14:textId="77777777" w:rsidR="00F75306" w:rsidRPr="00BA3447" w:rsidRDefault="00F75306" w:rsidP="00F75306">
                  <w:pPr>
                    <w:spacing w:after="0"/>
                    <w:jc w:val="center"/>
                    <w:rPr>
                      <w:rFonts w:cs="Arial"/>
                      <w:sz w:val="18"/>
                      <w:szCs w:val="18"/>
                    </w:rPr>
                  </w:pPr>
                  <w:r w:rsidRPr="00BA3447">
                    <w:rPr>
                      <w:rFonts w:cs="Arial"/>
                      <w:sz w:val="18"/>
                      <w:szCs w:val="18"/>
                    </w:rPr>
                    <w:t>Debt financing</w:t>
                  </w:r>
                </w:p>
              </w:tc>
              <w:tc>
                <w:tcPr>
                  <w:tcW w:w="0" w:type="auto"/>
                  <w:shd w:val="clear" w:color="auto" w:fill="F2F2F2" w:themeFill="background1" w:themeFillShade="F2"/>
                  <w:tcMar>
                    <w:top w:w="72" w:type="dxa"/>
                    <w:left w:w="95" w:type="dxa"/>
                    <w:bottom w:w="72" w:type="dxa"/>
                    <w:right w:w="95" w:type="dxa"/>
                  </w:tcMar>
                  <w:vAlign w:val="center"/>
                </w:tcPr>
                <w:p w14:paraId="0549AD62" w14:textId="77777777" w:rsidR="00F75306" w:rsidRPr="00BA3447" w:rsidRDefault="00F75306" w:rsidP="00F75306">
                  <w:pPr>
                    <w:spacing w:after="0"/>
                    <w:jc w:val="center"/>
                    <w:rPr>
                      <w:rFonts w:cs="Arial"/>
                      <w:sz w:val="18"/>
                      <w:szCs w:val="18"/>
                    </w:rPr>
                  </w:pPr>
                  <w:r w:rsidRPr="00BA3447">
                    <w:rPr>
                      <w:rFonts w:cs="Arial"/>
                      <w:b/>
                      <w:sz w:val="18"/>
                      <w:szCs w:val="18"/>
                    </w:rPr>
                    <w:t>Consignment Deposits and Loans Fund (TPD)</w:t>
                  </w:r>
                </w:p>
              </w:tc>
              <w:tc>
                <w:tcPr>
                  <w:tcW w:w="0" w:type="auto"/>
                  <w:shd w:val="clear" w:color="auto" w:fill="F2F2F2" w:themeFill="background1" w:themeFillShade="F2"/>
                  <w:tcMar>
                    <w:top w:w="72" w:type="dxa"/>
                    <w:left w:w="95" w:type="dxa"/>
                    <w:bottom w:w="72" w:type="dxa"/>
                    <w:right w:w="95" w:type="dxa"/>
                  </w:tcMar>
                  <w:vAlign w:val="center"/>
                </w:tcPr>
                <w:p w14:paraId="768D4C69" w14:textId="77777777" w:rsidR="00F75306" w:rsidRPr="00BA3447" w:rsidRDefault="00F75306" w:rsidP="00F75306">
                  <w:pPr>
                    <w:spacing w:after="0"/>
                    <w:rPr>
                      <w:rFonts w:cs="Arial"/>
                      <w:sz w:val="18"/>
                      <w:szCs w:val="18"/>
                    </w:rPr>
                  </w:pPr>
                  <w:r w:rsidRPr="00BA3447">
                    <w:rPr>
                      <w:rFonts w:cs="Arial"/>
                      <w:sz w:val="18"/>
                      <w:szCs w:val="18"/>
                    </w:rPr>
                    <w:t>A public-sector financing institution with strong links to municipalities. It can offer relatively favourable loan conditions and is particularly relevant for public infrastructure and energy efficiency investments, including bundled renovation projects.</w:t>
                  </w:r>
                </w:p>
              </w:tc>
            </w:tr>
            <w:tr w:rsidR="00F75306" w:rsidRPr="00BA3447" w14:paraId="66E83D1F" w14:textId="77777777" w:rsidTr="00F75306">
              <w:trPr>
                <w:jc w:val="center"/>
              </w:trPr>
              <w:tc>
                <w:tcPr>
                  <w:tcW w:w="0" w:type="auto"/>
                  <w:tcMar>
                    <w:top w:w="72" w:type="dxa"/>
                    <w:left w:w="95" w:type="dxa"/>
                    <w:bottom w:w="72" w:type="dxa"/>
                    <w:right w:w="95" w:type="dxa"/>
                  </w:tcMar>
                  <w:vAlign w:val="center"/>
                </w:tcPr>
                <w:p w14:paraId="4EF5A8BE" w14:textId="77777777" w:rsidR="00F75306" w:rsidRPr="00BA3447" w:rsidRDefault="00F75306" w:rsidP="00F75306">
                  <w:pPr>
                    <w:spacing w:after="0"/>
                    <w:jc w:val="center"/>
                    <w:rPr>
                      <w:rFonts w:cs="Arial"/>
                      <w:sz w:val="18"/>
                      <w:szCs w:val="18"/>
                    </w:rPr>
                  </w:pPr>
                  <w:r w:rsidRPr="00BA3447">
                    <w:rPr>
                      <w:rFonts w:cs="Arial"/>
                      <w:sz w:val="18"/>
                      <w:szCs w:val="18"/>
                    </w:rPr>
                    <w:t>Debt financing</w:t>
                  </w:r>
                </w:p>
              </w:tc>
              <w:tc>
                <w:tcPr>
                  <w:tcW w:w="0" w:type="auto"/>
                  <w:tcMar>
                    <w:top w:w="72" w:type="dxa"/>
                    <w:left w:w="95" w:type="dxa"/>
                    <w:bottom w:w="72" w:type="dxa"/>
                    <w:right w:w="95" w:type="dxa"/>
                  </w:tcMar>
                  <w:vAlign w:val="center"/>
                </w:tcPr>
                <w:p w14:paraId="41575432" w14:textId="77777777" w:rsidR="00F75306" w:rsidRPr="00BA3447" w:rsidRDefault="00F75306" w:rsidP="00F75306">
                  <w:pPr>
                    <w:spacing w:after="0"/>
                    <w:jc w:val="center"/>
                    <w:rPr>
                      <w:rFonts w:cs="Arial"/>
                      <w:sz w:val="18"/>
                      <w:szCs w:val="18"/>
                    </w:rPr>
                  </w:pPr>
                  <w:r w:rsidRPr="00BA3447">
                    <w:rPr>
                      <w:rFonts w:cs="Arial"/>
                      <w:b/>
                      <w:sz w:val="18"/>
                      <w:szCs w:val="18"/>
                    </w:rPr>
                    <w:t>European Investment Bank financing / EIB-supported facilities</w:t>
                  </w:r>
                </w:p>
              </w:tc>
              <w:tc>
                <w:tcPr>
                  <w:tcW w:w="0" w:type="auto"/>
                  <w:tcMar>
                    <w:top w:w="72" w:type="dxa"/>
                    <w:left w:w="95" w:type="dxa"/>
                    <w:bottom w:w="72" w:type="dxa"/>
                    <w:right w:w="95" w:type="dxa"/>
                  </w:tcMar>
                  <w:vAlign w:val="center"/>
                </w:tcPr>
                <w:p w14:paraId="4E45CD77" w14:textId="77777777" w:rsidR="00F75306" w:rsidRPr="00BA3447" w:rsidRDefault="00F75306" w:rsidP="00F75306">
                  <w:pPr>
                    <w:spacing w:after="0"/>
                    <w:rPr>
                      <w:rFonts w:cs="Arial"/>
                      <w:sz w:val="18"/>
                      <w:szCs w:val="18"/>
                    </w:rPr>
                  </w:pPr>
                  <w:r w:rsidRPr="00BA3447">
                    <w:rPr>
                      <w:rFonts w:cs="Arial"/>
                      <w:sz w:val="18"/>
                      <w:szCs w:val="18"/>
                    </w:rPr>
                    <w:t xml:space="preserve">Long-term, low-cost financing for energy efficiency and sustainable infrastructure, also implemented through national intermediaries or public programmes. Most </w:t>
                  </w:r>
                  <w:r w:rsidRPr="00BA3447">
                    <w:rPr>
                      <w:rFonts w:cs="Arial"/>
                      <w:sz w:val="18"/>
                      <w:szCs w:val="18"/>
                    </w:rPr>
                    <w:lastRenderedPageBreak/>
                    <w:t>relevant for larger-scale schemes and projects with adequate preparation capacity.</w:t>
                  </w:r>
                </w:p>
              </w:tc>
            </w:tr>
            <w:tr w:rsidR="00F75306" w:rsidRPr="00BA3447" w14:paraId="0DCE69D3" w14:textId="77777777" w:rsidTr="00F75306">
              <w:trPr>
                <w:jc w:val="center"/>
              </w:trPr>
              <w:tc>
                <w:tcPr>
                  <w:tcW w:w="0" w:type="auto"/>
                  <w:shd w:val="clear" w:color="auto" w:fill="F2F2F2" w:themeFill="background1" w:themeFillShade="F2"/>
                  <w:tcMar>
                    <w:top w:w="72" w:type="dxa"/>
                    <w:left w:w="95" w:type="dxa"/>
                    <w:bottom w:w="72" w:type="dxa"/>
                    <w:right w:w="95" w:type="dxa"/>
                  </w:tcMar>
                  <w:vAlign w:val="center"/>
                </w:tcPr>
                <w:p w14:paraId="767DC7DE" w14:textId="77777777" w:rsidR="00F75306" w:rsidRPr="00BA3447" w:rsidRDefault="00F75306" w:rsidP="00F75306">
                  <w:pPr>
                    <w:spacing w:after="0"/>
                    <w:jc w:val="center"/>
                    <w:rPr>
                      <w:rFonts w:cs="Arial"/>
                      <w:sz w:val="18"/>
                      <w:szCs w:val="18"/>
                    </w:rPr>
                  </w:pPr>
                  <w:r w:rsidRPr="00BA3447">
                    <w:rPr>
                      <w:rFonts w:cs="Arial"/>
                      <w:sz w:val="18"/>
                      <w:szCs w:val="18"/>
                    </w:rPr>
                    <w:lastRenderedPageBreak/>
                    <w:t>Public grants</w:t>
                  </w:r>
                </w:p>
              </w:tc>
              <w:tc>
                <w:tcPr>
                  <w:tcW w:w="0" w:type="auto"/>
                  <w:shd w:val="clear" w:color="auto" w:fill="F2F2F2" w:themeFill="background1" w:themeFillShade="F2"/>
                  <w:tcMar>
                    <w:top w:w="72" w:type="dxa"/>
                    <w:left w:w="95" w:type="dxa"/>
                    <w:bottom w:w="72" w:type="dxa"/>
                    <w:right w:w="95" w:type="dxa"/>
                  </w:tcMar>
                  <w:vAlign w:val="center"/>
                </w:tcPr>
                <w:p w14:paraId="52698848" w14:textId="77777777" w:rsidR="00F75306" w:rsidRPr="00BA3447" w:rsidRDefault="00F75306" w:rsidP="00F75306">
                  <w:pPr>
                    <w:spacing w:after="0"/>
                    <w:jc w:val="center"/>
                    <w:rPr>
                      <w:rFonts w:cs="Arial"/>
                      <w:sz w:val="18"/>
                      <w:szCs w:val="18"/>
                    </w:rPr>
                  </w:pPr>
                  <w:r w:rsidRPr="00BA3447">
                    <w:rPr>
                      <w:rFonts w:cs="Arial"/>
                      <w:b/>
                      <w:sz w:val="18"/>
                      <w:szCs w:val="18"/>
                    </w:rPr>
                    <w:t>Partnership Agreement 2021–2027 (ESPA 2021–2027)</w:t>
                  </w:r>
                </w:p>
              </w:tc>
              <w:tc>
                <w:tcPr>
                  <w:tcW w:w="0" w:type="auto"/>
                  <w:shd w:val="clear" w:color="auto" w:fill="F2F2F2" w:themeFill="background1" w:themeFillShade="F2"/>
                  <w:tcMar>
                    <w:top w:w="72" w:type="dxa"/>
                    <w:left w:w="95" w:type="dxa"/>
                    <w:bottom w:w="72" w:type="dxa"/>
                    <w:right w:w="95" w:type="dxa"/>
                  </w:tcMar>
                  <w:vAlign w:val="center"/>
                </w:tcPr>
                <w:p w14:paraId="359E1D14" w14:textId="77777777" w:rsidR="00F75306" w:rsidRPr="00BA3447" w:rsidRDefault="00F75306" w:rsidP="00F75306">
                  <w:pPr>
                    <w:spacing w:after="0"/>
                    <w:rPr>
                      <w:rFonts w:cs="Arial"/>
                      <w:sz w:val="18"/>
                      <w:szCs w:val="18"/>
                    </w:rPr>
                  </w:pPr>
                  <w:r w:rsidRPr="00BA3447">
                    <w:rPr>
                      <w:rFonts w:cs="Arial"/>
                      <w:sz w:val="18"/>
                      <w:szCs w:val="18"/>
                    </w:rPr>
                    <w:t>The main framework for EU structural funding in Greece. It includes calls supporting energy upgrades of local authority buildings, subject to regional eligibility rules, technical criteria and call-specific requirements.</w:t>
                  </w:r>
                </w:p>
              </w:tc>
            </w:tr>
            <w:tr w:rsidR="00F75306" w:rsidRPr="00BA3447" w14:paraId="72E1EABF" w14:textId="77777777" w:rsidTr="00F75306">
              <w:trPr>
                <w:jc w:val="center"/>
              </w:trPr>
              <w:tc>
                <w:tcPr>
                  <w:tcW w:w="0" w:type="auto"/>
                  <w:tcMar>
                    <w:top w:w="72" w:type="dxa"/>
                    <w:left w:w="95" w:type="dxa"/>
                    <w:bottom w:w="72" w:type="dxa"/>
                    <w:right w:w="95" w:type="dxa"/>
                  </w:tcMar>
                  <w:vAlign w:val="center"/>
                </w:tcPr>
                <w:p w14:paraId="42BE8A29" w14:textId="77777777" w:rsidR="00F75306" w:rsidRPr="00BA3447" w:rsidRDefault="00F75306" w:rsidP="00F75306">
                  <w:pPr>
                    <w:spacing w:after="0"/>
                    <w:jc w:val="center"/>
                    <w:rPr>
                      <w:rFonts w:cs="Arial"/>
                      <w:sz w:val="18"/>
                      <w:szCs w:val="18"/>
                    </w:rPr>
                  </w:pPr>
                  <w:r w:rsidRPr="00BA3447">
                    <w:rPr>
                      <w:rFonts w:cs="Arial"/>
                      <w:sz w:val="18"/>
                      <w:szCs w:val="18"/>
                    </w:rPr>
                    <w:t>Public grants</w:t>
                  </w:r>
                </w:p>
              </w:tc>
              <w:tc>
                <w:tcPr>
                  <w:tcW w:w="0" w:type="auto"/>
                  <w:tcMar>
                    <w:top w:w="72" w:type="dxa"/>
                    <w:left w:w="95" w:type="dxa"/>
                    <w:bottom w:w="72" w:type="dxa"/>
                    <w:right w:w="95" w:type="dxa"/>
                  </w:tcMar>
                  <w:vAlign w:val="center"/>
                </w:tcPr>
                <w:p w14:paraId="22C71DD0" w14:textId="77777777" w:rsidR="00F75306" w:rsidRPr="00BA3447" w:rsidRDefault="00F75306" w:rsidP="00F75306">
                  <w:pPr>
                    <w:spacing w:after="0"/>
                    <w:jc w:val="center"/>
                    <w:rPr>
                      <w:rFonts w:cs="Arial"/>
                      <w:sz w:val="18"/>
                      <w:szCs w:val="18"/>
                    </w:rPr>
                  </w:pPr>
                  <w:r w:rsidRPr="00BA3447">
                    <w:rPr>
                      <w:rFonts w:cs="Arial"/>
                      <w:b/>
                      <w:sz w:val="18"/>
                      <w:szCs w:val="18"/>
                    </w:rPr>
                    <w:t>National Recovery and Resilience Plan (Greece 2.0)</w:t>
                  </w:r>
                </w:p>
              </w:tc>
              <w:tc>
                <w:tcPr>
                  <w:tcW w:w="0" w:type="auto"/>
                  <w:tcMar>
                    <w:top w:w="72" w:type="dxa"/>
                    <w:left w:w="95" w:type="dxa"/>
                    <w:bottom w:w="72" w:type="dxa"/>
                    <w:right w:w="95" w:type="dxa"/>
                  </w:tcMar>
                  <w:vAlign w:val="center"/>
                </w:tcPr>
                <w:p w14:paraId="4BCF8303" w14:textId="77777777" w:rsidR="00F75306" w:rsidRPr="00BA3447" w:rsidRDefault="00F75306" w:rsidP="00F75306">
                  <w:pPr>
                    <w:spacing w:after="0"/>
                    <w:rPr>
                      <w:rFonts w:cs="Arial"/>
                      <w:sz w:val="18"/>
                      <w:szCs w:val="18"/>
                    </w:rPr>
                  </w:pPr>
                  <w:r w:rsidRPr="00BA3447">
                    <w:rPr>
                      <w:rFonts w:cs="Arial"/>
                      <w:sz w:val="18"/>
                      <w:szCs w:val="18"/>
                    </w:rPr>
                    <w:t>A major national instrument combining grants and loans under the green and digital transition agenda. It can support selected public building renovation actions, although eligibility windows and programme timing may limit relevance for some RenoInGR projects.</w:t>
                  </w:r>
                </w:p>
              </w:tc>
            </w:tr>
            <w:tr w:rsidR="00F75306" w:rsidRPr="00BA3447" w14:paraId="5BA71E78" w14:textId="77777777" w:rsidTr="00F75306">
              <w:trPr>
                <w:jc w:val="center"/>
              </w:trPr>
              <w:tc>
                <w:tcPr>
                  <w:tcW w:w="0" w:type="auto"/>
                  <w:shd w:val="clear" w:color="auto" w:fill="F2F2F2" w:themeFill="background1" w:themeFillShade="F2"/>
                  <w:tcMar>
                    <w:top w:w="72" w:type="dxa"/>
                    <w:left w:w="95" w:type="dxa"/>
                    <w:bottom w:w="72" w:type="dxa"/>
                    <w:right w:w="95" w:type="dxa"/>
                  </w:tcMar>
                  <w:vAlign w:val="center"/>
                </w:tcPr>
                <w:p w14:paraId="5FF7875D" w14:textId="77777777" w:rsidR="00F75306" w:rsidRPr="00BA3447" w:rsidRDefault="00F75306" w:rsidP="00F75306">
                  <w:pPr>
                    <w:spacing w:after="0"/>
                    <w:jc w:val="center"/>
                    <w:rPr>
                      <w:rFonts w:cs="Arial"/>
                      <w:sz w:val="18"/>
                      <w:szCs w:val="18"/>
                    </w:rPr>
                  </w:pPr>
                  <w:r w:rsidRPr="00BA3447">
                    <w:rPr>
                      <w:rFonts w:cs="Arial"/>
                      <w:sz w:val="18"/>
                      <w:szCs w:val="18"/>
                    </w:rPr>
                    <w:t>Public grants</w:t>
                  </w:r>
                </w:p>
              </w:tc>
              <w:tc>
                <w:tcPr>
                  <w:tcW w:w="0" w:type="auto"/>
                  <w:shd w:val="clear" w:color="auto" w:fill="F2F2F2" w:themeFill="background1" w:themeFillShade="F2"/>
                  <w:tcMar>
                    <w:top w:w="72" w:type="dxa"/>
                    <w:left w:w="95" w:type="dxa"/>
                    <w:bottom w:w="72" w:type="dxa"/>
                    <w:right w:w="95" w:type="dxa"/>
                  </w:tcMar>
                  <w:vAlign w:val="center"/>
                </w:tcPr>
                <w:p w14:paraId="3610DCDE" w14:textId="77777777" w:rsidR="00F75306" w:rsidRPr="00BA3447" w:rsidRDefault="00F75306" w:rsidP="00F75306">
                  <w:pPr>
                    <w:spacing w:after="0"/>
                    <w:jc w:val="center"/>
                    <w:rPr>
                      <w:rFonts w:cs="Arial"/>
                      <w:sz w:val="18"/>
                      <w:szCs w:val="18"/>
                    </w:rPr>
                  </w:pPr>
                  <w:r w:rsidRPr="00BA3447">
                    <w:rPr>
                      <w:rFonts w:cs="Arial"/>
                      <w:b/>
                      <w:sz w:val="18"/>
                      <w:szCs w:val="18"/>
                    </w:rPr>
                    <w:t>ELECTRA programme</w:t>
                  </w:r>
                </w:p>
              </w:tc>
              <w:tc>
                <w:tcPr>
                  <w:tcW w:w="0" w:type="auto"/>
                  <w:shd w:val="clear" w:color="auto" w:fill="F2F2F2" w:themeFill="background1" w:themeFillShade="F2"/>
                  <w:tcMar>
                    <w:top w:w="72" w:type="dxa"/>
                    <w:left w:w="95" w:type="dxa"/>
                    <w:bottom w:w="72" w:type="dxa"/>
                    <w:right w:w="95" w:type="dxa"/>
                  </w:tcMar>
                  <w:vAlign w:val="center"/>
                </w:tcPr>
                <w:p w14:paraId="3FF60192" w14:textId="77777777" w:rsidR="00F75306" w:rsidRPr="00BA3447" w:rsidRDefault="00F75306" w:rsidP="00F75306">
                  <w:pPr>
                    <w:spacing w:after="0"/>
                    <w:rPr>
                      <w:rFonts w:cs="Arial"/>
                      <w:sz w:val="18"/>
                      <w:szCs w:val="18"/>
                    </w:rPr>
                  </w:pPr>
                  <w:r w:rsidRPr="00BA3447">
                    <w:rPr>
                      <w:rFonts w:cs="Arial"/>
                      <w:sz w:val="18"/>
                      <w:szCs w:val="18"/>
                    </w:rPr>
                    <w:t>A flagship programme for improving the energy performance of public buildings. It supports building envelope and technical system upgrades and is one of the most relevant public instruments for municipal renovation projects meeting its eligibility conditions.</w:t>
                  </w:r>
                </w:p>
              </w:tc>
            </w:tr>
            <w:tr w:rsidR="00F75306" w:rsidRPr="00BA3447" w14:paraId="7A445CDC" w14:textId="77777777" w:rsidTr="00F75306">
              <w:trPr>
                <w:jc w:val="center"/>
              </w:trPr>
              <w:tc>
                <w:tcPr>
                  <w:tcW w:w="0" w:type="auto"/>
                  <w:tcMar>
                    <w:top w:w="72" w:type="dxa"/>
                    <w:left w:w="95" w:type="dxa"/>
                    <w:bottom w:w="72" w:type="dxa"/>
                    <w:right w:w="95" w:type="dxa"/>
                  </w:tcMar>
                  <w:vAlign w:val="center"/>
                </w:tcPr>
                <w:p w14:paraId="3548D908" w14:textId="77777777" w:rsidR="00F75306" w:rsidRPr="00BA3447" w:rsidRDefault="00F75306" w:rsidP="00F75306">
                  <w:pPr>
                    <w:spacing w:after="0"/>
                    <w:jc w:val="center"/>
                    <w:rPr>
                      <w:rFonts w:cs="Arial"/>
                      <w:sz w:val="18"/>
                      <w:szCs w:val="18"/>
                    </w:rPr>
                  </w:pPr>
                  <w:r w:rsidRPr="00BA3447">
                    <w:rPr>
                      <w:rFonts w:cs="Arial"/>
                      <w:sz w:val="18"/>
                      <w:szCs w:val="18"/>
                    </w:rPr>
                    <w:t>Public grants</w:t>
                  </w:r>
                </w:p>
              </w:tc>
              <w:tc>
                <w:tcPr>
                  <w:tcW w:w="0" w:type="auto"/>
                  <w:tcMar>
                    <w:top w:w="72" w:type="dxa"/>
                    <w:left w:w="95" w:type="dxa"/>
                    <w:bottom w:w="72" w:type="dxa"/>
                    <w:right w:w="95" w:type="dxa"/>
                  </w:tcMar>
                  <w:vAlign w:val="center"/>
                </w:tcPr>
                <w:p w14:paraId="46BACFEA" w14:textId="77777777" w:rsidR="00F75306" w:rsidRPr="00BA3447" w:rsidRDefault="00F75306" w:rsidP="00F75306">
                  <w:pPr>
                    <w:spacing w:after="0"/>
                    <w:jc w:val="center"/>
                    <w:rPr>
                      <w:rFonts w:cs="Arial"/>
                      <w:sz w:val="18"/>
                      <w:szCs w:val="18"/>
                    </w:rPr>
                  </w:pPr>
                  <w:r w:rsidRPr="00BA3447">
                    <w:rPr>
                      <w:rFonts w:cs="Arial"/>
                      <w:b/>
                      <w:sz w:val="18"/>
                      <w:szCs w:val="18"/>
                    </w:rPr>
                    <w:t>Energy renovation programme for clusters of eligible public buildings through EnPCs</w:t>
                  </w:r>
                </w:p>
              </w:tc>
              <w:tc>
                <w:tcPr>
                  <w:tcW w:w="0" w:type="auto"/>
                  <w:tcMar>
                    <w:top w:w="72" w:type="dxa"/>
                    <w:left w:w="95" w:type="dxa"/>
                    <w:bottom w:w="72" w:type="dxa"/>
                    <w:right w:w="95" w:type="dxa"/>
                  </w:tcMar>
                  <w:vAlign w:val="center"/>
                </w:tcPr>
                <w:p w14:paraId="07C70CD8" w14:textId="77777777" w:rsidR="00F75306" w:rsidRPr="00BA3447" w:rsidRDefault="00F75306" w:rsidP="00F75306">
                  <w:pPr>
                    <w:spacing w:after="0"/>
                    <w:rPr>
                      <w:rFonts w:cs="Arial"/>
                      <w:sz w:val="18"/>
                      <w:szCs w:val="18"/>
                    </w:rPr>
                  </w:pPr>
                  <w:r w:rsidRPr="00BA3447">
                    <w:rPr>
                      <w:rFonts w:cs="Arial"/>
                      <w:sz w:val="18"/>
                      <w:szCs w:val="18"/>
                    </w:rPr>
                    <w:t>A programme designed around the aggregation of public buildings into clusters and the use of guaranteed-savings Energy Performance Contracts. It is important for RenoInGR because it combines bundling logic with the possibility of blended public-private financing.</w:t>
                  </w:r>
                </w:p>
              </w:tc>
            </w:tr>
            <w:tr w:rsidR="00F75306" w:rsidRPr="00BA3447" w14:paraId="56FB72EB" w14:textId="77777777" w:rsidTr="00F75306">
              <w:trPr>
                <w:jc w:val="center"/>
              </w:trPr>
              <w:tc>
                <w:tcPr>
                  <w:tcW w:w="0" w:type="auto"/>
                  <w:shd w:val="clear" w:color="auto" w:fill="F2F2F2" w:themeFill="background1" w:themeFillShade="F2"/>
                  <w:tcMar>
                    <w:top w:w="72" w:type="dxa"/>
                    <w:left w:w="95" w:type="dxa"/>
                    <w:bottom w:w="72" w:type="dxa"/>
                    <w:right w:w="95" w:type="dxa"/>
                  </w:tcMar>
                  <w:vAlign w:val="center"/>
                </w:tcPr>
                <w:p w14:paraId="2BAB4C13" w14:textId="77777777" w:rsidR="00F75306" w:rsidRPr="00BA3447" w:rsidRDefault="00F75306" w:rsidP="00F75306">
                  <w:pPr>
                    <w:spacing w:after="0"/>
                    <w:jc w:val="center"/>
                    <w:rPr>
                      <w:rFonts w:cs="Arial"/>
                      <w:sz w:val="18"/>
                      <w:szCs w:val="18"/>
                    </w:rPr>
                  </w:pPr>
                  <w:r w:rsidRPr="00BA3447">
                    <w:rPr>
                      <w:rFonts w:cs="Arial"/>
                      <w:sz w:val="18"/>
                      <w:szCs w:val="18"/>
                    </w:rPr>
                    <w:t>Public grants</w:t>
                  </w:r>
                </w:p>
              </w:tc>
              <w:tc>
                <w:tcPr>
                  <w:tcW w:w="0" w:type="auto"/>
                  <w:shd w:val="clear" w:color="auto" w:fill="F2F2F2" w:themeFill="background1" w:themeFillShade="F2"/>
                  <w:tcMar>
                    <w:top w:w="72" w:type="dxa"/>
                    <w:left w:w="95" w:type="dxa"/>
                    <w:bottom w:w="72" w:type="dxa"/>
                    <w:right w:w="95" w:type="dxa"/>
                  </w:tcMar>
                  <w:vAlign w:val="center"/>
                </w:tcPr>
                <w:p w14:paraId="65923AF5" w14:textId="77777777" w:rsidR="00F75306" w:rsidRPr="00BA3447" w:rsidRDefault="00F75306" w:rsidP="00F75306">
                  <w:pPr>
                    <w:spacing w:after="0"/>
                    <w:jc w:val="center"/>
                    <w:rPr>
                      <w:rFonts w:cs="Arial"/>
                      <w:sz w:val="18"/>
                      <w:szCs w:val="18"/>
                    </w:rPr>
                  </w:pPr>
                  <w:r w:rsidRPr="00BA3447">
                    <w:rPr>
                      <w:rFonts w:cs="Arial"/>
                      <w:b/>
                      <w:sz w:val="18"/>
                      <w:szCs w:val="18"/>
                    </w:rPr>
                    <w:t>Public Investment Programme (PDE)</w:t>
                  </w:r>
                </w:p>
              </w:tc>
              <w:tc>
                <w:tcPr>
                  <w:tcW w:w="0" w:type="auto"/>
                  <w:shd w:val="clear" w:color="auto" w:fill="F2F2F2" w:themeFill="background1" w:themeFillShade="F2"/>
                  <w:tcMar>
                    <w:top w:w="72" w:type="dxa"/>
                    <w:left w:w="95" w:type="dxa"/>
                    <w:bottom w:w="72" w:type="dxa"/>
                    <w:right w:w="95" w:type="dxa"/>
                  </w:tcMar>
                  <w:vAlign w:val="center"/>
                </w:tcPr>
                <w:p w14:paraId="35ECC2D7" w14:textId="77777777" w:rsidR="00F75306" w:rsidRPr="00BA3447" w:rsidRDefault="00F75306" w:rsidP="00F75306">
                  <w:pPr>
                    <w:spacing w:after="0"/>
                    <w:rPr>
                      <w:rFonts w:cs="Arial"/>
                      <w:sz w:val="18"/>
                      <w:szCs w:val="18"/>
                    </w:rPr>
                  </w:pPr>
                  <w:r w:rsidRPr="00BA3447">
                    <w:rPr>
                      <w:rFonts w:cs="Arial"/>
                      <w:sz w:val="18"/>
                      <w:szCs w:val="18"/>
                    </w:rPr>
                    <w:t>A national public investment instrument used to fund major public infrastructure and modernisation projects. It may support energy efficiency interventions directly or in combination with EU funds and other public financing sources.</w:t>
                  </w:r>
                </w:p>
              </w:tc>
            </w:tr>
            <w:tr w:rsidR="00F75306" w:rsidRPr="00BA3447" w14:paraId="5A66F006" w14:textId="77777777" w:rsidTr="00F75306">
              <w:trPr>
                <w:jc w:val="center"/>
              </w:trPr>
              <w:tc>
                <w:tcPr>
                  <w:tcW w:w="0" w:type="auto"/>
                  <w:tcMar>
                    <w:top w:w="72" w:type="dxa"/>
                    <w:left w:w="95" w:type="dxa"/>
                    <w:bottom w:w="72" w:type="dxa"/>
                    <w:right w:w="95" w:type="dxa"/>
                  </w:tcMar>
                  <w:vAlign w:val="center"/>
                </w:tcPr>
                <w:p w14:paraId="07747FC9" w14:textId="77777777" w:rsidR="00F75306" w:rsidRPr="00BA3447" w:rsidRDefault="00F75306" w:rsidP="00F75306">
                  <w:pPr>
                    <w:spacing w:after="0"/>
                    <w:jc w:val="center"/>
                    <w:rPr>
                      <w:rFonts w:cs="Arial"/>
                      <w:sz w:val="18"/>
                      <w:szCs w:val="18"/>
                    </w:rPr>
                  </w:pPr>
                  <w:r w:rsidRPr="00BA3447">
                    <w:rPr>
                      <w:rFonts w:cs="Arial"/>
                      <w:sz w:val="18"/>
                      <w:szCs w:val="18"/>
                    </w:rPr>
                    <w:t>Public grants</w:t>
                  </w:r>
                </w:p>
              </w:tc>
              <w:tc>
                <w:tcPr>
                  <w:tcW w:w="0" w:type="auto"/>
                  <w:tcMar>
                    <w:top w:w="72" w:type="dxa"/>
                    <w:left w:w="95" w:type="dxa"/>
                    <w:bottom w:w="72" w:type="dxa"/>
                    <w:right w:w="95" w:type="dxa"/>
                  </w:tcMar>
                  <w:vAlign w:val="center"/>
                </w:tcPr>
                <w:p w14:paraId="1B56F067" w14:textId="77777777" w:rsidR="00F75306" w:rsidRPr="00BA3447" w:rsidRDefault="00F75306" w:rsidP="00F75306">
                  <w:pPr>
                    <w:spacing w:after="0"/>
                    <w:jc w:val="center"/>
                    <w:rPr>
                      <w:rFonts w:cs="Arial"/>
                      <w:sz w:val="18"/>
                      <w:szCs w:val="18"/>
                    </w:rPr>
                  </w:pPr>
                  <w:r w:rsidRPr="00BA3447">
                    <w:rPr>
                      <w:rFonts w:cs="Arial"/>
                      <w:b/>
                      <w:sz w:val="18"/>
                      <w:szCs w:val="18"/>
                    </w:rPr>
                    <w:t>Green Fund</w:t>
                  </w:r>
                </w:p>
              </w:tc>
              <w:tc>
                <w:tcPr>
                  <w:tcW w:w="0" w:type="auto"/>
                  <w:tcMar>
                    <w:top w:w="72" w:type="dxa"/>
                    <w:left w:w="95" w:type="dxa"/>
                    <w:bottom w:w="72" w:type="dxa"/>
                    <w:right w:w="95" w:type="dxa"/>
                  </w:tcMar>
                  <w:vAlign w:val="center"/>
                </w:tcPr>
                <w:p w14:paraId="7151639A" w14:textId="77777777" w:rsidR="00F75306" w:rsidRPr="00BA3447" w:rsidRDefault="00F75306" w:rsidP="00F75306">
                  <w:pPr>
                    <w:spacing w:after="0"/>
                    <w:rPr>
                      <w:rFonts w:cs="Arial"/>
                      <w:sz w:val="18"/>
                      <w:szCs w:val="18"/>
                    </w:rPr>
                  </w:pPr>
                  <w:r w:rsidRPr="00BA3447">
                    <w:rPr>
                      <w:rFonts w:cs="Arial"/>
                      <w:sz w:val="18"/>
                      <w:szCs w:val="18"/>
                    </w:rPr>
                    <w:t>A public environmental funding body supporting sustainability, urban regeneration and climate-related actions. It can contribute to renovation, restoration and complementary environmental upgrades in municipal buildings and public spaces.</w:t>
                  </w:r>
                </w:p>
              </w:tc>
            </w:tr>
            <w:tr w:rsidR="00F75306" w:rsidRPr="00BA3447" w14:paraId="0F8C775A" w14:textId="77777777" w:rsidTr="00F75306">
              <w:trPr>
                <w:jc w:val="center"/>
              </w:trPr>
              <w:tc>
                <w:tcPr>
                  <w:tcW w:w="0" w:type="auto"/>
                  <w:shd w:val="clear" w:color="auto" w:fill="F2F2F2" w:themeFill="background1" w:themeFillShade="F2"/>
                  <w:tcMar>
                    <w:top w:w="72" w:type="dxa"/>
                    <w:left w:w="95" w:type="dxa"/>
                    <w:bottom w:w="72" w:type="dxa"/>
                    <w:right w:w="95" w:type="dxa"/>
                  </w:tcMar>
                  <w:vAlign w:val="center"/>
                </w:tcPr>
                <w:p w14:paraId="3A12F15E" w14:textId="77777777" w:rsidR="00F75306" w:rsidRPr="00BA3447" w:rsidRDefault="00F75306" w:rsidP="00F75306">
                  <w:pPr>
                    <w:spacing w:after="0"/>
                    <w:jc w:val="center"/>
                    <w:rPr>
                      <w:rFonts w:cs="Arial"/>
                      <w:sz w:val="18"/>
                      <w:szCs w:val="18"/>
                    </w:rPr>
                  </w:pPr>
                  <w:r w:rsidRPr="00BA3447">
                    <w:rPr>
                      <w:rFonts w:cs="Arial"/>
                      <w:sz w:val="18"/>
                      <w:szCs w:val="18"/>
                    </w:rPr>
                    <w:t>Public grants</w:t>
                  </w:r>
                </w:p>
              </w:tc>
              <w:tc>
                <w:tcPr>
                  <w:tcW w:w="0" w:type="auto"/>
                  <w:shd w:val="clear" w:color="auto" w:fill="F2F2F2" w:themeFill="background1" w:themeFillShade="F2"/>
                  <w:tcMar>
                    <w:top w:w="72" w:type="dxa"/>
                    <w:left w:w="95" w:type="dxa"/>
                    <w:bottom w:w="72" w:type="dxa"/>
                    <w:right w:w="95" w:type="dxa"/>
                  </w:tcMar>
                  <w:vAlign w:val="center"/>
                </w:tcPr>
                <w:p w14:paraId="03C27F2A" w14:textId="77777777" w:rsidR="00F75306" w:rsidRPr="00BA3447" w:rsidRDefault="00F75306" w:rsidP="00F75306">
                  <w:pPr>
                    <w:spacing w:after="0"/>
                    <w:jc w:val="center"/>
                    <w:rPr>
                      <w:rFonts w:cs="Arial"/>
                      <w:sz w:val="18"/>
                      <w:szCs w:val="18"/>
                    </w:rPr>
                  </w:pPr>
                  <w:r w:rsidRPr="00BA3447">
                    <w:rPr>
                      <w:rFonts w:cs="Arial"/>
                      <w:b/>
                      <w:sz w:val="18"/>
                      <w:szCs w:val="18"/>
                    </w:rPr>
                    <w:t>EEA and Norway Grants</w:t>
                  </w:r>
                </w:p>
              </w:tc>
              <w:tc>
                <w:tcPr>
                  <w:tcW w:w="0" w:type="auto"/>
                  <w:shd w:val="clear" w:color="auto" w:fill="F2F2F2" w:themeFill="background1" w:themeFillShade="F2"/>
                  <w:tcMar>
                    <w:top w:w="72" w:type="dxa"/>
                    <w:left w:w="95" w:type="dxa"/>
                    <w:bottom w:w="72" w:type="dxa"/>
                    <w:right w:w="95" w:type="dxa"/>
                  </w:tcMar>
                  <w:vAlign w:val="center"/>
                </w:tcPr>
                <w:p w14:paraId="579523D5" w14:textId="77777777" w:rsidR="00F75306" w:rsidRPr="00BA3447" w:rsidRDefault="00F75306" w:rsidP="00F75306">
                  <w:pPr>
                    <w:spacing w:after="0"/>
                    <w:rPr>
                      <w:rFonts w:cs="Arial"/>
                      <w:sz w:val="18"/>
                      <w:szCs w:val="18"/>
                    </w:rPr>
                  </w:pPr>
                  <w:r w:rsidRPr="00BA3447">
                    <w:rPr>
                      <w:rFonts w:cs="Arial"/>
                      <w:sz w:val="18"/>
                      <w:szCs w:val="18"/>
                    </w:rPr>
                    <w:t>Non-repayable international funding aligned with green transition, resilience and social cohesion objectives. Potentially relevant for municipal renovation projects, particularly where broader social or territorial benefits can be demonstrated.</w:t>
                  </w:r>
                </w:p>
              </w:tc>
            </w:tr>
            <w:tr w:rsidR="00F75306" w:rsidRPr="00BA3447" w14:paraId="0C29916F" w14:textId="77777777" w:rsidTr="00F75306">
              <w:trPr>
                <w:jc w:val="center"/>
              </w:trPr>
              <w:tc>
                <w:tcPr>
                  <w:tcW w:w="0" w:type="auto"/>
                  <w:tcMar>
                    <w:top w:w="72" w:type="dxa"/>
                    <w:left w:w="95" w:type="dxa"/>
                    <w:bottom w:w="72" w:type="dxa"/>
                    <w:right w:w="95" w:type="dxa"/>
                  </w:tcMar>
                  <w:vAlign w:val="center"/>
                </w:tcPr>
                <w:p w14:paraId="1ACB6A6D" w14:textId="77777777" w:rsidR="00F75306" w:rsidRPr="00BA3447" w:rsidRDefault="00F75306" w:rsidP="00F75306">
                  <w:pPr>
                    <w:spacing w:after="0"/>
                    <w:jc w:val="center"/>
                    <w:rPr>
                      <w:rFonts w:cs="Arial"/>
                      <w:sz w:val="18"/>
                      <w:szCs w:val="18"/>
                    </w:rPr>
                  </w:pPr>
                  <w:r w:rsidRPr="00BA3447">
                    <w:rPr>
                      <w:rFonts w:cs="Arial"/>
                      <w:sz w:val="18"/>
                      <w:szCs w:val="18"/>
                    </w:rPr>
                    <w:t>Private / alternative mechanisms</w:t>
                  </w:r>
                </w:p>
              </w:tc>
              <w:tc>
                <w:tcPr>
                  <w:tcW w:w="0" w:type="auto"/>
                  <w:tcMar>
                    <w:top w:w="72" w:type="dxa"/>
                    <w:left w:w="95" w:type="dxa"/>
                    <w:bottom w:w="72" w:type="dxa"/>
                    <w:right w:w="95" w:type="dxa"/>
                  </w:tcMar>
                  <w:vAlign w:val="center"/>
                </w:tcPr>
                <w:p w14:paraId="08BE89F4" w14:textId="77777777" w:rsidR="00F75306" w:rsidRPr="00BA3447" w:rsidRDefault="00F75306" w:rsidP="00F75306">
                  <w:pPr>
                    <w:spacing w:after="0"/>
                    <w:jc w:val="center"/>
                    <w:rPr>
                      <w:rFonts w:cs="Arial"/>
                      <w:sz w:val="18"/>
                      <w:szCs w:val="18"/>
                    </w:rPr>
                  </w:pPr>
                  <w:r w:rsidRPr="00BA3447">
                    <w:rPr>
                      <w:rFonts w:cs="Arial"/>
                      <w:b/>
                      <w:sz w:val="18"/>
                      <w:szCs w:val="18"/>
                    </w:rPr>
                    <w:t>Public-Private Partnerships (PPP)</w:t>
                  </w:r>
                </w:p>
              </w:tc>
              <w:tc>
                <w:tcPr>
                  <w:tcW w:w="0" w:type="auto"/>
                  <w:tcMar>
                    <w:top w:w="72" w:type="dxa"/>
                    <w:left w:w="95" w:type="dxa"/>
                    <w:bottom w:w="72" w:type="dxa"/>
                    <w:right w:w="95" w:type="dxa"/>
                  </w:tcMar>
                  <w:vAlign w:val="center"/>
                </w:tcPr>
                <w:p w14:paraId="10BF0B84" w14:textId="77777777" w:rsidR="00F75306" w:rsidRPr="00BA3447" w:rsidRDefault="00F75306" w:rsidP="00F75306">
                  <w:pPr>
                    <w:spacing w:after="0"/>
                    <w:rPr>
                      <w:rFonts w:cs="Arial"/>
                      <w:sz w:val="18"/>
                      <w:szCs w:val="18"/>
                    </w:rPr>
                  </w:pPr>
                  <w:r w:rsidRPr="00BA3447">
                    <w:rPr>
                      <w:rFonts w:cs="Arial"/>
                      <w:sz w:val="18"/>
                      <w:szCs w:val="18"/>
                    </w:rPr>
                    <w:t>A structured cooperation model in which a private partner designs, finances and/or operates a public investment project under a long-term arrangement. More suitable for large-scale or strongly aggregated building portfolios than for isolated small renovations.</w:t>
                  </w:r>
                </w:p>
              </w:tc>
            </w:tr>
            <w:tr w:rsidR="00F75306" w:rsidRPr="00BA3447" w14:paraId="0615CACA" w14:textId="77777777" w:rsidTr="00F75306">
              <w:trPr>
                <w:jc w:val="center"/>
              </w:trPr>
              <w:tc>
                <w:tcPr>
                  <w:tcW w:w="0" w:type="auto"/>
                  <w:shd w:val="clear" w:color="auto" w:fill="F2F2F2" w:themeFill="background1" w:themeFillShade="F2"/>
                  <w:tcMar>
                    <w:top w:w="72" w:type="dxa"/>
                    <w:left w:w="95" w:type="dxa"/>
                    <w:bottom w:w="72" w:type="dxa"/>
                    <w:right w:w="95" w:type="dxa"/>
                  </w:tcMar>
                  <w:vAlign w:val="center"/>
                </w:tcPr>
                <w:p w14:paraId="31BD17EE" w14:textId="77777777" w:rsidR="00F75306" w:rsidRPr="00BA3447" w:rsidRDefault="00F75306" w:rsidP="00F75306">
                  <w:pPr>
                    <w:spacing w:after="0"/>
                    <w:jc w:val="center"/>
                    <w:rPr>
                      <w:rFonts w:cs="Arial"/>
                      <w:sz w:val="18"/>
                      <w:szCs w:val="18"/>
                    </w:rPr>
                  </w:pPr>
                  <w:r w:rsidRPr="00BA3447">
                    <w:rPr>
                      <w:rFonts w:cs="Arial"/>
                      <w:sz w:val="18"/>
                      <w:szCs w:val="18"/>
                    </w:rPr>
                    <w:t>Private / alternative mechanisms</w:t>
                  </w:r>
                </w:p>
              </w:tc>
              <w:tc>
                <w:tcPr>
                  <w:tcW w:w="0" w:type="auto"/>
                  <w:shd w:val="clear" w:color="auto" w:fill="F2F2F2" w:themeFill="background1" w:themeFillShade="F2"/>
                  <w:tcMar>
                    <w:top w:w="72" w:type="dxa"/>
                    <w:left w:w="95" w:type="dxa"/>
                    <w:bottom w:w="72" w:type="dxa"/>
                    <w:right w:w="95" w:type="dxa"/>
                  </w:tcMar>
                  <w:vAlign w:val="center"/>
                </w:tcPr>
                <w:p w14:paraId="3E4BDFAD" w14:textId="77777777" w:rsidR="00F75306" w:rsidRPr="00BA3447" w:rsidRDefault="00F75306" w:rsidP="00F75306">
                  <w:pPr>
                    <w:spacing w:after="0"/>
                    <w:jc w:val="center"/>
                    <w:rPr>
                      <w:rFonts w:cs="Arial"/>
                      <w:sz w:val="18"/>
                      <w:szCs w:val="18"/>
                    </w:rPr>
                  </w:pPr>
                  <w:r w:rsidRPr="00BA3447">
                    <w:rPr>
                      <w:rFonts w:cs="Arial"/>
                      <w:b/>
                      <w:sz w:val="18"/>
                      <w:szCs w:val="18"/>
                    </w:rPr>
                    <w:t>Energy Performance Contracting (EnPC)</w:t>
                  </w:r>
                </w:p>
              </w:tc>
              <w:tc>
                <w:tcPr>
                  <w:tcW w:w="0" w:type="auto"/>
                  <w:shd w:val="clear" w:color="auto" w:fill="F2F2F2" w:themeFill="background1" w:themeFillShade="F2"/>
                  <w:tcMar>
                    <w:top w:w="72" w:type="dxa"/>
                    <w:left w:w="95" w:type="dxa"/>
                    <w:bottom w:w="72" w:type="dxa"/>
                    <w:right w:w="95" w:type="dxa"/>
                  </w:tcMar>
                  <w:vAlign w:val="center"/>
                </w:tcPr>
                <w:p w14:paraId="7FD0BDFF" w14:textId="77777777" w:rsidR="00F75306" w:rsidRPr="00BA3447" w:rsidRDefault="00F75306" w:rsidP="00F75306">
                  <w:pPr>
                    <w:spacing w:after="0"/>
                    <w:rPr>
                      <w:rFonts w:cs="Arial"/>
                      <w:sz w:val="18"/>
                      <w:szCs w:val="18"/>
                    </w:rPr>
                  </w:pPr>
                  <w:r w:rsidRPr="00BA3447">
                    <w:rPr>
                      <w:rFonts w:cs="Arial"/>
                      <w:sz w:val="18"/>
                      <w:szCs w:val="18"/>
                    </w:rPr>
                    <w:t>A performance-based contractual model under which an ESCO finances and implements efficiency measures and is repaid through verified savings. Strategically important, but still difficult to deploy widely in Greece without grant support and strong project preparation.</w:t>
                  </w:r>
                </w:p>
              </w:tc>
            </w:tr>
            <w:tr w:rsidR="00F75306" w:rsidRPr="00BA3447" w14:paraId="33ABC805" w14:textId="77777777" w:rsidTr="00F75306">
              <w:trPr>
                <w:jc w:val="center"/>
              </w:trPr>
              <w:tc>
                <w:tcPr>
                  <w:tcW w:w="0" w:type="auto"/>
                  <w:tcMar>
                    <w:top w:w="72" w:type="dxa"/>
                    <w:left w:w="95" w:type="dxa"/>
                    <w:bottom w:w="72" w:type="dxa"/>
                    <w:right w:w="95" w:type="dxa"/>
                  </w:tcMar>
                  <w:vAlign w:val="center"/>
                </w:tcPr>
                <w:p w14:paraId="0D115145" w14:textId="77777777" w:rsidR="00F75306" w:rsidRPr="00BA3447" w:rsidRDefault="00F75306" w:rsidP="00F75306">
                  <w:pPr>
                    <w:spacing w:after="0"/>
                    <w:jc w:val="center"/>
                    <w:rPr>
                      <w:rFonts w:cs="Arial"/>
                      <w:sz w:val="18"/>
                      <w:szCs w:val="18"/>
                    </w:rPr>
                  </w:pPr>
                  <w:r w:rsidRPr="00BA3447">
                    <w:rPr>
                      <w:rFonts w:cs="Arial"/>
                      <w:sz w:val="18"/>
                      <w:szCs w:val="18"/>
                    </w:rPr>
                    <w:lastRenderedPageBreak/>
                    <w:t>Private / alternative mechanisms</w:t>
                  </w:r>
                </w:p>
              </w:tc>
              <w:tc>
                <w:tcPr>
                  <w:tcW w:w="0" w:type="auto"/>
                  <w:tcMar>
                    <w:top w:w="72" w:type="dxa"/>
                    <w:left w:w="95" w:type="dxa"/>
                    <w:bottom w:w="72" w:type="dxa"/>
                    <w:right w:w="95" w:type="dxa"/>
                  </w:tcMar>
                  <w:vAlign w:val="center"/>
                </w:tcPr>
                <w:p w14:paraId="6C678C25" w14:textId="77777777" w:rsidR="00F75306" w:rsidRPr="00BA3447" w:rsidRDefault="00F75306" w:rsidP="00F75306">
                  <w:pPr>
                    <w:spacing w:after="0"/>
                    <w:jc w:val="center"/>
                    <w:rPr>
                      <w:rFonts w:cs="Arial"/>
                      <w:sz w:val="18"/>
                      <w:szCs w:val="18"/>
                    </w:rPr>
                  </w:pPr>
                  <w:r w:rsidRPr="00BA3447">
                    <w:rPr>
                      <w:rFonts w:cs="Arial"/>
                      <w:b/>
                      <w:sz w:val="18"/>
                      <w:szCs w:val="18"/>
                    </w:rPr>
                    <w:t>Crowdfunding</w:t>
                  </w:r>
                </w:p>
              </w:tc>
              <w:tc>
                <w:tcPr>
                  <w:tcW w:w="0" w:type="auto"/>
                  <w:tcMar>
                    <w:top w:w="72" w:type="dxa"/>
                    <w:left w:w="95" w:type="dxa"/>
                    <w:bottom w:w="72" w:type="dxa"/>
                    <w:right w:w="95" w:type="dxa"/>
                  </w:tcMar>
                  <w:vAlign w:val="center"/>
                </w:tcPr>
                <w:p w14:paraId="5B785D9A" w14:textId="77777777" w:rsidR="00F75306" w:rsidRPr="00BA3447" w:rsidRDefault="00F75306" w:rsidP="00F75306">
                  <w:pPr>
                    <w:spacing w:after="0"/>
                    <w:rPr>
                      <w:rFonts w:cs="Arial"/>
                      <w:sz w:val="18"/>
                      <w:szCs w:val="18"/>
                    </w:rPr>
                  </w:pPr>
                  <w:r w:rsidRPr="00BA3447">
                    <w:rPr>
                      <w:rFonts w:cs="Arial"/>
                      <w:sz w:val="18"/>
                      <w:szCs w:val="18"/>
                    </w:rPr>
                    <w:t>A community-based funding mechanism, mainly relevant in Greece in donation form. It may support small, visible and locally supported interventions, but it is not suitable as the primary financing route for deep municipal renovations.</w:t>
                  </w:r>
                </w:p>
              </w:tc>
            </w:tr>
            <w:tr w:rsidR="00F75306" w:rsidRPr="00BA3447" w14:paraId="7030E6A9" w14:textId="77777777" w:rsidTr="00F75306">
              <w:trPr>
                <w:jc w:val="center"/>
              </w:trPr>
              <w:tc>
                <w:tcPr>
                  <w:tcW w:w="0" w:type="auto"/>
                  <w:shd w:val="clear" w:color="auto" w:fill="F2F2F2" w:themeFill="background1" w:themeFillShade="F2"/>
                  <w:tcMar>
                    <w:top w:w="72" w:type="dxa"/>
                    <w:left w:w="95" w:type="dxa"/>
                    <w:bottom w:w="72" w:type="dxa"/>
                    <w:right w:w="95" w:type="dxa"/>
                  </w:tcMar>
                  <w:vAlign w:val="center"/>
                </w:tcPr>
                <w:p w14:paraId="602530F2" w14:textId="77777777" w:rsidR="00F75306" w:rsidRPr="00BA3447" w:rsidRDefault="00F75306" w:rsidP="00F75306">
                  <w:pPr>
                    <w:spacing w:after="0"/>
                    <w:jc w:val="center"/>
                    <w:rPr>
                      <w:rFonts w:cs="Arial"/>
                      <w:sz w:val="18"/>
                      <w:szCs w:val="18"/>
                    </w:rPr>
                  </w:pPr>
                  <w:r w:rsidRPr="00BA3447">
                    <w:rPr>
                      <w:rFonts w:cs="Arial"/>
                      <w:sz w:val="18"/>
                      <w:szCs w:val="18"/>
                    </w:rPr>
                    <w:t>Private / alternative mechanisms</w:t>
                  </w:r>
                </w:p>
              </w:tc>
              <w:tc>
                <w:tcPr>
                  <w:tcW w:w="0" w:type="auto"/>
                  <w:shd w:val="clear" w:color="auto" w:fill="F2F2F2" w:themeFill="background1" w:themeFillShade="F2"/>
                  <w:tcMar>
                    <w:top w:w="72" w:type="dxa"/>
                    <w:left w:w="95" w:type="dxa"/>
                    <w:bottom w:w="72" w:type="dxa"/>
                    <w:right w:w="95" w:type="dxa"/>
                  </w:tcMar>
                  <w:vAlign w:val="center"/>
                </w:tcPr>
                <w:p w14:paraId="0DD3988C" w14:textId="77777777" w:rsidR="00F75306" w:rsidRPr="00BA3447" w:rsidRDefault="00F75306" w:rsidP="00F75306">
                  <w:pPr>
                    <w:spacing w:after="0"/>
                    <w:jc w:val="center"/>
                    <w:rPr>
                      <w:rFonts w:cs="Arial"/>
                      <w:sz w:val="18"/>
                      <w:szCs w:val="18"/>
                    </w:rPr>
                  </w:pPr>
                  <w:r w:rsidRPr="00BA3447">
                    <w:rPr>
                      <w:rFonts w:cs="Arial"/>
                      <w:b/>
                      <w:sz w:val="18"/>
                      <w:szCs w:val="18"/>
                    </w:rPr>
                    <w:t>Vendor financing</w:t>
                  </w:r>
                </w:p>
              </w:tc>
              <w:tc>
                <w:tcPr>
                  <w:tcW w:w="0" w:type="auto"/>
                  <w:shd w:val="clear" w:color="auto" w:fill="F2F2F2" w:themeFill="background1" w:themeFillShade="F2"/>
                  <w:tcMar>
                    <w:top w:w="72" w:type="dxa"/>
                    <w:left w:w="95" w:type="dxa"/>
                    <w:bottom w:w="72" w:type="dxa"/>
                    <w:right w:w="95" w:type="dxa"/>
                  </w:tcMar>
                  <w:vAlign w:val="center"/>
                </w:tcPr>
                <w:p w14:paraId="098FE42A" w14:textId="77777777" w:rsidR="00F75306" w:rsidRPr="00BA3447" w:rsidRDefault="00F75306" w:rsidP="00F75306">
                  <w:pPr>
                    <w:spacing w:after="0"/>
                    <w:rPr>
                      <w:rFonts w:cs="Arial"/>
                      <w:sz w:val="18"/>
                      <w:szCs w:val="18"/>
                    </w:rPr>
                  </w:pPr>
                  <w:r w:rsidRPr="00BA3447">
                    <w:rPr>
                      <w:rFonts w:cs="Arial"/>
                      <w:sz w:val="18"/>
                      <w:szCs w:val="18"/>
                    </w:rPr>
                    <w:t>A financing arrangement in which the technology supplier also provides deferred payment or financing for its own equipment or systems. Best suited to targeted interventions, such as specific HVAC, lighting or energy management packages.</w:t>
                  </w:r>
                </w:p>
              </w:tc>
            </w:tr>
            <w:tr w:rsidR="00F75306" w:rsidRPr="00BA3447" w14:paraId="1599C67D" w14:textId="77777777" w:rsidTr="00F75306">
              <w:trPr>
                <w:jc w:val="center"/>
              </w:trPr>
              <w:tc>
                <w:tcPr>
                  <w:tcW w:w="0" w:type="auto"/>
                  <w:tcMar>
                    <w:top w:w="72" w:type="dxa"/>
                    <w:left w:w="95" w:type="dxa"/>
                    <w:bottom w:w="72" w:type="dxa"/>
                    <w:right w:w="95" w:type="dxa"/>
                  </w:tcMar>
                  <w:vAlign w:val="center"/>
                </w:tcPr>
                <w:p w14:paraId="1F0DE592" w14:textId="77777777" w:rsidR="00F75306" w:rsidRPr="00BA3447" w:rsidRDefault="00F75306" w:rsidP="00F75306">
                  <w:pPr>
                    <w:spacing w:after="0"/>
                    <w:jc w:val="center"/>
                    <w:rPr>
                      <w:rFonts w:cs="Arial"/>
                      <w:sz w:val="18"/>
                      <w:szCs w:val="18"/>
                    </w:rPr>
                  </w:pPr>
                  <w:r w:rsidRPr="00BA3447">
                    <w:rPr>
                      <w:rFonts w:cs="Arial"/>
                      <w:sz w:val="18"/>
                      <w:szCs w:val="18"/>
                    </w:rPr>
                    <w:t>Private / alternative mechanisms</w:t>
                  </w:r>
                </w:p>
              </w:tc>
              <w:tc>
                <w:tcPr>
                  <w:tcW w:w="0" w:type="auto"/>
                  <w:tcMar>
                    <w:top w:w="72" w:type="dxa"/>
                    <w:left w:w="95" w:type="dxa"/>
                    <w:bottom w:w="72" w:type="dxa"/>
                    <w:right w:w="95" w:type="dxa"/>
                  </w:tcMar>
                  <w:vAlign w:val="center"/>
                </w:tcPr>
                <w:p w14:paraId="732CD566" w14:textId="77777777" w:rsidR="00F75306" w:rsidRPr="00BA3447" w:rsidRDefault="00F75306" w:rsidP="00F75306">
                  <w:pPr>
                    <w:spacing w:after="0"/>
                    <w:jc w:val="center"/>
                    <w:rPr>
                      <w:rFonts w:cs="Arial"/>
                      <w:sz w:val="18"/>
                      <w:szCs w:val="18"/>
                    </w:rPr>
                  </w:pPr>
                  <w:r w:rsidRPr="00BA3447">
                    <w:rPr>
                      <w:rFonts w:cs="Arial"/>
                      <w:b/>
                      <w:sz w:val="18"/>
                      <w:szCs w:val="18"/>
                    </w:rPr>
                    <w:t>Energy Efficiency Obligation Scheme (EEOS)</w:t>
                  </w:r>
                </w:p>
              </w:tc>
              <w:tc>
                <w:tcPr>
                  <w:tcW w:w="0" w:type="auto"/>
                  <w:tcMar>
                    <w:top w:w="72" w:type="dxa"/>
                    <w:left w:w="95" w:type="dxa"/>
                    <w:bottom w:w="72" w:type="dxa"/>
                    <w:right w:w="95" w:type="dxa"/>
                  </w:tcMar>
                  <w:vAlign w:val="center"/>
                </w:tcPr>
                <w:p w14:paraId="1A038F36" w14:textId="77777777" w:rsidR="00F75306" w:rsidRPr="00BA3447" w:rsidRDefault="00F75306" w:rsidP="00F75306">
                  <w:pPr>
                    <w:spacing w:after="0"/>
                    <w:rPr>
                      <w:rFonts w:cs="Arial"/>
                      <w:sz w:val="18"/>
                      <w:szCs w:val="18"/>
                    </w:rPr>
                  </w:pPr>
                  <w:r w:rsidRPr="00BA3447">
                    <w:rPr>
                      <w:rFonts w:cs="Arial"/>
                      <w:sz w:val="18"/>
                      <w:szCs w:val="18"/>
                    </w:rPr>
                    <w:t>A regulatory mechanism requiring obligated energy companies to achieve energy savings. It can act as a complementary source of support for municipal renovation projects, especially where savings are measurable and payback periods are not excessively long.</w:t>
                  </w:r>
                </w:p>
              </w:tc>
            </w:tr>
          </w:tbl>
          <w:p w14:paraId="476061E8" w14:textId="77777777" w:rsidR="00F75306" w:rsidRDefault="00F75306" w:rsidP="00F75306"/>
          <w:p w14:paraId="5798D979" w14:textId="77777777" w:rsidR="00F75306" w:rsidRDefault="00F75306" w:rsidP="00F75306">
            <w:r w:rsidRPr="00A96D39">
              <w:t>Throughout the project and afterwards, there will be ongoing efforts to update the survey and provide municipalities with clear information on available financing options and mechanisms for energy renovations, to decarbonise the municipal building stock.</w:t>
            </w:r>
          </w:p>
          <w:p w14:paraId="1DDBC8C8" w14:textId="77777777" w:rsidR="00F75306" w:rsidRDefault="00F75306" w:rsidP="00F75306"/>
          <w:p w14:paraId="5DF52A63" w14:textId="77777777" w:rsidR="00F75306" w:rsidRPr="00F75306" w:rsidRDefault="00F75306" w:rsidP="00980F10">
            <w:pPr>
              <w:spacing w:before="120" w:after="120"/>
              <w:jc w:val="both"/>
              <w:rPr>
                <w:rFonts w:eastAsia="Times New Roman" w:cs="Arial"/>
                <w:color w:val="C0504D" w:themeColor="accent2"/>
                <w:sz w:val="18"/>
                <w:szCs w:val="18"/>
              </w:rPr>
            </w:pPr>
          </w:p>
          <w:p w14:paraId="370A99EA" w14:textId="65CE6F06" w:rsidR="000D3F05" w:rsidRDefault="000D3F05" w:rsidP="00980F10">
            <w:pPr>
              <w:spacing w:before="120" w:after="120"/>
              <w:jc w:val="both"/>
              <w:rPr>
                <w:rFonts w:eastAsia="Times New Roman" w:cs="Arial"/>
                <w:color w:val="C0504D" w:themeColor="accent2"/>
                <w:sz w:val="18"/>
                <w:szCs w:val="18"/>
                <w:lang w:val="en-US"/>
              </w:rPr>
            </w:pPr>
            <w:commentRangeStart w:id="48"/>
            <w:r w:rsidRPr="007D500E">
              <w:rPr>
                <w:rFonts w:eastAsia="Times New Roman" w:cs="Arial"/>
                <w:color w:val="C0504D" w:themeColor="accent2"/>
                <w:sz w:val="18"/>
                <w:szCs w:val="18"/>
              </w:rPr>
              <w:t>Task 3.3.2</w:t>
            </w:r>
            <w:commentRangeEnd w:id="48"/>
            <w:r w:rsidRPr="00F75306">
              <w:rPr>
                <w:rStyle w:val="CommentReference"/>
                <w:rFonts w:eastAsia="Times New Roman" w:cs="Arial"/>
                <w:color w:val="C0504D" w:themeColor="accent2"/>
                <w:sz w:val="18"/>
                <w:szCs w:val="18"/>
                <w:lang w:val="en-US"/>
              </w:rPr>
              <w:commentReference w:id="48"/>
            </w:r>
            <w:r w:rsidR="00F75306" w:rsidRPr="00F75306">
              <w:rPr>
                <w:rFonts w:eastAsia="Times New Roman" w:cs="Arial"/>
                <w:color w:val="C0504D" w:themeColor="accent2"/>
                <w:sz w:val="18"/>
                <w:szCs w:val="18"/>
                <w:lang w:val="en-US"/>
              </w:rPr>
              <w:t xml:space="preserve"> (EUDITI, CRES, Epirus Bank Kelemenis)</w:t>
            </w:r>
          </w:p>
          <w:p w14:paraId="666C3EC8" w14:textId="77777777" w:rsidR="00F75306" w:rsidRPr="000B6763" w:rsidRDefault="00F75306" w:rsidP="00F75306">
            <w:r w:rsidRPr="000B6763">
              <w:t xml:space="preserve">This </w:t>
            </w:r>
            <w:r>
              <w:t>sub</w:t>
            </w:r>
            <w:r w:rsidRPr="000B6763">
              <w:t xml:space="preserve">task </w:t>
            </w:r>
            <w:r>
              <w:t>addresses</w:t>
            </w:r>
            <w:r w:rsidRPr="000B6763">
              <w:t xml:space="preserve"> the funding instruments that may support the 60 pilot projects </w:t>
            </w:r>
            <w:r>
              <w:t xml:space="preserve">currently under development, </w:t>
            </w:r>
            <w:r w:rsidRPr="000B6763">
              <w:t>as well as part of the 40 pipeline projects expected to mature to the financing stage during the project implementation period. Blended financing is considered the preferred approach for these projects, while alternative financing schemes will also be explored, depending on the results of the techno-economic appraisal of the building bundles to be carried out under WP4.</w:t>
            </w:r>
            <w:r>
              <w:t xml:space="preserve">  It should be mentioned that the renovation design of the 60 pilot buildings is not completed yet.  Therefore, information on building renovation investment and the economic and financial indices is not available.</w:t>
            </w:r>
            <w:r w:rsidRPr="00235BF0">
              <w:t xml:space="preserve"> </w:t>
            </w:r>
          </w:p>
          <w:p w14:paraId="61B16648" w14:textId="77777777" w:rsidR="00F75306" w:rsidRPr="000B6763" w:rsidRDefault="00F75306" w:rsidP="00F75306">
            <w:r w:rsidRPr="000B6763">
              <w:t>A key objective of the RenoInGR OSS is to mobilise private capital through the use of public funding, in particular by facilitating the uptake of Energy Performance Contracting. However, since the ELECTRA programme (presented in Deliverable D3.3 and summarised in Table 3.6 above) is no longer open to new applications, the only funding instrument currently identified that explicitly foresees Energy Performance Contracting as a vehicle for implementation and complementary financing is the “</w:t>
            </w:r>
            <w:r w:rsidRPr="00A03C36">
              <w:rPr>
                <w:b/>
                <w:bCs/>
              </w:rPr>
              <w:t>Systades” programme</w:t>
            </w:r>
            <w:r w:rsidRPr="000B6763">
              <w:t>, presented below. According to the information currently available, this programme is expected to be launched in the near future, within a timeframe that could be suitable for supporting the first batch of pilot buildings.</w:t>
            </w:r>
          </w:p>
          <w:p w14:paraId="6DADBA03" w14:textId="77777777" w:rsidR="00F75306" w:rsidRPr="000B6763" w:rsidRDefault="00F75306" w:rsidP="00F75306">
            <w:r w:rsidRPr="00A03C36">
              <w:t xml:space="preserve">The “Systades” programme is a scheme for the energy renovation of eligible public buildings through Energy Performance Contracts. It is based on the grouping and prioritisation of public buildings into homogeneous clusters (“Systades of Eligible Buildings”) in order to facilitate implementation at scale, mobilise energy service providers, and contribute to national energy efficiency targets. The programme is established under Article 9A of Law 4342/2015 and is intended to support the </w:t>
            </w:r>
            <w:r w:rsidRPr="00A03C36">
              <w:lastRenderedPageBreak/>
              <w:t>upgrading of public buildings belonging to General Government entities through a clustered approach</w:t>
            </w:r>
            <w:r>
              <w:t>.</w:t>
            </w:r>
          </w:p>
          <w:p w14:paraId="3CC5E779" w14:textId="77777777" w:rsidR="00F75306" w:rsidRDefault="00F75306" w:rsidP="00F75306">
            <w:r>
              <w:t>Public grant programmes that can be available in a suitable timeframe for the 60 pilot buildings are:</w:t>
            </w:r>
          </w:p>
          <w:p w14:paraId="0F4DD378" w14:textId="77777777" w:rsidR="00F75306" w:rsidRPr="000B6763" w:rsidRDefault="00F75306" w:rsidP="00F75306">
            <w:r>
              <w:t>T</w:t>
            </w:r>
            <w:r w:rsidRPr="000B6763">
              <w:t xml:space="preserve">he </w:t>
            </w:r>
            <w:r w:rsidRPr="000B6763">
              <w:rPr>
                <w:b/>
                <w:bCs/>
              </w:rPr>
              <w:t>Just Transition Development Programme (DAM)</w:t>
            </w:r>
            <w:r>
              <w:rPr>
                <w:b/>
                <w:bCs/>
              </w:rPr>
              <w:t xml:space="preserve">, </w:t>
            </w:r>
            <w:r w:rsidRPr="000B6763">
              <w:t>a subsidy</w:t>
            </w:r>
            <w:r>
              <w:t xml:space="preserve"> programme</w:t>
            </w:r>
            <w:r>
              <w:rPr>
                <w:b/>
                <w:bCs/>
              </w:rPr>
              <w:t>,</w:t>
            </w:r>
            <w:r w:rsidRPr="000B6763">
              <w:t xml:space="preserve"> </w:t>
            </w:r>
            <w:r w:rsidRPr="00A03C36">
              <w:rPr>
                <w:b/>
                <w:bCs/>
              </w:rPr>
              <w:t>is currently available</w:t>
            </w:r>
            <w:r w:rsidRPr="000B6763">
              <w:t xml:space="preserve"> and appears particularly relevant for Partners 6 and 7, i.e. the two small island municipalities of Tilos and Antiparos.</w:t>
            </w:r>
          </w:p>
          <w:p w14:paraId="37B65326" w14:textId="77777777" w:rsidR="00F75306" w:rsidRPr="000B6763" w:rsidRDefault="00F75306" w:rsidP="00F75306">
            <w:r w:rsidRPr="000B6763">
              <w:t>Additional funding calls are expected to be launched during 2026, including:</w:t>
            </w:r>
          </w:p>
          <w:p w14:paraId="68A0A741" w14:textId="77777777" w:rsidR="00F75306" w:rsidRPr="000B6763" w:rsidRDefault="00F75306" w:rsidP="00F75306">
            <w:pPr>
              <w:pStyle w:val="ListParagraph"/>
              <w:numPr>
                <w:ilvl w:val="0"/>
                <w:numId w:val="59"/>
              </w:numPr>
              <w:spacing w:before="60" w:after="60" w:line="240" w:lineRule="auto"/>
              <w:jc w:val="both"/>
            </w:pPr>
            <w:r w:rsidRPr="000B6763">
              <w:t xml:space="preserve">the </w:t>
            </w:r>
            <w:r>
              <w:t xml:space="preserve">extension of the </w:t>
            </w:r>
            <w:r w:rsidRPr="000B6763">
              <w:t xml:space="preserve">DAM programme, </w:t>
            </w:r>
            <w:r>
              <w:t>relevant</w:t>
            </w:r>
            <w:r w:rsidRPr="000B6763">
              <w:t xml:space="preserve"> to other Just Transition areas, such as Central Macedonia, relevant to Partner 8, and possibly Crete, relevant to Partner 4;</w:t>
            </w:r>
          </w:p>
          <w:p w14:paraId="763D4945" w14:textId="77777777" w:rsidR="00F75306" w:rsidRPr="000B6763" w:rsidRDefault="00F75306" w:rsidP="00F75306">
            <w:pPr>
              <w:pStyle w:val="ListParagraph"/>
              <w:numPr>
                <w:ilvl w:val="0"/>
                <w:numId w:val="59"/>
              </w:numPr>
              <w:spacing w:before="60" w:after="60" w:line="240" w:lineRule="auto"/>
              <w:jc w:val="both"/>
            </w:pPr>
            <w:r w:rsidRPr="000B6763">
              <w:t>the GReco Islands initiative; and</w:t>
            </w:r>
          </w:p>
          <w:p w14:paraId="2830C20C" w14:textId="77777777" w:rsidR="00F75306" w:rsidRPr="000B6763" w:rsidRDefault="00F75306" w:rsidP="00F75306">
            <w:pPr>
              <w:pStyle w:val="ListParagraph"/>
              <w:numPr>
                <w:ilvl w:val="0"/>
                <w:numId w:val="59"/>
              </w:numPr>
              <w:spacing w:before="60" w:after="60" w:line="240" w:lineRule="auto"/>
              <w:jc w:val="both"/>
            </w:pPr>
            <w:r w:rsidRPr="000B6763">
              <w:t>other programmes under the NSRF (National Strategic Reference Framework), which constitutes the overall framework for EU co-financed development interventions in Greece and under which both the DAM and the GReco Islands financing routes are implemented.</w:t>
            </w:r>
          </w:p>
          <w:p w14:paraId="71910213" w14:textId="77777777" w:rsidR="00F75306" w:rsidRPr="000B6763" w:rsidRDefault="00F75306" w:rsidP="00F75306">
            <w:r w:rsidRPr="000B6763">
              <w:t>A brief description of the above programmes is provided in the following sections.</w:t>
            </w:r>
          </w:p>
          <w:p w14:paraId="63098A30" w14:textId="77777777" w:rsidR="00F75306" w:rsidRPr="00A03C36" w:rsidRDefault="00F75306" w:rsidP="00F75306">
            <w:r w:rsidRPr="0053122C">
              <w:rPr>
                <w:b/>
                <w:bCs/>
                <w:i/>
                <w:iCs/>
                <w:u w:val="single"/>
              </w:rPr>
              <w:t>DAM</w:t>
            </w:r>
            <w:r>
              <w:t xml:space="preserve">: </w:t>
            </w:r>
            <w:r w:rsidRPr="0053122C">
              <w:t>The Just Transition Development Programme (JTP/DAM) is part of the 2021–2027 NSRF and supports the economic, social and environmental transition of territories most affected by the shift towards climate neutrality. In the field of buildings, it may support energy renovation interventions in public and municipal buildings located in eligible just transition areas, with the aim of improving energy performance, reducing emissions, and supporting the wider green transition of local communities. Depending on the specific call, support may cover building envelope measures, HVAC upgrades, RES-related interventions, automation systems, and associated technical preparation costs.</w:t>
            </w:r>
          </w:p>
          <w:p w14:paraId="000733E0" w14:textId="77777777" w:rsidR="00F75306" w:rsidRPr="00F240AE" w:rsidRDefault="00F75306" w:rsidP="00F75306">
            <w:r w:rsidRPr="00FD7272">
              <w:rPr>
                <w:b/>
                <w:bCs/>
                <w:i/>
                <w:iCs/>
                <w:u w:val="single"/>
              </w:rPr>
              <w:t>GR-EcoIslands</w:t>
            </w:r>
            <w:r w:rsidRPr="00FD7272">
              <w:t>:</w:t>
            </w:r>
            <w:r w:rsidRPr="00F240AE">
              <w:t xml:space="preserve"> </w:t>
            </w:r>
          </w:p>
          <w:p w14:paraId="2F5DC316" w14:textId="77777777" w:rsidR="00F75306" w:rsidRPr="002D1E6B" w:rsidRDefault="00F75306" w:rsidP="00F75306">
            <w:r w:rsidRPr="005773E7">
              <w:t xml:space="preserve">The GR-eco Islands initiative, established under Article 21 of the Greek National Climate Law (Law 4936/2022), aims to support the integrated transition of Greek islands towards climate-neutral development models. The initiative focuses on key pillars such as renewable energy sources (RES), energy storage, circular economy, and sustainability. </w:t>
            </w:r>
            <w:r w:rsidRPr="002D1E6B">
              <w:t>Its implementation is expected to be supported through the 2021–2027 NSRF, in particular via the Sectoral Programmes Environment and Climate Change (PEKA) and Just Development Transition (DAM), as well as the Regional Programmes North Aegean, South Aegean, and Ionian Islands.</w:t>
            </w:r>
          </w:p>
          <w:p w14:paraId="3B11EB00" w14:textId="77777777" w:rsidR="00F75306" w:rsidRPr="002D1E6B" w:rsidRDefault="00F75306" w:rsidP="00F75306">
            <w:r w:rsidRPr="002D1E6B">
              <w:t>Furthermore, Ministerial Decision 64227 EX 2025/15.04.2025 (Government Gazette 2119/B/05.05.2025) established the “GReco Islands” Charter, which sets out the conditions for the co-financing of projects under the GReco Islands framework through the 2021–2027 NSRF Programmes, and also introduces the “GRecoISLAND” label.</w:t>
            </w:r>
          </w:p>
          <w:p w14:paraId="39713578" w14:textId="77777777" w:rsidR="00F75306" w:rsidRPr="002D1E6B" w:rsidRDefault="00F75306" w:rsidP="00F75306">
            <w:r w:rsidRPr="002D1E6B">
              <w:t>The initiative covers 39 small islands, with populations ranging from 100 to 3,500 inhabitants, and seeks to support their transformation into greener, smarter, more resilient, and more sustainable communities, while also strengthening entrepreneurship and social cohesion. In relation to municipal and public buildings, a thematic target has been set to ensure that at least 50% of publicly and municipally owned buildings in use achieve a minimum of Energy Class B.</w:t>
            </w:r>
          </w:p>
          <w:p w14:paraId="471D0799" w14:textId="77777777" w:rsidR="00F75306" w:rsidRPr="00F240AE" w:rsidRDefault="00F75306" w:rsidP="00F75306">
            <w:r w:rsidRPr="0053122C">
              <w:rPr>
                <w:b/>
                <w:bCs/>
                <w:i/>
                <w:iCs/>
                <w:u w:val="single"/>
              </w:rPr>
              <w:lastRenderedPageBreak/>
              <w:t>NSRF</w:t>
            </w:r>
            <w:r w:rsidRPr="0053122C">
              <w:t xml:space="preserve"> 2021–2027 is Greece’s main strategic and financial framework for the use of European Union cohesion policy funds. It brings together national and regional programmes that support economic development, social cohesion, environmental sustainability, innovation, employment, and the green and digital transition. Through its different programmes, NSRF finances public and private investments, including infrastructure, energy efficiency, education, social inclusion, and regional development actions across the country.</w:t>
            </w:r>
            <w:r w:rsidRPr="00FD7272">
              <w:t xml:space="preserve"> </w:t>
            </w:r>
          </w:p>
          <w:p w14:paraId="3FB94B9A" w14:textId="77777777" w:rsidR="00F75306" w:rsidRDefault="00F75306" w:rsidP="00F75306">
            <w:r w:rsidRPr="00FD7272">
              <w:t>Under the NSRF 2021–2027, further calls for the energy renovation of municipal and other public buildings are expected to continue up to 2027. However, these do not appear to follow a single unified national call schedule dedicated exclusively to municipal buildings. Instead, funding opportunities are launched progressively through national, regional and territorial instruments, including Regional Programmes, Just Transition areas, Sustainable Urban Development strategies, Integrated Territorial Investments, and other place-based mechanisms. Recent and ongoing calls for public-sector energy renovation confirm that municipal buildings remain an active area of support within the current programming period.</w:t>
            </w:r>
          </w:p>
          <w:p w14:paraId="429636AD" w14:textId="77777777" w:rsidR="00F75306" w:rsidRDefault="00F75306" w:rsidP="00F75306">
            <w:pPr>
              <w:rPr>
                <w:i/>
                <w:iCs/>
                <w:u w:val="single"/>
              </w:rPr>
            </w:pPr>
            <w:r>
              <w:rPr>
                <w:i/>
                <w:iCs/>
                <w:u w:val="single"/>
              </w:rPr>
              <w:t>Services to be offered to the municipalities</w:t>
            </w:r>
          </w:p>
          <w:p w14:paraId="17BC5BA0" w14:textId="77777777" w:rsidR="00F75306" w:rsidRPr="0043106F" w:rsidRDefault="00F75306" w:rsidP="00F75306">
            <w:pPr>
              <w:rPr>
                <w:u w:val="single"/>
              </w:rPr>
            </w:pPr>
            <w:r>
              <w:t>In line with Task 3.2 and the GA, two</w:t>
            </w:r>
            <w:r w:rsidRPr="00F97994">
              <w:t xml:space="preserve"> services will be offered </w:t>
            </w:r>
            <w:r>
              <w:t>to municipalities with respect to financial engineering</w:t>
            </w:r>
            <w:r w:rsidRPr="00F97994">
              <w:t xml:space="preserve">. For small and medium-sized municipalities, OSS will prepare the application for public grants after preparing a financing plan and reaching agreements with the municipalities. For blended financing, OSS will create tender documents for the procurement of the EnPC based on </w:t>
            </w:r>
            <w:r>
              <w:t>the procurement template</w:t>
            </w:r>
            <w:r w:rsidRPr="00F97994">
              <w:t xml:space="preserve"> produced in Task 3.2. For large municipalities and regions, OSS will help adapt the EnPC procurement template.</w:t>
            </w:r>
            <w:r>
              <w:t xml:space="preserve">  </w:t>
            </w:r>
          </w:p>
          <w:p w14:paraId="3013B542" w14:textId="77777777" w:rsidR="00F75306" w:rsidRPr="00B64507" w:rsidRDefault="00F75306" w:rsidP="00F75306">
            <w:pPr>
              <w:rPr>
                <w:i/>
                <w:iCs/>
                <w:u w:val="single"/>
              </w:rPr>
            </w:pPr>
            <w:r w:rsidRPr="00B64507">
              <w:rPr>
                <w:i/>
                <w:iCs/>
                <w:u w:val="single"/>
              </w:rPr>
              <w:t>RenoInGR’s effort to develop a new financing scheme</w:t>
            </w:r>
          </w:p>
          <w:p w14:paraId="7F1D7E4A" w14:textId="77777777" w:rsidR="00F75306" w:rsidRPr="00B64507" w:rsidRDefault="00F75306" w:rsidP="00F75306">
            <w:r w:rsidRPr="00B64507">
              <w:t>In addition to its contractual obligations, RenoInGR is developing a plan to utilise public funding to enhance financial opportunities for areas not covered by the DAM and GR ecoIslands. Specifically, this plan aims to combine public funding programs from the National Strategic Reference Framework (NSRF) and the "Green Fund" with the Energy Efficiency Obligation Scheme (EEOS). Although there are significant challenges in establishing such a scheme, there are also opportunities, particularly because Partner 11 (CRES, the Centre for Renewable Energy Sources and Saving) serves as the supervising entity for the EEOS in Greece.</w:t>
            </w:r>
            <w:r>
              <w:t xml:space="preserve"> </w:t>
            </w:r>
            <w:r w:rsidRPr="00B64507">
              <w:t>The scheme in mind presented in the following</w:t>
            </w:r>
            <w:r>
              <w:t>.</w:t>
            </w:r>
          </w:p>
          <w:p w14:paraId="2982CA81" w14:textId="77777777" w:rsidR="00F75306" w:rsidRPr="00AA4DC7" w:rsidRDefault="00F75306" w:rsidP="00F75306">
            <w:pPr>
              <w:rPr>
                <w:i/>
                <w:iCs/>
                <w:u w:val="single"/>
              </w:rPr>
            </w:pPr>
            <w:r w:rsidRPr="00AA4DC7">
              <w:rPr>
                <w:i/>
                <w:iCs/>
                <w:u w:val="single"/>
              </w:rPr>
              <w:t>Purpose and rationale:</w:t>
            </w:r>
          </w:p>
          <w:p w14:paraId="199F86D0" w14:textId="77777777" w:rsidR="00F75306" w:rsidRDefault="00F75306" w:rsidP="00F75306">
            <w:r>
              <w:t>A feasible financing approach for municipal building energy renovations in Greece is to combine a primary public grant programme with a complementary contribution mobilised through the Energy Efficiency Obligation Scheme (EEOS). Depending on the location and eligibility profile of the municipality and the buildings concerned, the core public source may be a Regional Programme (PEP), the Just Transition Development Programme (DAM), or, in the case of eligible small islands, the GReco Islands framework. The EEOS may then be used as an additional source of value linked to verified end-use energy savings. This concept is particularly relevant for municipalities with limited own resources and for portfolios where grants alone may be insufficient, while purely performance-based financing would not be bankable for the full investment cost.</w:t>
            </w:r>
          </w:p>
          <w:p w14:paraId="1803AC23" w14:textId="77777777" w:rsidR="00F75306" w:rsidRDefault="00F75306" w:rsidP="00F75306">
            <w:r>
              <w:lastRenderedPageBreak/>
              <w:t>The rationale for such a blended scheme is that municipal buildings, especially schools and administrative buildings, often present a weak stand-alone business case for full private financing. Current energy consumption may already be suppressed, operating hours may be limited, and building envelope thermal improvement measures may generate long payback periods. A mixed model can therefore improve feasibility by assigning the least bankable part of the investment to public support and using EEOS resources to monetise part of the verified energy savings. Such an approach is consistent with the logic of the revised European energy efficiency framework, provided that double funding of the same expenditure and double counting of the same savings are avoided.</w:t>
            </w:r>
          </w:p>
          <w:p w14:paraId="5FEF74A2" w14:textId="77777777" w:rsidR="00F75306" w:rsidRPr="00AA4DC7" w:rsidRDefault="00F75306" w:rsidP="00F75306">
            <w:pPr>
              <w:rPr>
                <w:i/>
                <w:iCs/>
                <w:u w:val="single"/>
              </w:rPr>
            </w:pPr>
            <w:r w:rsidRPr="00AA4DC7">
              <w:rPr>
                <w:i/>
                <w:iCs/>
                <w:u w:val="single"/>
              </w:rPr>
              <w:t>Structure of the proposed financing concept</w:t>
            </w:r>
            <w:r>
              <w:t>:</w:t>
            </w:r>
          </w:p>
          <w:p w14:paraId="005A545B" w14:textId="77777777" w:rsidR="00F75306" w:rsidRDefault="00F75306" w:rsidP="00F75306">
            <w:r>
              <w:t>The proposed model is based on one primary public funding source and one complementary EEOS layer. Under this approach, the public programme would cover the main renovation package, including building envelope measures, replacement of windows, HVAC upgrades, automation and control systems, renewable energy systems for self-consumption, and the required studies and technical preparation, subject to the terms of the relevant call.</w:t>
            </w:r>
          </w:p>
          <w:p w14:paraId="2462D0F2" w14:textId="77777777" w:rsidR="00F75306" w:rsidRDefault="00F75306" w:rsidP="00F75306">
            <w:r>
              <w:t>The EEOS would then be used to mobilise additional private-sector value for specific measures or savings streams that are easier to quantify and verify. In principle, this could include lighting upgrades, building automation and controls, selected HVAC optimisation measures, and, where admissible, other interventions with robust and measurable savings. The role of the EEOS in this concept is therefore not to replace the public grant, but to reduce the residual financing gap by linking part of the investment to the delivery of eligible energy savings that can be credited to an obligated party.</w:t>
            </w:r>
          </w:p>
          <w:p w14:paraId="7DF69BFE" w14:textId="77777777" w:rsidR="00F75306" w:rsidRPr="00AA4DC7" w:rsidRDefault="00F75306" w:rsidP="00F75306">
            <w:pPr>
              <w:rPr>
                <w:i/>
                <w:iCs/>
                <w:u w:val="single"/>
              </w:rPr>
            </w:pPr>
            <w:r w:rsidRPr="00AA4DC7">
              <w:rPr>
                <w:i/>
                <w:iCs/>
                <w:u w:val="single"/>
              </w:rPr>
              <w:t xml:space="preserve">Alternative </w:t>
            </w:r>
            <w:r>
              <w:rPr>
                <w:i/>
                <w:iCs/>
                <w:u w:val="single"/>
              </w:rPr>
              <w:t xml:space="preserve">programme </w:t>
            </w:r>
            <w:r w:rsidRPr="00AA4DC7">
              <w:rPr>
                <w:i/>
                <w:iCs/>
                <w:u w:val="single"/>
              </w:rPr>
              <w:t>routes</w:t>
            </w:r>
            <w:r>
              <w:rPr>
                <w:i/>
                <w:iCs/>
                <w:u w:val="single"/>
              </w:rPr>
              <w:t>:</w:t>
            </w:r>
          </w:p>
          <w:p w14:paraId="78CB63D2" w14:textId="77777777" w:rsidR="00F75306" w:rsidRDefault="00F75306" w:rsidP="00F75306">
            <w:r>
              <w:t>Three variants of the concept may be envisaged. The first is a PEP &amp; EEOS model, which is the most broadly applicable option for municipalities outside the territorial scope of the Just Transition Programme and outside the GReco Islands framework. The second is a DAM &amp; EEOS model for municipalities located in eligible just transition areas, where the renovation package can be framed not only as an energy efficiency intervention but also as part of the broader socio-economic transition strategy of the region. The third is a GReco Islands &amp; EEOS model for small eligible islands, where building renovation can be embedded within an integrated island decarbonisation pathway.</w:t>
            </w:r>
          </w:p>
          <w:p w14:paraId="2DC15591" w14:textId="77777777" w:rsidR="00F75306" w:rsidRDefault="00F75306" w:rsidP="00F75306">
            <w:r>
              <w:t>The choice among these routes should not be based only on the availability of funding. It should also reflect the strategic narrative of the project, the territorial eligibility conditions, the maturity of the building bundle, and the expected compatibility between the public programme and the EEOS component.</w:t>
            </w:r>
          </w:p>
          <w:p w14:paraId="6CFC7344" w14:textId="77777777" w:rsidR="00F75306" w:rsidRPr="00AA4DC7" w:rsidRDefault="00F75306" w:rsidP="00F75306">
            <w:pPr>
              <w:rPr>
                <w:i/>
                <w:iCs/>
                <w:u w:val="single"/>
              </w:rPr>
            </w:pPr>
            <w:r w:rsidRPr="00AA4DC7">
              <w:rPr>
                <w:i/>
                <w:iCs/>
                <w:u w:val="single"/>
              </w:rPr>
              <w:t>Indicative financial architecture</w:t>
            </w:r>
          </w:p>
          <w:p w14:paraId="2BDEDE82" w14:textId="77777777" w:rsidR="00F75306" w:rsidRDefault="00F75306" w:rsidP="00F75306">
            <w:r>
              <w:t>A realistic financial architecture for such a scheme would typically involve 60–75% public grant funding, 10–20% EEOS-related support, and the remaining 10–25% from municipal own resources, a public loan instrument, or, where viable, a complementary Energy Performance Contracting element. The precise percentages would vary depending on the economics of the buildings, the depth of renovation, and the terms of the applicable call.</w:t>
            </w:r>
          </w:p>
          <w:p w14:paraId="200ADCCC" w14:textId="77777777" w:rsidR="00F75306" w:rsidRDefault="00F75306" w:rsidP="00F75306">
            <w:r>
              <w:lastRenderedPageBreak/>
              <w:t>The key principle is that the public source should bear the largest share of the capital-intensive and weakly bankable measures, while the EEOS should be directed to measures or savings streams that are measurable, attributable, and attractive to obligated parties. This is especially important in bundled projects where some buildings have stronger savings potential than others.</w:t>
            </w:r>
          </w:p>
          <w:p w14:paraId="5BC54118" w14:textId="77777777" w:rsidR="00F75306" w:rsidRPr="00AA4DC7" w:rsidRDefault="00F75306" w:rsidP="00F75306">
            <w:pPr>
              <w:rPr>
                <w:i/>
                <w:iCs/>
                <w:u w:val="single"/>
              </w:rPr>
            </w:pPr>
            <w:r w:rsidRPr="00AA4DC7">
              <w:rPr>
                <w:i/>
                <w:iCs/>
                <w:u w:val="single"/>
              </w:rPr>
              <w:t>Suitability for building bundles</w:t>
            </w:r>
          </w:p>
          <w:p w14:paraId="395F1E65" w14:textId="77777777" w:rsidR="00F75306" w:rsidRDefault="00F75306" w:rsidP="00F75306">
            <w:r>
              <w:t>For building bundles, which RenoInGR is aimed at, this concept becomes more attractive but also more demanding. Bundling can improve scale, reduce transaction costs per building, and make the opportunity more visible to the market. It can also allow stronger buildings to cross-subsidise weaker ones within the same strategic package. However, it introduces complexity because municipal portfolios are heterogeneous: schools, municipal offices, sports facilities, and social buildings have different occupancy patterns, consumption profiles, technical baselines, and renovation needs.</w:t>
            </w:r>
          </w:p>
          <w:p w14:paraId="111DD905" w14:textId="77777777" w:rsidR="00F75306" w:rsidRDefault="00F75306" w:rsidP="00F75306">
            <w:r>
              <w:t>For this reason, a bundle should not be treated as a single undifferentiated package. It should instead be subdivided into groups of buildings with similar characteristics and financing logic, for example buildings with strong savings performance, buildings with medium performance but high public value, and buildings with weak financial returns but strong social importance. This clustering approach is also compatible with the logic of grouped interventions and public building clusters under Greek energy efficiency legislation.</w:t>
            </w:r>
          </w:p>
          <w:p w14:paraId="411B3D81" w14:textId="77777777" w:rsidR="00F75306" w:rsidRPr="00AA4DC7" w:rsidRDefault="00F75306" w:rsidP="00F75306">
            <w:pPr>
              <w:rPr>
                <w:i/>
                <w:iCs/>
                <w:u w:val="single"/>
              </w:rPr>
            </w:pPr>
            <w:r w:rsidRPr="00AA4DC7">
              <w:rPr>
                <w:i/>
                <w:iCs/>
                <w:u w:val="single"/>
              </w:rPr>
              <w:t>Key implementation conditions</w:t>
            </w:r>
          </w:p>
          <w:p w14:paraId="4D13498A" w14:textId="77777777" w:rsidR="00F75306" w:rsidRDefault="00F75306" w:rsidP="00F75306">
            <w:r>
              <w:t>The main precondition for implementing the concept is a strict separation of eligible costs and attributable savings. This is the core issue from both a funding and a legal perspective. A public grant and the EEOS may coexist only if the same expenditure item is not financed twice and if the same unit of energy savings is not counted twice for different policy purposes.</w:t>
            </w:r>
          </w:p>
          <w:p w14:paraId="77F91E81" w14:textId="77777777" w:rsidR="00F75306" w:rsidRDefault="00F75306" w:rsidP="00F75306">
            <w:r>
              <w:t>In practical terms, the municipality should prepare a funding allocation matrix showing, for each intervention measure, which source covers which portion of the cost and which savings, if any, are to be attributed to the EEOS mechanism. The municipality should also verify from the outset that the buildings concerned fall within the territorial and thematic scope of the selected programme route and that the expected savings are measurable and acceptable under the EEOS framework.</w:t>
            </w:r>
          </w:p>
          <w:p w14:paraId="2B141FDE" w14:textId="77777777" w:rsidR="00F75306" w:rsidRPr="00AA4DC7" w:rsidRDefault="00F75306" w:rsidP="00F75306">
            <w:pPr>
              <w:rPr>
                <w:i/>
                <w:iCs/>
                <w:u w:val="single"/>
              </w:rPr>
            </w:pPr>
            <w:r w:rsidRPr="00AA4DC7">
              <w:rPr>
                <w:i/>
                <w:iCs/>
                <w:u w:val="single"/>
              </w:rPr>
              <w:t>Main risks and legal issues</w:t>
            </w:r>
          </w:p>
          <w:p w14:paraId="3E175BCB" w14:textId="77777777" w:rsidR="00F75306" w:rsidRDefault="00F75306" w:rsidP="00F75306">
            <w:r>
              <w:t>Several implementation risks should be anticipated. First, there is the risk of double funding if expenditure categories are not clearly allocated between the public programme and the EEOS-related arrangement. Second, there is the risk of double counting of savings if the same savings are used both to justify grant support and to generate EEOS credit without a clear accounting framework. Third, there may be State aid considerations, especially where a municipal building is used partly for economic activities. Fourth, there are public procurement challenges, particularly if the municipality seeks to combine works, equipment supply, monitoring and verification, and performance-linked remuneration in one procurement structure.</w:t>
            </w:r>
          </w:p>
          <w:p w14:paraId="212953EA" w14:textId="77777777" w:rsidR="00F75306" w:rsidRDefault="00F75306" w:rsidP="00F75306">
            <w:r>
              <w:t>In addition, the value of the EEOS contribution depends on the credibility of the savings baseline, the calculation method, and the post-renovation verification process. If these are weakly defined, the blended structure may become formally possible but practically unworkable.</w:t>
            </w:r>
          </w:p>
          <w:p w14:paraId="4984F154" w14:textId="77777777" w:rsidR="00F75306" w:rsidRPr="00AA4DC7" w:rsidRDefault="00F75306" w:rsidP="00F75306">
            <w:pPr>
              <w:rPr>
                <w:i/>
                <w:iCs/>
                <w:u w:val="single"/>
              </w:rPr>
            </w:pPr>
            <w:r w:rsidRPr="00AA4DC7">
              <w:rPr>
                <w:i/>
                <w:iCs/>
                <w:u w:val="single"/>
              </w:rPr>
              <w:lastRenderedPageBreak/>
              <w:t>Recommended preparation steps</w:t>
            </w:r>
          </w:p>
          <w:p w14:paraId="0C2AFBA3" w14:textId="77777777" w:rsidR="00F75306" w:rsidRDefault="00F75306" w:rsidP="00F75306">
            <w:r>
              <w:t>The recommended sequence is as follows. First, the municipality should identify the most suitable primary programme route, namely PEP, DAM, or GReco Islands, based on location, building typology, and current or expected calls. Second, it should establish a shortlist of candidate buildings and group them according to technical and economic characteristics. Third, it should carry out a preliminary technical and economic screening to estimate investment needs, expected savings, and suitability for EEOS participation.</w:t>
            </w:r>
          </w:p>
          <w:p w14:paraId="680440B4" w14:textId="77777777" w:rsidR="00F75306" w:rsidRDefault="00F75306" w:rsidP="00F75306">
            <w:r>
              <w:t>Fourth, it should develop a funding allocation matrix linking each measure to a proposed source of financing and identifying which savings stream may be used for EEOS purposes. Fifth, it should conduct market sounding with potential obligated parties, aggregators, ESCOs, or technical advisers in order to test whether the anticipated savings are of real interest to the market. Finally, it should complete the legal and contractual design before launching any formal procedure.</w:t>
            </w:r>
          </w:p>
          <w:p w14:paraId="063324D7" w14:textId="77777777" w:rsidR="00F75306" w:rsidRPr="00036DCF" w:rsidRDefault="00F75306" w:rsidP="00F75306">
            <w:pPr>
              <w:rPr>
                <w:i/>
                <w:iCs/>
                <w:u w:val="single"/>
              </w:rPr>
            </w:pPr>
            <w:r w:rsidRPr="00036DCF">
              <w:rPr>
                <w:i/>
                <w:iCs/>
                <w:u w:val="single"/>
              </w:rPr>
              <w:t>Concluding remark</w:t>
            </w:r>
          </w:p>
          <w:p w14:paraId="731911B6" w14:textId="77777777" w:rsidR="00F75306" w:rsidRDefault="00F75306" w:rsidP="00F75306">
            <w:r>
              <w:t>Overall, the proposed concept could offer a credible route for financing municipal building renovation programmes in Greece. It is especially suitable where municipalities need to renovate several buildings, where a standard grant is insufficient to close the financing gap, and where some part of the savings can be reliably monetised through the EEOS.</w:t>
            </w:r>
          </w:p>
          <w:p w14:paraId="23C96982" w14:textId="77777777" w:rsidR="00F75306" w:rsidRDefault="00F75306" w:rsidP="00F75306">
            <w:r>
              <w:t>Its success, however, depends on disciplined project preparation, transparent allocation of costs and savings, and early legal and market validation. Under these conditions, a PEP &amp; EEOS, DAM &amp; EEOS, or GReco Islands &amp; EEOS model could become a practical instrument for scaling up municipal renovation investments while reducing the burden on local budgets.</w:t>
            </w:r>
          </w:p>
          <w:p w14:paraId="00E15368" w14:textId="77777777" w:rsidR="00F75306" w:rsidRDefault="00F75306" w:rsidP="00F75306"/>
          <w:p w14:paraId="5F497294" w14:textId="77777777" w:rsidR="00F75306" w:rsidRPr="00036DCF" w:rsidRDefault="00F75306" w:rsidP="00F75306">
            <w:pPr>
              <w:rPr>
                <w:i/>
                <w:iCs/>
                <w:u w:val="single"/>
              </w:rPr>
            </w:pPr>
            <w:r w:rsidRPr="00036DCF">
              <w:rPr>
                <w:i/>
                <w:iCs/>
                <w:u w:val="single"/>
              </w:rPr>
              <w:t xml:space="preserve">What are the initial steps </w:t>
            </w:r>
          </w:p>
          <w:p w14:paraId="1FBD81A5" w14:textId="77777777" w:rsidR="00F75306" w:rsidRDefault="00F75306" w:rsidP="00F75306">
            <w:pPr>
              <w:pStyle w:val="ListParagraph"/>
              <w:numPr>
                <w:ilvl w:val="0"/>
                <w:numId w:val="58"/>
              </w:numPr>
              <w:spacing w:before="60" w:after="60" w:line="240" w:lineRule="auto"/>
              <w:jc w:val="both"/>
            </w:pPr>
            <w:r>
              <w:t>Prepare a pool of buildings with the renovation design and budget near completion</w:t>
            </w:r>
          </w:p>
          <w:p w14:paraId="442348C5" w14:textId="77777777" w:rsidR="00F75306" w:rsidRDefault="00F75306" w:rsidP="00F75306">
            <w:pPr>
              <w:pStyle w:val="ListParagraph"/>
              <w:numPr>
                <w:ilvl w:val="0"/>
                <w:numId w:val="58"/>
              </w:numPr>
              <w:spacing w:before="60" w:after="60" w:line="240" w:lineRule="auto"/>
              <w:jc w:val="both"/>
            </w:pPr>
            <w:r>
              <w:t>Elaborate the concept in more detail, having in mind one or two public funding programmes.</w:t>
            </w:r>
          </w:p>
          <w:p w14:paraId="18AB7F64" w14:textId="77777777" w:rsidR="00F75306" w:rsidRDefault="00F75306" w:rsidP="00F75306">
            <w:pPr>
              <w:pStyle w:val="ListParagraph"/>
              <w:numPr>
                <w:ilvl w:val="0"/>
                <w:numId w:val="58"/>
              </w:numPr>
              <w:spacing w:before="60" w:after="60" w:line="240" w:lineRule="auto"/>
              <w:jc w:val="both"/>
            </w:pPr>
            <w:r>
              <w:t>Investigate the position of the Energy Suppliers participating in the EEOS</w:t>
            </w:r>
          </w:p>
          <w:p w14:paraId="0642E04B" w14:textId="77777777" w:rsidR="00F75306" w:rsidRDefault="00F75306" w:rsidP="00F75306">
            <w:pPr>
              <w:pStyle w:val="ListParagraph"/>
              <w:numPr>
                <w:ilvl w:val="0"/>
                <w:numId w:val="58"/>
              </w:numPr>
              <w:spacing w:before="60" w:after="60" w:line="240" w:lineRule="auto"/>
              <w:jc w:val="both"/>
            </w:pPr>
            <w:r>
              <w:t>Start the discussions for a possible agreement.</w:t>
            </w:r>
          </w:p>
          <w:p w14:paraId="4EA3633B" w14:textId="77777777" w:rsidR="00F75306" w:rsidRDefault="00F75306" w:rsidP="00F75306"/>
          <w:p w14:paraId="6D229AEF" w14:textId="77777777" w:rsidR="00F75306" w:rsidRPr="00F815BE" w:rsidRDefault="00F75306" w:rsidP="00F75306">
            <w:pPr>
              <w:rPr>
                <w:b/>
                <w:bCs/>
                <w:i/>
                <w:iCs/>
                <w:u w:val="single"/>
              </w:rPr>
            </w:pPr>
            <w:r w:rsidRPr="00F815BE">
              <w:rPr>
                <w:b/>
                <w:bCs/>
                <w:i/>
                <w:iCs/>
                <w:u w:val="single"/>
              </w:rPr>
              <w:t>Is there a similar scheme in EU countries?</w:t>
            </w:r>
          </w:p>
          <w:p w14:paraId="639EAE1F" w14:textId="77777777" w:rsidR="00F75306" w:rsidRDefault="00F75306" w:rsidP="00F75306">
            <w:r w:rsidRPr="00F815BE">
              <w:t xml:space="preserve">Similar approaches are already in operation in other EU Member States for public and municipal buildings, although not always in exactly the same form as the concept discussed here. </w:t>
            </w:r>
          </w:p>
          <w:p w14:paraId="598AB94C" w14:textId="77777777" w:rsidR="00F75306" w:rsidRDefault="00F75306" w:rsidP="00F75306">
            <w:r w:rsidRPr="00F815BE">
              <w:t xml:space="preserve">In France, local authorities can use the national Energy Savings Certificates scheme (CEE) to support energy-saving works in public buildings, and the ACTEE+ programme—financed through the CEE framework—specifically aims to encourage, prepare and support municipalities and other local authorities in the energy renovation of their public tertiary buildings. In addition, the French administration explicitly states that CEE financing for local authorities can be combined with other co-financing, provided that such public support is properly declared. </w:t>
            </w:r>
          </w:p>
          <w:p w14:paraId="39F370E0" w14:textId="77777777" w:rsidR="00F75306" w:rsidRPr="00F815BE" w:rsidRDefault="00F75306" w:rsidP="00F75306">
            <w:r w:rsidRPr="00F815BE">
              <w:lastRenderedPageBreak/>
              <w:t>In Italy, public administrations are eligible for the Conto Termico incentive scheme for public building renovation, while the national framework also allows public administrations to benefit from White Certificates for certain high-energy public services, such as public lighting and transport, often with the support of certified ESCOs. These examples show that blended or quasi-blended financing models combining public support with obligation-scheme or white-certificate mechanisms are already part of European practice for public-sector building and infrastructure renovation.</w:t>
            </w:r>
          </w:p>
          <w:p w14:paraId="4B3E1A2A" w14:textId="77777777" w:rsidR="00F75306" w:rsidRDefault="00F75306" w:rsidP="00F75306"/>
          <w:p w14:paraId="287EA077" w14:textId="77777777" w:rsidR="00F75306" w:rsidRPr="003A025D" w:rsidRDefault="00F75306" w:rsidP="00F75306">
            <w:pPr>
              <w:rPr>
                <w:i/>
                <w:iCs/>
                <w:u w:val="single"/>
              </w:rPr>
            </w:pPr>
            <w:r w:rsidRPr="003A025D">
              <w:rPr>
                <w:i/>
                <w:iCs/>
                <w:u w:val="single"/>
              </w:rPr>
              <w:t>Conclusions</w:t>
            </w:r>
          </w:p>
          <w:p w14:paraId="1CDEBB97" w14:textId="77777777" w:rsidR="00F75306" w:rsidRDefault="00F75306" w:rsidP="00F75306">
            <w:pPr>
              <w:shd w:val="clear" w:color="auto" w:fill="F2F2F2" w:themeFill="background1" w:themeFillShade="F2"/>
            </w:pPr>
            <w:r>
              <w:t xml:space="preserve">Overall, there are opportunities for financing the first 60 pilot buildings either through public grants or through mixed financing leveraging public funding with private financing through Energy Performance Contracting.  </w:t>
            </w:r>
          </w:p>
          <w:p w14:paraId="27CF58D6" w14:textId="77777777" w:rsidR="00F75306" w:rsidRDefault="00F75306" w:rsidP="00F75306">
            <w:pPr>
              <w:shd w:val="clear" w:color="auto" w:fill="F2F2F2" w:themeFill="background1" w:themeFillShade="F2"/>
            </w:pPr>
            <w:r>
              <w:t>Municipalities will also have the opportunity to contribute part of the financing through the soft loan that Partner 13 is preparing in Task 3.3.3.</w:t>
            </w:r>
          </w:p>
          <w:p w14:paraId="588FE06F" w14:textId="77777777" w:rsidR="00F75306" w:rsidRPr="00F815BE" w:rsidRDefault="00F75306" w:rsidP="00F75306">
            <w:pPr>
              <w:shd w:val="clear" w:color="auto" w:fill="F2F2F2" w:themeFill="background1" w:themeFillShade="F2"/>
            </w:pPr>
            <w:r>
              <w:t>This Task is considered completed.  However, the investigation of the proposed concept will continue until results are produced either positive or negative.</w:t>
            </w:r>
          </w:p>
          <w:p w14:paraId="22A1E23C" w14:textId="77777777" w:rsidR="00F75306" w:rsidRPr="00F815BE" w:rsidRDefault="00F75306" w:rsidP="00F75306"/>
          <w:p w14:paraId="252F2EFA" w14:textId="77777777" w:rsidR="00F75306" w:rsidRPr="00F75306" w:rsidRDefault="00F75306" w:rsidP="00980F10">
            <w:pPr>
              <w:spacing w:before="120" w:after="120"/>
              <w:jc w:val="both"/>
              <w:rPr>
                <w:rFonts w:eastAsia="Times New Roman" w:cs="Arial"/>
                <w:color w:val="C0504D" w:themeColor="accent2"/>
                <w:sz w:val="18"/>
                <w:szCs w:val="18"/>
              </w:rPr>
            </w:pPr>
          </w:p>
          <w:p w14:paraId="6D5EA265" w14:textId="02537430" w:rsidR="000D3F05" w:rsidRDefault="000D3F05" w:rsidP="00980F10">
            <w:pPr>
              <w:spacing w:before="120" w:after="120"/>
              <w:jc w:val="both"/>
              <w:rPr>
                <w:rFonts w:eastAsia="Times New Roman" w:cs="Arial"/>
                <w:color w:val="C0504D" w:themeColor="accent2"/>
                <w:sz w:val="18"/>
                <w:szCs w:val="18"/>
                <w:lang w:val="en-US"/>
              </w:rPr>
            </w:pPr>
            <w:commentRangeStart w:id="49"/>
            <w:r w:rsidRPr="007D500E">
              <w:rPr>
                <w:rFonts w:eastAsia="Times New Roman" w:cs="Arial"/>
                <w:color w:val="C0504D" w:themeColor="accent2"/>
                <w:sz w:val="18"/>
                <w:szCs w:val="18"/>
              </w:rPr>
              <w:t>Task 3.3.3</w:t>
            </w:r>
            <w:commentRangeEnd w:id="49"/>
            <w:r w:rsidRPr="00F75306">
              <w:rPr>
                <w:rStyle w:val="CommentReference"/>
                <w:rFonts w:eastAsia="Times New Roman" w:cs="Arial"/>
                <w:color w:val="C0504D" w:themeColor="accent2"/>
                <w:sz w:val="18"/>
                <w:szCs w:val="18"/>
                <w:lang w:val="en-US"/>
              </w:rPr>
              <w:commentReference w:id="49"/>
            </w:r>
            <w:r w:rsidR="00F75306" w:rsidRPr="00F75306">
              <w:rPr>
                <w:rFonts w:eastAsia="Times New Roman" w:cs="Arial"/>
                <w:color w:val="C0504D" w:themeColor="accent2"/>
                <w:sz w:val="18"/>
                <w:szCs w:val="18"/>
                <w:lang w:val="en-US"/>
              </w:rPr>
              <w:t xml:space="preserve"> (Epirus Bank, NTUA, EUDITI, CRES, Kelemenis)</w:t>
            </w:r>
          </w:p>
          <w:p w14:paraId="607C701C" w14:textId="77777777" w:rsidR="00F75306" w:rsidRDefault="00F75306" w:rsidP="00F75306">
            <w:r>
              <w:t>The task deals with the development of a financing programme from Epirus Bank (Partner 13).  This task is ongoing as the scheme and the support materials are near completion and are expected to be finalised soon (in M22) as the final elaboration of both the scheme and Guide, and approvals from the bank’s hierarchy are pending.</w:t>
            </w:r>
          </w:p>
          <w:p w14:paraId="20E5C647" w14:textId="77777777" w:rsidR="00F75306" w:rsidRDefault="00F75306" w:rsidP="00F75306">
            <w:r>
              <w:t xml:space="preserve">It should be mentioned that the Bank is investigating two financing programmes, one for the municipalities and one for the ESCOs or construction companies.  The decision about these programmes was taken following the round tables of Task 3.1 and internal meetings between the involved partners, namely, the Task Leader, NTUA, EUDITI, CRES and Kelemenis. </w:t>
            </w:r>
          </w:p>
          <w:p w14:paraId="29F45F0C" w14:textId="77777777" w:rsidR="00F75306" w:rsidRDefault="00F75306" w:rsidP="00F75306">
            <w:r>
              <w:t>The schemes are concisely presented in the following.</w:t>
            </w:r>
          </w:p>
          <w:p w14:paraId="1EEF0D41" w14:textId="77777777" w:rsidR="00F75306" w:rsidRDefault="00F75306" w:rsidP="00F75306">
            <w:r>
              <w:t>The Bank is assessing the development of targeted financing instruments, including preferential interest rate arrangements for the coverage of the municipality’s own contribution in co-financed projects (under national and/or European funding frameworks), as well as fully financed structures, subject to the existence of adequate and enforceable guarantees (including, but not limited to, assignment of statutory revenues and/or provision of collateral).</w:t>
            </w:r>
          </w:p>
          <w:p w14:paraId="53DC2B70" w14:textId="77777777" w:rsidR="00F75306" w:rsidRDefault="00F75306" w:rsidP="00F75306">
            <w:r>
              <w:t>In addition, the Bank is evaluating the feasibility of incorporating contractual assignment mechanisms linked to energy efficiency or performance-based projects (including ESCROW-type structures), where applicable and legally permissible.</w:t>
            </w:r>
          </w:p>
          <w:p w14:paraId="407B43B3" w14:textId="77777777" w:rsidR="00F75306" w:rsidRPr="00876BC7" w:rsidRDefault="00F75306" w:rsidP="00F75306">
            <w:r>
              <w:t xml:space="preserve">All financing solutions shall be designed and implemented in accordance with the principle of proportionality and will be tailored to the specific financial condition, risk profile, and operational </w:t>
            </w:r>
            <w:r>
              <w:lastRenderedPageBreak/>
              <w:t>needs of each Local Authority, in full alignment with the applicable regulatory and supervisory framework.</w:t>
            </w:r>
          </w:p>
          <w:p w14:paraId="53E105F7" w14:textId="77777777" w:rsidR="00F75306" w:rsidRDefault="00F75306" w:rsidP="00F75306">
            <w:r>
              <w:t xml:space="preserve">Additionally, the Bank is in the process of developing a formalised, step-by-step guidance framework addressed to Local Authorities (OTAs) intending to access financing schemes.  </w:t>
            </w:r>
          </w:p>
          <w:p w14:paraId="7AAEA9B2" w14:textId="77777777" w:rsidR="00F75306" w:rsidRDefault="00F75306" w:rsidP="00F75306">
            <w:r>
              <w:t>It is recognised that the administrative and procedural requirements governing loan origination and approval are complex and may pose significant challenges, particularly for small island and mountainous municipalities with limited access to adequately specialised personnel and technical capacity.</w:t>
            </w:r>
          </w:p>
          <w:p w14:paraId="19B1111F" w14:textId="77777777" w:rsidR="00F75306" w:rsidRDefault="00F75306" w:rsidP="00F75306">
            <w:r>
              <w:t>In this context, the Bank may provide advisory support and technical guidance on a non-binding basis. It is explicitly noted that all decisions regarding participation, structuring, and execution remain under the sole responsibility of the respective Local Authority and are subject to the applicable legal and regulatory approval processes, including authorisation by the competent Ministry.</w:t>
            </w:r>
          </w:p>
          <w:p w14:paraId="0476E6AF" w14:textId="77777777" w:rsidR="00F75306" w:rsidRPr="00F75306" w:rsidRDefault="00F75306" w:rsidP="00980F10">
            <w:pPr>
              <w:spacing w:before="120" w:after="120"/>
              <w:jc w:val="both"/>
              <w:rPr>
                <w:rFonts w:eastAsia="Times New Roman" w:cs="Arial"/>
                <w:color w:val="C0504D" w:themeColor="accent2"/>
                <w:sz w:val="18"/>
                <w:szCs w:val="18"/>
              </w:rPr>
            </w:pPr>
          </w:p>
          <w:p w14:paraId="581D78AE" w14:textId="46C2729A" w:rsidR="00523C4F" w:rsidRPr="007D500E" w:rsidRDefault="00523C4F" w:rsidP="00980F10">
            <w:pPr>
              <w:spacing w:before="120" w:after="120"/>
              <w:jc w:val="both"/>
              <w:rPr>
                <w:rFonts w:eastAsia="Times New Roman" w:cs="Arial"/>
                <w:b/>
                <w:bCs/>
                <w:color w:val="C0504D" w:themeColor="accent2"/>
                <w:sz w:val="18"/>
                <w:szCs w:val="18"/>
              </w:rPr>
            </w:pPr>
            <w:r w:rsidRPr="007D500E">
              <w:rPr>
                <w:rFonts w:eastAsia="Times New Roman" w:cs="Arial"/>
                <w:b/>
                <w:bCs/>
                <w:color w:val="C0504D" w:themeColor="accent2"/>
                <w:sz w:val="18"/>
                <w:szCs w:val="18"/>
              </w:rPr>
              <w:t>T3.4 [Support materials] ([Implemented] [Not implemented] [Partially implemented])</w:t>
            </w:r>
          </w:p>
          <w:p w14:paraId="6DAD0A36" w14:textId="77777777" w:rsidR="00F75306" w:rsidRDefault="00F75306" w:rsidP="00F75306">
            <w:pPr>
              <w:pStyle w:val="Heading5"/>
            </w:pPr>
            <w:r>
              <w:t>Overview</w:t>
            </w:r>
          </w:p>
          <w:p w14:paraId="226DAAFC" w14:textId="77777777" w:rsidR="00F75306" w:rsidRDefault="00F75306" w:rsidP="00F75306">
            <w:r w:rsidRPr="005B1723">
              <w:t>In this task</w:t>
            </w:r>
            <w:r w:rsidRPr="00472A9A">
              <w:t xml:space="preserve">, </w:t>
            </w:r>
            <w:r>
              <w:t xml:space="preserve">a series of support materials have been elaborated. Their purpose is to support the services to be offered throughout the project development process, particularly to large and medium sized municipalities and regions for which the support from OSS is advisory providing guidance and wherever necessary, coaching, as in the case of selecting and proceeding with an energy performance contract.  </w:t>
            </w:r>
          </w:p>
          <w:p w14:paraId="644558A4" w14:textId="77777777" w:rsidR="00F75306" w:rsidRDefault="00F75306" w:rsidP="00F75306">
            <w:r>
              <w:t>In the following, the materials produced are presented.</w:t>
            </w:r>
          </w:p>
          <w:p w14:paraId="53667646" w14:textId="77777777" w:rsidR="00F75306" w:rsidRDefault="00F75306" w:rsidP="00F75306">
            <w:pPr>
              <w:pStyle w:val="Heading5"/>
            </w:pPr>
            <w:r>
              <w:t>Summary of the work performed</w:t>
            </w:r>
          </w:p>
          <w:p w14:paraId="1CD44E72" w14:textId="77777777" w:rsidR="00F75306" w:rsidRPr="00BE6846" w:rsidRDefault="00F75306" w:rsidP="00F75306">
            <w:pPr>
              <w:spacing w:before="360" w:after="120"/>
              <w:rPr>
                <w:i/>
                <w:iCs/>
                <w:u w:val="single"/>
              </w:rPr>
            </w:pPr>
            <w:r w:rsidRPr="00BE6846">
              <w:rPr>
                <w:i/>
                <w:iCs/>
                <w:u w:val="single"/>
              </w:rPr>
              <w:t xml:space="preserve">Guidelines for </w:t>
            </w:r>
            <w:r>
              <w:rPr>
                <w:i/>
                <w:iCs/>
                <w:u w:val="single"/>
              </w:rPr>
              <w:t xml:space="preserve">energy renovation </w:t>
            </w:r>
            <w:r w:rsidRPr="00BE6846">
              <w:rPr>
                <w:i/>
                <w:iCs/>
                <w:u w:val="single"/>
              </w:rPr>
              <w:t>project development</w:t>
            </w:r>
          </w:p>
          <w:p w14:paraId="17D23E4A" w14:textId="77777777" w:rsidR="00F75306" w:rsidRDefault="00F75306" w:rsidP="00F75306">
            <w:pPr>
              <w:rPr>
                <w:rFonts w:cs="Arial"/>
                <w:szCs w:val="20"/>
                <w:lang w:val="el-GR"/>
              </w:rPr>
            </w:pPr>
            <w:r>
              <w:t xml:space="preserve">The guidelines have been compiled into a Guide developed as </w:t>
            </w:r>
            <w:r w:rsidRPr="00DE3A0E">
              <w:rPr>
                <w:rFonts w:cs="Arial"/>
                <w:szCs w:val="20"/>
              </w:rPr>
              <w:t xml:space="preserve">a practical step-by-step tool to support Greek municipalities in preparing and financing energy renovation projects for municipal buildings. It is designed for use by municipal staff and competent authorities involved in project preparation and decision-making, in recognition of the fact that municipalities often face limited administrative capacity and need support on specialised technical, financial, and procedural matters. Its overall aim is to help municipalities move from a general intention to renovate buildings to a mature, finance-ready and procurement-ready project. Throughout the process, the Guide promotes </w:t>
            </w:r>
          </w:p>
          <w:p w14:paraId="77AC4C4F" w14:textId="77777777" w:rsidR="00F75306" w:rsidRPr="000970D4" w:rsidRDefault="00F75306" w:rsidP="00F75306">
            <w:pPr>
              <w:pStyle w:val="ListParagraph"/>
              <w:numPr>
                <w:ilvl w:val="0"/>
                <w:numId w:val="60"/>
              </w:numPr>
              <w:spacing w:before="60" w:after="60" w:line="240" w:lineRule="auto"/>
              <w:jc w:val="both"/>
              <w:rPr>
                <w:rFonts w:cs="Arial"/>
                <w:szCs w:val="20"/>
                <w:lang w:val="el-GR"/>
              </w:rPr>
            </w:pPr>
            <w:r w:rsidRPr="000970D4">
              <w:rPr>
                <w:rFonts w:cs="Arial"/>
                <w:szCs w:val="20"/>
              </w:rPr>
              <w:t xml:space="preserve">high energy performance, </w:t>
            </w:r>
          </w:p>
          <w:p w14:paraId="27F87214" w14:textId="77777777" w:rsidR="00F75306" w:rsidRPr="00876BC7" w:rsidRDefault="00F75306" w:rsidP="00F75306">
            <w:pPr>
              <w:pStyle w:val="ListParagraph"/>
              <w:numPr>
                <w:ilvl w:val="0"/>
                <w:numId w:val="60"/>
              </w:numPr>
              <w:spacing w:before="60" w:after="60" w:line="240" w:lineRule="auto"/>
              <w:jc w:val="both"/>
              <w:rPr>
                <w:rFonts w:cs="Arial"/>
                <w:szCs w:val="20"/>
              </w:rPr>
            </w:pPr>
            <w:r w:rsidRPr="000970D4">
              <w:rPr>
                <w:rFonts w:cs="Arial"/>
                <w:szCs w:val="20"/>
              </w:rPr>
              <w:t>zero on-site emissions, where feasible, and</w:t>
            </w:r>
          </w:p>
          <w:p w14:paraId="013D3B04" w14:textId="77777777" w:rsidR="00F75306" w:rsidRPr="007F6CDA" w:rsidRDefault="00F75306" w:rsidP="00F75306">
            <w:pPr>
              <w:pStyle w:val="ListParagraph"/>
              <w:numPr>
                <w:ilvl w:val="0"/>
                <w:numId w:val="60"/>
              </w:numPr>
              <w:spacing w:before="60" w:after="60" w:line="240" w:lineRule="auto"/>
              <w:jc w:val="both"/>
            </w:pPr>
            <w:r w:rsidRPr="000970D4">
              <w:rPr>
                <w:rFonts w:cs="Arial"/>
                <w:szCs w:val="20"/>
              </w:rPr>
              <w:t xml:space="preserve">use of low-carbon materials and systems when these are technically and economically viable. </w:t>
            </w:r>
          </w:p>
          <w:p w14:paraId="250DC273" w14:textId="77777777" w:rsidR="00F75306" w:rsidRPr="000970D4" w:rsidRDefault="00F75306" w:rsidP="00F75306">
            <w:pPr>
              <w:rPr>
                <w:rFonts w:cs="Arial"/>
                <w:szCs w:val="20"/>
              </w:rPr>
            </w:pPr>
            <w:r w:rsidRPr="00DE3A0E">
              <w:rPr>
                <w:rFonts w:cs="Arial"/>
                <w:szCs w:val="20"/>
              </w:rPr>
              <w:t xml:space="preserve">The Guide is structured around five stages of project </w:t>
            </w:r>
            <w:r>
              <w:rPr>
                <w:rFonts w:cs="Arial"/>
                <w:szCs w:val="20"/>
              </w:rPr>
              <w:t>development/</w:t>
            </w:r>
            <w:r w:rsidRPr="00DE3A0E">
              <w:rPr>
                <w:rFonts w:cs="Arial"/>
                <w:szCs w:val="20"/>
              </w:rPr>
              <w:t xml:space="preserve">maturation, followed by a sixth stage on post-renovation operation. </w:t>
            </w:r>
          </w:p>
          <w:p w14:paraId="1BE97FE3" w14:textId="77777777" w:rsidR="00F75306" w:rsidRDefault="00F75306" w:rsidP="00F75306">
            <w:pPr>
              <w:rPr>
                <w:rFonts w:cs="Arial"/>
                <w:szCs w:val="20"/>
              </w:rPr>
            </w:pPr>
          </w:p>
          <w:p w14:paraId="67DBD8BA" w14:textId="77777777" w:rsidR="00F75306" w:rsidRDefault="00F75306" w:rsidP="00F75306">
            <w:pPr>
              <w:jc w:val="center"/>
              <w:rPr>
                <w:rFonts w:cs="Arial"/>
                <w:szCs w:val="20"/>
              </w:rPr>
            </w:pPr>
            <w:r>
              <w:rPr>
                <w:rFonts w:cs="Arial"/>
                <w:noProof/>
                <w:szCs w:val="20"/>
              </w:rPr>
              <w:lastRenderedPageBreak/>
              <w:drawing>
                <wp:inline distT="0" distB="0" distL="0" distR="0" wp14:anchorId="1D0376D5" wp14:editId="28F29343">
                  <wp:extent cx="3255264" cy="2606040"/>
                  <wp:effectExtent l="0" t="0" r="2540" b="3810"/>
                  <wp:docPr id="5541565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255264" cy="2606040"/>
                          </a:xfrm>
                          <a:prstGeom prst="rect">
                            <a:avLst/>
                          </a:prstGeom>
                          <a:noFill/>
                        </pic:spPr>
                      </pic:pic>
                    </a:graphicData>
                  </a:graphic>
                </wp:inline>
              </w:drawing>
            </w:r>
          </w:p>
          <w:p w14:paraId="78165509" w14:textId="77777777" w:rsidR="00F75306" w:rsidRPr="00933E07" w:rsidRDefault="00F75306" w:rsidP="00F75306">
            <w:pPr>
              <w:pStyle w:val="Caption"/>
              <w:ind w:left="1138" w:hanging="1138"/>
            </w:pPr>
            <w:r w:rsidRPr="00933E07">
              <w:t>Fig. 3.3 “Landing Page of the Practical Guide for Energy Renovations of Municipal Buildings”</w:t>
            </w:r>
          </w:p>
          <w:p w14:paraId="0BC92D5D" w14:textId="77777777" w:rsidR="00F75306" w:rsidRPr="00DE3A0E" w:rsidRDefault="00F75306" w:rsidP="00F75306">
            <w:pPr>
              <w:rPr>
                <w:rFonts w:cs="Arial"/>
                <w:szCs w:val="20"/>
              </w:rPr>
            </w:pPr>
            <w:r w:rsidRPr="00DE3A0E">
              <w:rPr>
                <w:rFonts w:cs="Arial"/>
                <w:szCs w:val="20"/>
              </w:rPr>
              <w:t xml:space="preserve">The first five stages cover the process from the initial selection of buildings up to the publication of the implementation tender. Stage 6 is not formally part of project </w:t>
            </w:r>
            <w:r>
              <w:rPr>
                <w:rFonts w:cs="Arial"/>
                <w:szCs w:val="20"/>
              </w:rPr>
              <w:t>development</w:t>
            </w:r>
            <w:r w:rsidRPr="00DE3A0E">
              <w:rPr>
                <w:rFonts w:cs="Arial"/>
                <w:szCs w:val="20"/>
              </w:rPr>
              <w:t xml:space="preserve">, but it is included because the long-term success of the investment depends on proper operation, monitoring, maintenance, and user behaviour after the renovation is completed. </w:t>
            </w:r>
          </w:p>
          <w:p w14:paraId="3FDDFC43" w14:textId="77777777" w:rsidR="00F75306" w:rsidRPr="00DE3A0E" w:rsidRDefault="00F75306" w:rsidP="00F75306">
            <w:pPr>
              <w:rPr>
                <w:rFonts w:cs="Arial"/>
                <w:szCs w:val="20"/>
              </w:rPr>
            </w:pPr>
            <w:r w:rsidRPr="00F231B7">
              <w:rPr>
                <w:rFonts w:cs="Arial"/>
                <w:b/>
                <w:bCs/>
                <w:szCs w:val="20"/>
                <w:u w:val="single"/>
              </w:rPr>
              <w:t>Stage 1</w:t>
            </w:r>
            <w:r w:rsidRPr="00DE3A0E">
              <w:rPr>
                <w:rFonts w:cs="Arial"/>
                <w:szCs w:val="20"/>
              </w:rPr>
              <w:t xml:space="preserve"> focuses on the selection of buildings. Its purpose is to define the scope of the renovation, prioritise buildings, form a project bundle, and establish the initial level of administrative and technical readiness needed for financing. The Guide encourages municipalities to organise renovations in bundles of buildings rather than </w:t>
            </w:r>
            <w:r>
              <w:rPr>
                <w:rFonts w:cs="Arial"/>
                <w:szCs w:val="20"/>
              </w:rPr>
              <w:t xml:space="preserve">as </w:t>
            </w:r>
            <w:r w:rsidRPr="00DE3A0E">
              <w:rPr>
                <w:rFonts w:cs="Arial"/>
                <w:szCs w:val="20"/>
              </w:rPr>
              <w:t xml:space="preserve">isolated interventions, since bundling can reduce administrative effort and maturation time, improve economic viability, and facilitate the use of mixed financing schemes or Energy Performance Contracts. At this stage, the Guide helps municipalities identify the criteria for selecting buildings, collect the necessary legal, strategic and energy-related documentation, and create a basic readiness file for each building. By the end of the stage, the municipality should have an approved building bundle and a documented decision to proceed. </w:t>
            </w:r>
          </w:p>
          <w:p w14:paraId="42236803" w14:textId="77777777" w:rsidR="00F75306" w:rsidRPr="00DE3A0E" w:rsidRDefault="00F75306" w:rsidP="00F75306">
            <w:pPr>
              <w:rPr>
                <w:rFonts w:cs="Arial"/>
                <w:szCs w:val="20"/>
              </w:rPr>
            </w:pPr>
            <w:r w:rsidRPr="00F231B7">
              <w:rPr>
                <w:rFonts w:cs="Arial"/>
                <w:b/>
                <w:bCs/>
                <w:szCs w:val="20"/>
                <w:u w:val="single"/>
              </w:rPr>
              <w:t>Stage 2</w:t>
            </w:r>
            <w:r w:rsidRPr="00DE3A0E">
              <w:rPr>
                <w:rFonts w:cs="Arial"/>
                <w:szCs w:val="20"/>
              </w:rPr>
              <w:t xml:space="preserve"> concerns the definition of energy targets.</w:t>
            </w:r>
            <w:r>
              <w:rPr>
                <w:rFonts w:cs="Arial"/>
                <w:szCs w:val="20"/>
              </w:rPr>
              <w:t xml:space="preserve"> </w:t>
            </w:r>
            <w:r w:rsidRPr="00DE3A0E">
              <w:rPr>
                <w:rFonts w:cs="Arial"/>
                <w:szCs w:val="20"/>
              </w:rPr>
              <w:t xml:space="preserve">Here, the municipality is guided to translate general intentions into clear, realistic and measurable technical objectives for the selected building bundle. The Guide supports municipalities in reviewing and, if necessary, updating the selected buildings, setting technically feasible targets aligned with municipal planning and funding requirements, and examining options such as electrification of heating, the use of heat pumps, and the integration of renewable energy systems, especially photovoltaics. It also introduces the preliminary investigation of financing options, including public grants, municipal own resources, third-party financing, and Energy Performance Contracts. At this stage, the </w:t>
            </w:r>
            <w:r>
              <w:rPr>
                <w:rFonts w:cs="Arial"/>
                <w:szCs w:val="20"/>
              </w:rPr>
              <w:t>OSS</w:t>
            </w:r>
            <w:r w:rsidRPr="00DE3A0E">
              <w:rPr>
                <w:rFonts w:cs="Arial"/>
                <w:szCs w:val="20"/>
              </w:rPr>
              <w:t xml:space="preserve"> is presented as a support mechanism that can assist smaller municipalities in carrying out these tasks</w:t>
            </w:r>
            <w:r>
              <w:rPr>
                <w:rFonts w:cs="Arial"/>
                <w:szCs w:val="20"/>
              </w:rPr>
              <w:t>, as they lack sufficient infrastructure.  For medium- and large- sized municipalities support will be given</w:t>
            </w:r>
            <w:r w:rsidRPr="00DE3A0E">
              <w:rPr>
                <w:rFonts w:cs="Arial"/>
                <w:szCs w:val="20"/>
              </w:rPr>
              <w:t xml:space="preserve"> in deciding whether </w:t>
            </w:r>
            <w:r>
              <w:rPr>
                <w:rFonts w:cs="Arial"/>
                <w:szCs w:val="20"/>
              </w:rPr>
              <w:t xml:space="preserve">they will proceed with </w:t>
            </w:r>
            <w:r w:rsidRPr="00DE3A0E">
              <w:rPr>
                <w:rFonts w:cs="Arial"/>
                <w:szCs w:val="20"/>
              </w:rPr>
              <w:t>E</w:t>
            </w:r>
            <w:r>
              <w:rPr>
                <w:rFonts w:cs="Arial"/>
                <w:szCs w:val="20"/>
              </w:rPr>
              <w:t>n</w:t>
            </w:r>
            <w:r w:rsidRPr="00DE3A0E">
              <w:rPr>
                <w:rFonts w:cs="Arial"/>
                <w:szCs w:val="20"/>
              </w:rPr>
              <w:t>PC financing</w:t>
            </w:r>
            <w:r>
              <w:rPr>
                <w:rFonts w:cs="Arial"/>
                <w:szCs w:val="20"/>
              </w:rPr>
              <w:t>.</w:t>
            </w:r>
            <w:r w:rsidRPr="00DE3A0E">
              <w:rPr>
                <w:rFonts w:cs="Arial"/>
                <w:szCs w:val="20"/>
              </w:rPr>
              <w:t xml:space="preserve"> </w:t>
            </w:r>
          </w:p>
          <w:p w14:paraId="635A147A" w14:textId="77777777" w:rsidR="00F75306" w:rsidRPr="00DE3A0E" w:rsidRDefault="00F75306" w:rsidP="00F75306">
            <w:pPr>
              <w:rPr>
                <w:rFonts w:cs="Arial"/>
                <w:szCs w:val="20"/>
              </w:rPr>
            </w:pPr>
            <w:r w:rsidRPr="00F231B7">
              <w:rPr>
                <w:rFonts w:cs="Arial"/>
                <w:b/>
                <w:bCs/>
                <w:szCs w:val="20"/>
                <w:u w:val="single"/>
              </w:rPr>
              <w:t>Stage 3</w:t>
            </w:r>
            <w:r w:rsidRPr="00DE3A0E">
              <w:rPr>
                <w:rFonts w:cs="Arial"/>
                <w:szCs w:val="20"/>
              </w:rPr>
              <w:t xml:space="preserve"> covers the study of energy interventions and the preparation of the technical tender documents.</w:t>
            </w:r>
            <w:r>
              <w:rPr>
                <w:rFonts w:cs="Arial"/>
                <w:szCs w:val="20"/>
              </w:rPr>
              <w:t xml:space="preserve"> </w:t>
            </w:r>
            <w:r w:rsidRPr="00DE3A0E">
              <w:rPr>
                <w:rFonts w:cs="Arial"/>
                <w:szCs w:val="20"/>
              </w:rPr>
              <w:t xml:space="preserve">This stage is particularly important because the quality of the study and specifications largely determines whether the renovation will achieve its intended results, including high </w:t>
            </w:r>
            <w:r w:rsidRPr="00DE3A0E">
              <w:rPr>
                <w:rFonts w:cs="Arial"/>
                <w:szCs w:val="20"/>
              </w:rPr>
              <w:lastRenderedPageBreak/>
              <w:t xml:space="preserve">performance and zero-emission operation. The Guide provides support on deciding whether the study should be carried out internally or outsourced to an external consultant, and it explains what requirements and specifications should be set in either case. It also offers examples of tender documents </w:t>
            </w:r>
            <w:r>
              <w:rPr>
                <w:rFonts w:cs="Arial"/>
                <w:szCs w:val="20"/>
              </w:rPr>
              <w:t xml:space="preserve">(one of them is the prototype developed in Task 3.2) </w:t>
            </w:r>
            <w:r w:rsidRPr="00DE3A0E">
              <w:rPr>
                <w:rFonts w:cs="Arial"/>
                <w:szCs w:val="20"/>
              </w:rPr>
              <w:t xml:space="preserve">and highlights the need for technical and economic assessment of the interventions, the use of real energy consumption data, and provisions for the verification of achieved energy savings. The Guide further advises municipalities to ensure that the technical documents include minimum energy performance requirements, minimum equipment specifications, performance documentation obligations, as-built documentation, and operation and maintenance provisions. By the end of this stage, the municipality should have a technically documented project, a quantified estimate of expected energy savings and emissions reduction, a life-cycle economic assessment, a monitoring concept, and complete tender documents. </w:t>
            </w:r>
          </w:p>
          <w:p w14:paraId="11D080E9" w14:textId="77777777" w:rsidR="00F75306" w:rsidRDefault="00F75306" w:rsidP="00F75306">
            <w:pPr>
              <w:rPr>
                <w:rFonts w:cs="Arial"/>
                <w:szCs w:val="20"/>
              </w:rPr>
            </w:pPr>
            <w:r w:rsidRPr="00F231B7">
              <w:rPr>
                <w:rFonts w:cs="Arial"/>
                <w:b/>
                <w:bCs/>
                <w:szCs w:val="20"/>
                <w:u w:val="single"/>
              </w:rPr>
              <w:t>Stage 4</w:t>
            </w:r>
            <w:r w:rsidRPr="00DE3A0E">
              <w:rPr>
                <w:rFonts w:cs="Arial"/>
                <w:szCs w:val="20"/>
              </w:rPr>
              <w:t xml:space="preserve"> addresses the selection of the financing scheme.</w:t>
            </w:r>
            <w:r>
              <w:rPr>
                <w:rFonts w:cs="Arial"/>
                <w:szCs w:val="20"/>
              </w:rPr>
              <w:t xml:space="preserve">  </w:t>
            </w:r>
            <w:r w:rsidRPr="00DE3A0E">
              <w:rPr>
                <w:rFonts w:cs="Arial"/>
                <w:szCs w:val="20"/>
              </w:rPr>
              <w:t xml:space="preserve">The objective is to establish a realistic, sustainable and institutionally compatible financing structure that ensures the project’s financial adequacy, long-term affordability for the municipality, and an appropriate allocation of technical and financial risks. The Guide explains the financing challenge of deep renovation measures, specially </w:t>
            </w:r>
            <w:r>
              <w:rPr>
                <w:rFonts w:cs="Arial"/>
                <w:szCs w:val="20"/>
              </w:rPr>
              <w:t xml:space="preserve">building shell </w:t>
            </w:r>
            <w:r w:rsidRPr="00DE3A0E">
              <w:rPr>
                <w:rFonts w:cs="Arial"/>
                <w:szCs w:val="20"/>
              </w:rPr>
              <w:t xml:space="preserve">interventions, which often require high upfront investment and have long payback periods. It supports municipalities in assessing the availability of grants, the possibility of </w:t>
            </w:r>
            <w:r>
              <w:rPr>
                <w:rFonts w:cs="Arial"/>
                <w:szCs w:val="20"/>
              </w:rPr>
              <w:t>debt financing</w:t>
            </w:r>
            <w:r w:rsidRPr="00DE3A0E">
              <w:rPr>
                <w:rFonts w:cs="Arial"/>
                <w:szCs w:val="20"/>
              </w:rPr>
              <w:t xml:space="preserve">, the use of own resources, and third-party financing, and strongly promotes mixed financing approaches. Particular emphasis is placed on the combination of public subsidy and Energy Performance Contracting, which can improve project viability and enable broader building bundles to be renovated. The Guide also presents </w:t>
            </w:r>
            <w:r>
              <w:rPr>
                <w:rFonts w:cs="Arial"/>
                <w:szCs w:val="20"/>
              </w:rPr>
              <w:t>the</w:t>
            </w:r>
            <w:r w:rsidRPr="00DE3A0E">
              <w:rPr>
                <w:rFonts w:cs="Arial"/>
                <w:szCs w:val="20"/>
              </w:rPr>
              <w:t xml:space="preserve"> Excel-based financial assessment tool developed within the </w:t>
            </w:r>
            <w:r>
              <w:rPr>
                <w:rFonts w:cs="Arial"/>
                <w:szCs w:val="20"/>
              </w:rPr>
              <w:t>current Task (D3.6 submitted and approved)</w:t>
            </w:r>
            <w:r w:rsidRPr="00DE3A0E">
              <w:rPr>
                <w:rFonts w:cs="Arial"/>
                <w:szCs w:val="20"/>
              </w:rPr>
              <w:t xml:space="preserve">, allowing municipalities to compare alternative financing schemes and evaluate viability for both the municipality and the contractor. </w:t>
            </w:r>
          </w:p>
          <w:p w14:paraId="06EE3667" w14:textId="77777777" w:rsidR="00F75306" w:rsidRPr="00DE3A0E" w:rsidRDefault="00F75306" w:rsidP="00F75306">
            <w:pPr>
              <w:rPr>
                <w:rFonts w:cs="Arial"/>
                <w:szCs w:val="20"/>
              </w:rPr>
            </w:pPr>
            <w:r w:rsidRPr="00125DEB">
              <w:rPr>
                <w:rFonts w:cs="Arial"/>
                <w:b/>
                <w:bCs/>
                <w:szCs w:val="20"/>
                <w:u w:val="single"/>
              </w:rPr>
              <w:t>Stage 5</w:t>
            </w:r>
            <w:r w:rsidRPr="00DE3A0E">
              <w:rPr>
                <w:rFonts w:cs="Arial"/>
                <w:szCs w:val="20"/>
              </w:rPr>
              <w:t xml:space="preserve"> concerns the preparation and publication of the tender for implementation.</w:t>
            </w:r>
            <w:r>
              <w:rPr>
                <w:rFonts w:cs="Arial"/>
                <w:szCs w:val="20"/>
              </w:rPr>
              <w:t xml:space="preserve">  </w:t>
            </w:r>
            <w:r w:rsidRPr="00DE3A0E">
              <w:rPr>
                <w:rFonts w:cs="Arial"/>
                <w:szCs w:val="20"/>
              </w:rPr>
              <w:t xml:space="preserve">At this stage, the municipality turns the technical design and financing structure into a binding procurement procedure and, ultimately, into a contract. The type of tender depends on the selected financing model. If the project relies on grants, own funds, or bank loans, the procurement may follow a standard works or supply contract. If the municipality opts for an Energy Performance Contract, the tender must include specific provisions on the verification of savings, the contractor’s remuneration, and performance monitoring. The Guide provides practical support on the appropriate contractual form, the incorporation of financing provisions, the economic and technical eligibility requirements for bidders, the award criteria, the payment mechanism, penalties in case of underperformance, and the minimum requirements for a Measurement and </w:t>
            </w:r>
            <w:r>
              <w:rPr>
                <w:rFonts w:cs="Arial"/>
                <w:szCs w:val="20"/>
              </w:rPr>
              <w:t>Verification</w:t>
            </w:r>
            <w:r w:rsidRPr="00DE3A0E">
              <w:rPr>
                <w:rFonts w:cs="Arial"/>
                <w:szCs w:val="20"/>
              </w:rPr>
              <w:t xml:space="preserve"> Plan. It also stresses the importance of explicit risk allocation and legal compliance before publication. By the end of this stage, the municipality should have a </w:t>
            </w:r>
            <w:r>
              <w:rPr>
                <w:rFonts w:cs="Arial"/>
                <w:szCs w:val="20"/>
              </w:rPr>
              <w:t>ready-to-be published</w:t>
            </w:r>
            <w:r w:rsidRPr="00DE3A0E">
              <w:rPr>
                <w:rFonts w:cs="Arial"/>
                <w:szCs w:val="20"/>
              </w:rPr>
              <w:t xml:space="preserve"> tender</w:t>
            </w:r>
            <w:r>
              <w:rPr>
                <w:rFonts w:cs="Arial"/>
                <w:szCs w:val="20"/>
              </w:rPr>
              <w:t xml:space="preserve"> with</w:t>
            </w:r>
            <w:r w:rsidRPr="00DE3A0E">
              <w:rPr>
                <w:rFonts w:cs="Arial"/>
                <w:szCs w:val="20"/>
              </w:rPr>
              <w:t xml:space="preserve"> a contract structure aligned with the financing model, and a defined </w:t>
            </w:r>
            <w:r>
              <w:rPr>
                <w:rFonts w:cs="Arial"/>
                <w:szCs w:val="20"/>
              </w:rPr>
              <w:t>measurement and verification programme</w:t>
            </w:r>
            <w:r w:rsidRPr="00DE3A0E">
              <w:rPr>
                <w:rFonts w:cs="Arial"/>
                <w:szCs w:val="20"/>
              </w:rPr>
              <w:t xml:space="preserve">. </w:t>
            </w:r>
          </w:p>
          <w:p w14:paraId="7BA9B307" w14:textId="77777777" w:rsidR="00F75306" w:rsidRPr="00DE3A0E" w:rsidRDefault="00F75306" w:rsidP="00F75306">
            <w:pPr>
              <w:rPr>
                <w:rFonts w:cs="Arial"/>
                <w:szCs w:val="20"/>
              </w:rPr>
            </w:pPr>
            <w:r w:rsidRPr="005F4FAD">
              <w:rPr>
                <w:rFonts w:cs="Arial"/>
                <w:b/>
                <w:bCs/>
                <w:szCs w:val="20"/>
                <w:u w:val="single"/>
              </w:rPr>
              <w:t>Stage 6</w:t>
            </w:r>
            <w:r w:rsidRPr="00DE3A0E">
              <w:rPr>
                <w:rFonts w:cs="Arial"/>
                <w:szCs w:val="20"/>
              </w:rPr>
              <w:t xml:space="preserve"> concerns the operation of the building after renovation.</w:t>
            </w:r>
            <w:r>
              <w:rPr>
                <w:rFonts w:cs="Arial"/>
                <w:szCs w:val="20"/>
              </w:rPr>
              <w:t xml:space="preserve">  </w:t>
            </w:r>
            <w:r w:rsidRPr="00DE3A0E">
              <w:rPr>
                <w:rFonts w:cs="Arial"/>
                <w:szCs w:val="20"/>
              </w:rPr>
              <w:t xml:space="preserve">Although it is not part of project </w:t>
            </w:r>
            <w:r>
              <w:rPr>
                <w:rFonts w:cs="Arial"/>
                <w:szCs w:val="20"/>
              </w:rPr>
              <w:t>development</w:t>
            </w:r>
            <w:r w:rsidRPr="00DE3A0E">
              <w:rPr>
                <w:rFonts w:cs="Arial"/>
                <w:szCs w:val="20"/>
              </w:rPr>
              <w:t xml:space="preserve"> in the strict sense, the Guide includes </w:t>
            </w:r>
            <w:r>
              <w:rPr>
                <w:rFonts w:cs="Arial"/>
                <w:szCs w:val="20"/>
              </w:rPr>
              <w:t xml:space="preserve">this stage </w:t>
            </w:r>
            <w:r w:rsidRPr="00DE3A0E">
              <w:rPr>
                <w:rFonts w:cs="Arial"/>
                <w:szCs w:val="20"/>
              </w:rPr>
              <w:t xml:space="preserve">because the expected savings and broader project benefits can only be maintained if the renovated building is operated correctly. The Guide therefore supports municipalities with practical advice on the correct operation of electromechanical systems, the active use of monitoring systems, preventive maintenance, documentation and knowledge continuity, and user awareness and behaviour. It also explains that, where an Energy Performance Contract is used, many of these responsibilities may be taken on by </w:t>
            </w:r>
            <w:r w:rsidRPr="00DE3A0E">
              <w:rPr>
                <w:rFonts w:cs="Arial"/>
                <w:szCs w:val="20"/>
              </w:rPr>
              <w:lastRenderedPageBreak/>
              <w:t xml:space="preserve">the ESCO under the contract, including maintenance, monitoring, performance guarantee and, in some cases, training of municipal staff. This stage is intended to protect the municipal investment, avoid performance degradation over time, and reduce the risk of rebound effects or unnecessary overconsumption. </w:t>
            </w:r>
          </w:p>
          <w:p w14:paraId="38461ACA" w14:textId="77777777" w:rsidR="00F75306" w:rsidRPr="00876BC7" w:rsidRDefault="00F75306" w:rsidP="00F75306">
            <w:pPr>
              <w:rPr>
                <w:rFonts w:cs="Arial"/>
                <w:szCs w:val="20"/>
              </w:rPr>
            </w:pPr>
            <w:r w:rsidRPr="00DE3A0E">
              <w:rPr>
                <w:rFonts w:cs="Arial"/>
                <w:szCs w:val="20"/>
              </w:rPr>
              <w:t xml:space="preserve">Overall, the Guide is structured as a practical municipal decision-support framework rather than as a purely technical manual. At each stage it combines explanation, decision points, concrete actions, and implementation guidance. Its added value lies in helping municipalities navigate the full pathway from early building selection to implementation and long-term operation, while reducing uncertainty, strengthening financial readiness, and improving the likelihood that renovation projects will deliver measurable and durable results. </w:t>
            </w:r>
          </w:p>
          <w:p w14:paraId="747E8BF9" w14:textId="77777777" w:rsidR="00F75306" w:rsidRPr="00483888" w:rsidRDefault="00F75306" w:rsidP="00F75306">
            <w:pPr>
              <w:rPr>
                <w:rFonts w:cs="Arial"/>
                <w:szCs w:val="20"/>
              </w:rPr>
            </w:pPr>
            <w:r>
              <w:rPr>
                <w:rFonts w:cs="Arial"/>
                <w:szCs w:val="20"/>
              </w:rPr>
              <w:t xml:space="preserve">The Guide was developed in .html format because this format supports better its intended use, that is </w:t>
            </w:r>
            <w:r w:rsidRPr="00483888">
              <w:rPr>
                <w:rFonts w:cs="Arial"/>
                <w:szCs w:val="20"/>
              </w:rPr>
              <w:t xml:space="preserve">a practical step-by-step support tool </w:t>
            </w:r>
            <w:r>
              <w:rPr>
                <w:rFonts w:cs="Arial"/>
                <w:szCs w:val="20"/>
              </w:rPr>
              <w:t xml:space="preserve">rather than a linear text to be read from </w:t>
            </w:r>
            <w:r w:rsidRPr="00483888">
              <w:rPr>
                <w:rFonts w:cs="Arial"/>
                <w:szCs w:val="20"/>
              </w:rPr>
              <w:t>beginning to end</w:t>
            </w:r>
            <w:r>
              <w:rPr>
                <w:rFonts w:cs="Arial"/>
                <w:szCs w:val="20"/>
              </w:rPr>
              <w:t xml:space="preserve">.  </w:t>
            </w:r>
            <w:r w:rsidRPr="00483888">
              <w:rPr>
                <w:rFonts w:cs="Arial"/>
                <w:szCs w:val="20"/>
              </w:rPr>
              <w:t xml:space="preserve">Its structure, organised around distinct stages of project maturation, decision points, downloadable resources, examples, and links to supporting material, lends itself naturally to a digital environment that allows users to navigate directly to the section most relevant to their immediate needs. This is especially important for municipal staff, who often consult such material selectively and under time constraints. In addition, the HTML format makes it easier to integrate templates, examples, financial tools, and legislative references in a user-friendly way, while also allowing the Guide to be updated more easily over time as funding programmes, supporting documents, or technical guidance evolve. </w:t>
            </w:r>
            <w:r>
              <w:rPr>
                <w:rFonts w:cs="Arial"/>
                <w:szCs w:val="20"/>
              </w:rPr>
              <w:t>The</w:t>
            </w:r>
            <w:r w:rsidRPr="00483888">
              <w:rPr>
                <w:rFonts w:cs="Arial"/>
                <w:szCs w:val="20"/>
              </w:rPr>
              <w:t xml:space="preserve"> HTML version can therefore transform the Guide from a static reference document into a more dynamic and accessible decision-support instrument, better aligned with the practical needs of municipalities.</w:t>
            </w:r>
          </w:p>
          <w:p w14:paraId="35CCD26F" w14:textId="77777777" w:rsidR="00F75306" w:rsidRPr="00483888" w:rsidRDefault="00F75306" w:rsidP="00F75306">
            <w:pPr>
              <w:rPr>
                <w:rFonts w:cs="Arial"/>
                <w:szCs w:val="20"/>
              </w:rPr>
            </w:pPr>
            <w:r>
              <w:rPr>
                <w:rFonts w:cs="Arial"/>
                <w:szCs w:val="20"/>
              </w:rPr>
              <w:t xml:space="preserve">The Guide can be reached at </w:t>
            </w:r>
            <w:hyperlink r:id="rId29" w:history="1">
              <w:r w:rsidRPr="00F95EFD">
                <w:rPr>
                  <w:rStyle w:val="Hyperlink"/>
                  <w:rFonts w:cs="Arial"/>
                  <w:szCs w:val="20"/>
                </w:rPr>
                <w:t>https://oss.renoingr.gr/project_assistance_guide/</w:t>
              </w:r>
            </w:hyperlink>
            <w:r>
              <w:rPr>
                <w:rFonts w:cs="Arial"/>
                <w:szCs w:val="20"/>
              </w:rPr>
              <w:t xml:space="preserve">. </w:t>
            </w:r>
          </w:p>
          <w:p w14:paraId="0DB1B349" w14:textId="77777777" w:rsidR="00F75306" w:rsidRPr="00BE6846" w:rsidRDefault="00F75306" w:rsidP="00F75306">
            <w:pPr>
              <w:spacing w:before="360" w:after="120"/>
              <w:rPr>
                <w:i/>
                <w:iCs/>
                <w:u w:val="single"/>
              </w:rPr>
            </w:pPr>
            <w:r w:rsidRPr="00BE6846">
              <w:rPr>
                <w:i/>
                <w:iCs/>
                <w:u w:val="single"/>
              </w:rPr>
              <w:t>Zero or nearly zero energy and nearly-zero emissions building examples</w:t>
            </w:r>
          </w:p>
          <w:p w14:paraId="7537AB84" w14:textId="77777777" w:rsidR="00F75306" w:rsidRDefault="00F75306" w:rsidP="00F75306">
            <w:r>
              <w:t>In this subtask, priority was given to the collection and presentation of real renovated buildings, as these are considered more credible and persuasive for municipal technical staff than simulated examples of typical buildings, even though simulated cases may provide more homogeneous data for the comparison of alternative renovation solutions.</w:t>
            </w:r>
          </w:p>
          <w:p w14:paraId="73BBE967" w14:textId="77777777" w:rsidR="00F75306" w:rsidRDefault="00F75306" w:rsidP="00F75306">
            <w:r>
              <w:t>The collection of relevant information proved to be particularly time-consuming. This was due both to the still limited number of buildings renovated to nearly zero-energy building (nZEB) or zero operational emissions standards, and to significant delays in obtaining the requested data from municipalities, despite their prior agreement to contribute to the RenoInGR work. In practice, more than 15 months were required in order to compile a sufficiently robust set of examples.</w:t>
            </w:r>
          </w:p>
          <w:p w14:paraId="0AF5F767" w14:textId="77777777" w:rsidR="00F75306" w:rsidRDefault="00F75306" w:rsidP="00F75306">
            <w:r>
              <w:t>The subtask resulted in a portfolio of 11 building examples/case studies from Greece and Cyprus, covering a variety of building uses, construction periods, and geographic contexts. Particular attention was paid to ensuring geographical representativeness, including examples from all four climatic zones of Greece and from two climatic zones of Cyprus.</w:t>
            </w:r>
          </w:p>
          <w:p w14:paraId="1920DBF3" w14:textId="77777777" w:rsidR="00F75306" w:rsidRDefault="00F75306" w:rsidP="00F75306">
            <w:r>
              <w:t xml:space="preserve">An effort was made to present the collected information in as consistent and comparable a manner as possible. However, the available data did not always provide the same level of completeness or technical detail. In particular, information on the actual operational performance of the buildings </w:t>
            </w:r>
            <w:r>
              <w:lastRenderedPageBreak/>
              <w:t>following renovation, user satisfaction, and measured energy consumption before and after the interventions was often limited.</w:t>
            </w:r>
          </w:p>
          <w:p w14:paraId="1CA2AF3A" w14:textId="77777777" w:rsidR="00F75306" w:rsidRDefault="00F75306" w:rsidP="00F75306">
            <w:r>
              <w:t>For this reason, the assessment of energy performance was based primarily on data derived from Energy Performance Certificates (EPCs), which allow for a comparative evaluation of the energy class of the buildings. The examples collected may therefore serve as a useful reference base for municipalities planning energy renovation projects and seeking to upgrade their building stock to higher levels of energy performance.</w:t>
            </w:r>
          </w:p>
          <w:p w14:paraId="28291585" w14:textId="77777777" w:rsidR="00F75306" w:rsidRDefault="00F75306" w:rsidP="00F75306">
            <w:r>
              <w:t>For each building, the presentation includes general information such as location, use, size, construction characteristics, legal status, photographic material, and climate zone data. It also provides information on the energy classification before and after renovation, the main energy efficiency measures implemented, and the technical characteristics of the upgraded systems, including heating, cooling, ventilation, domestic hot water, lighting, renewable energy systems, and energy management systems. In addition, each building fiche includes key energy performance indicators, such as primary and end-use energy consumption, CO</w:t>
            </w:r>
            <w:r>
              <w:rPr>
                <w:rFonts w:ascii="Cambria Math" w:hAnsi="Cambria Math" w:cs="Cambria Math"/>
              </w:rPr>
              <w:t>₂</w:t>
            </w:r>
            <w:r>
              <w:t xml:space="preserve"> emissions, and the electricity and/or heat generated from renewable energy systems, supported by tables and graphs. Information is also provided on the financing scheme, total project cost, implementation period, and the allocation of costs across the main intervention categories. Finally, where such information was available, the fiches include users</w:t>
            </w:r>
            <w:r>
              <w:rPr>
                <w:rFonts w:cs="Arial"/>
              </w:rPr>
              <w:t>’</w:t>
            </w:r>
            <w:r>
              <w:t xml:space="preserve"> views regarding the perceived improvement in thermal and visual comfort conditions and the extent to which the expected energy performance targets were achieved.</w:t>
            </w:r>
          </w:p>
          <w:p w14:paraId="4B2B53CD" w14:textId="77777777" w:rsidR="00F75306" w:rsidRDefault="00F75306" w:rsidP="00F75306">
            <w:r>
              <w:t xml:space="preserve">The buildings are presented in separate fishes (fig. 3.5) , available for download in PDF format through the RenoInGR OSS platform </w:t>
            </w:r>
            <w:hyperlink r:id="rId30" w:history="1">
              <w:r w:rsidRPr="00BE3B36">
                <w:rPr>
                  <w:rStyle w:val="Hyperlink"/>
                </w:rPr>
                <w:t>https://oss.renoingr.gr/n-zeb/</w:t>
              </w:r>
            </w:hyperlink>
            <w:r>
              <w:t>.</w:t>
            </w:r>
          </w:p>
          <w:p w14:paraId="583ABA0F" w14:textId="77777777" w:rsidR="00F75306" w:rsidRDefault="00F75306" w:rsidP="00F75306">
            <w:r>
              <w:t>The corresponding landing page (fig. 3.4) is structured around a map of Greece and Cyprus showing the location of the buildings. Users may access each example either through the map interface or through a side list, where the buildings are organised by use typology.</w:t>
            </w:r>
          </w:p>
          <w:p w14:paraId="6000C270" w14:textId="77777777" w:rsidR="00F75306" w:rsidRPr="001A623D" w:rsidRDefault="00F75306" w:rsidP="00F75306"/>
          <w:p w14:paraId="18303F99" w14:textId="77777777" w:rsidR="00F75306" w:rsidRDefault="00F75306" w:rsidP="00F75306">
            <w:r w:rsidRPr="007D154E">
              <w:rPr>
                <w:noProof/>
                <w:shd w:val="clear" w:color="auto" w:fill="F2F2F2" w:themeFill="background1" w:themeFillShade="F2"/>
                <w14:ligatures w14:val="standardContextual"/>
              </w:rPr>
              <w:drawing>
                <wp:inline distT="0" distB="0" distL="0" distR="0" wp14:anchorId="7D08288F" wp14:editId="3D08F122">
                  <wp:extent cx="5006174" cy="2154219"/>
                  <wp:effectExtent l="19050" t="19050" r="23495" b="17780"/>
                  <wp:docPr id="146696840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968404" name="Picture 1466968404"/>
                          <pic:cNvPicPr/>
                        </pic:nvPicPr>
                        <pic:blipFill>
                          <a:blip r:embed="rId31" cstate="print">
                            <a:extLst>
                              <a:ext uri="{28A0092B-C50C-407E-A947-70E740481C1C}">
                                <a14:useLocalDpi xmlns:a14="http://schemas.microsoft.com/office/drawing/2010/main" val="0"/>
                              </a:ext>
                            </a:extLst>
                          </a:blip>
                          <a:stretch>
                            <a:fillRect/>
                          </a:stretch>
                        </pic:blipFill>
                        <pic:spPr>
                          <a:xfrm>
                            <a:off x="0" y="0"/>
                            <a:ext cx="5016064" cy="2158475"/>
                          </a:xfrm>
                          <a:prstGeom prst="rect">
                            <a:avLst/>
                          </a:prstGeom>
                          <a:blipFill dpi="0" rotWithShape="1">
                            <a:blip r:embed="rId32">
                              <a:alphaModFix amt="20000"/>
                            </a:blip>
                            <a:srcRect/>
                            <a:tile tx="0" ty="0" sx="100000" sy="100000" flip="none" algn="tl"/>
                          </a:blipFill>
                          <a:ln w="3175">
                            <a:solidFill>
                              <a:schemeClr val="tx2">
                                <a:lumMod val="60000"/>
                                <a:lumOff val="40000"/>
                              </a:schemeClr>
                            </a:solidFill>
                          </a:ln>
                        </pic:spPr>
                      </pic:pic>
                    </a:graphicData>
                  </a:graphic>
                </wp:inline>
              </w:drawing>
            </w:r>
          </w:p>
          <w:p w14:paraId="0E047C32" w14:textId="77777777" w:rsidR="00F75306" w:rsidRDefault="00F75306" w:rsidP="00F75306">
            <w:pPr>
              <w:pStyle w:val="Caption"/>
              <w:ind w:left="1138" w:hanging="1138"/>
            </w:pPr>
            <w:r>
              <w:t>Figure 3.4 Landing page of nZEB and zero operational emissions buildings</w:t>
            </w:r>
          </w:p>
          <w:p w14:paraId="5D1D32B3" w14:textId="77777777" w:rsidR="00F75306" w:rsidRDefault="00F75306" w:rsidP="00F75306">
            <w:pPr>
              <w:ind w:left="-450"/>
            </w:pPr>
            <w:r>
              <w:rPr>
                <w:noProof/>
                <w14:ligatures w14:val="standardContextual"/>
              </w:rPr>
              <w:lastRenderedPageBreak/>
              <w:drawing>
                <wp:inline distT="0" distB="0" distL="0" distR="0" wp14:anchorId="1B177082" wp14:editId="6D43E5D1">
                  <wp:extent cx="6108192" cy="4078224"/>
                  <wp:effectExtent l="0" t="0" r="6985" b="0"/>
                  <wp:docPr id="76836019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360197" name="Picture 768360197"/>
                          <pic:cNvPicPr/>
                        </pic:nvPicPr>
                        <pic:blipFill>
                          <a:blip r:embed="rId33">
                            <a:extLst>
                              <a:ext uri="{28A0092B-C50C-407E-A947-70E740481C1C}">
                                <a14:useLocalDpi xmlns:a14="http://schemas.microsoft.com/office/drawing/2010/main" val="0"/>
                              </a:ext>
                            </a:extLst>
                          </a:blip>
                          <a:stretch>
                            <a:fillRect/>
                          </a:stretch>
                        </pic:blipFill>
                        <pic:spPr>
                          <a:xfrm>
                            <a:off x="0" y="0"/>
                            <a:ext cx="6108192" cy="4078224"/>
                          </a:xfrm>
                          <a:prstGeom prst="rect">
                            <a:avLst/>
                          </a:prstGeom>
                        </pic:spPr>
                      </pic:pic>
                    </a:graphicData>
                  </a:graphic>
                </wp:inline>
              </w:drawing>
            </w:r>
          </w:p>
          <w:p w14:paraId="442EE122" w14:textId="77777777" w:rsidR="00F75306" w:rsidRDefault="00F75306" w:rsidP="00F75306">
            <w:pPr>
              <w:pStyle w:val="Caption"/>
            </w:pPr>
            <w:r>
              <w:t>Figure 3.5 Sample of building presentation</w:t>
            </w:r>
          </w:p>
          <w:p w14:paraId="557FA29A" w14:textId="77777777" w:rsidR="00F75306" w:rsidRPr="00BE6846" w:rsidRDefault="00F75306" w:rsidP="00F75306">
            <w:pPr>
              <w:spacing w:before="360" w:after="120"/>
              <w:rPr>
                <w:i/>
                <w:iCs/>
                <w:u w:val="single"/>
              </w:rPr>
            </w:pPr>
            <w:r w:rsidRPr="00BE6846">
              <w:rPr>
                <w:i/>
                <w:iCs/>
                <w:u w:val="single"/>
              </w:rPr>
              <w:t>Low embodied carbon materials</w:t>
            </w:r>
          </w:p>
          <w:p w14:paraId="1C8DD234" w14:textId="77777777" w:rsidR="00F75306" w:rsidRPr="008D226A" w:rsidRDefault="00F75306" w:rsidP="00F75306">
            <w:pPr>
              <w:rPr>
                <w:rFonts w:cs="Arial"/>
                <w:szCs w:val="20"/>
              </w:rPr>
            </w:pPr>
            <w:r w:rsidRPr="008D226A">
              <w:rPr>
                <w:rFonts w:cs="Arial"/>
                <w:szCs w:val="20"/>
              </w:rPr>
              <w:t>In accordance with the DoW, the task was initiated with the identification and mapping of companies and networks engaged in the collection of reusable components and materials, as well as in the recycling of materials originating from demolition activities. The original objective was to investigate the potential for recovering and reusing such materials and components in municipal building renovation projects, with a particular focus on solutions compatible with low-carbon renovation pathways.</w:t>
            </w:r>
          </w:p>
          <w:p w14:paraId="07C5C9B8" w14:textId="77777777" w:rsidR="00F75306" w:rsidRPr="008D226A" w:rsidRDefault="00F75306" w:rsidP="00F75306">
            <w:pPr>
              <w:rPr>
                <w:rFonts w:cs="Arial"/>
                <w:szCs w:val="20"/>
              </w:rPr>
            </w:pPr>
            <w:r w:rsidRPr="008D226A">
              <w:rPr>
                <w:rFonts w:cs="Arial"/>
                <w:szCs w:val="20"/>
              </w:rPr>
              <w:t>The market screening and stakeholder outreach showed that, although certain reusable materials and components are collected and stored in open yards accessible to construction companies, their reuse is not yet supported by a sufficiently mature framework for quality assurance and safe application. In most cases, the recovered materials do not undergo systematic inspection, testing or treatment to verify their technical suitability for reuse. In addition, the operation of the relevant storage and handling sites is not carried out under a certified scheme, which raises concerns regarding traceability, safety, reliability and regulatory compliance.</w:t>
            </w:r>
          </w:p>
          <w:p w14:paraId="49D84D7E" w14:textId="77777777" w:rsidR="00F75306" w:rsidRPr="008D226A" w:rsidRDefault="00F75306" w:rsidP="00F75306">
            <w:pPr>
              <w:rPr>
                <w:rFonts w:cs="Arial"/>
                <w:szCs w:val="20"/>
              </w:rPr>
            </w:pPr>
            <w:r w:rsidRPr="008D226A">
              <w:rPr>
                <w:rFonts w:cs="Arial"/>
                <w:szCs w:val="20"/>
              </w:rPr>
              <w:t xml:space="preserve">At the same time, it was observed that part of the demolition waste stream, and in particular concrete, masonry and ceramic waste, is increasingly being valorised by the cement industry as a substitute for virgin raw materials in clinker production. This practice is aligned with the broader transition towards circular and sustainable construction and contributes to the achievement of EU </w:t>
            </w:r>
            <w:r w:rsidRPr="008D226A">
              <w:rPr>
                <w:rFonts w:cs="Arial"/>
                <w:szCs w:val="20"/>
              </w:rPr>
              <w:lastRenderedPageBreak/>
              <w:t>targets on construction and demolition waste (CDW) recovery. It also reduces the demand for primary raw materials and improves the environmental performance of cement production in Greece, with some products already associated with “Zero Waste to Landfill” certification schemes.</w:t>
            </w:r>
          </w:p>
          <w:p w14:paraId="0A21B6B7" w14:textId="77777777" w:rsidR="00F75306" w:rsidRPr="008D226A" w:rsidRDefault="00F75306" w:rsidP="00F75306">
            <w:pPr>
              <w:rPr>
                <w:rFonts w:cs="Arial"/>
                <w:szCs w:val="20"/>
              </w:rPr>
            </w:pPr>
            <w:r w:rsidRPr="008D226A">
              <w:rPr>
                <w:rFonts w:cs="Arial"/>
                <w:szCs w:val="20"/>
              </w:rPr>
              <w:t>In order to assess the current maturity of the Greek market in this field, the project contacted companies active in the alternative management of construction and demolition waste, as well as regional waste management centres, including centres in the Regions of Western Macedonia and Attica. Based on this communication, the task concluded that the large-scale recovery and reuse of secondary materials and other building components from CDW is not yet sufficiently developed in Greece to support systematic implementation in municipal energy renovation projects.</w:t>
            </w:r>
          </w:p>
          <w:p w14:paraId="4A6B3916" w14:textId="77777777" w:rsidR="00F75306" w:rsidRPr="008D226A" w:rsidRDefault="00F75306" w:rsidP="00F75306">
            <w:pPr>
              <w:rPr>
                <w:rFonts w:cs="Arial"/>
                <w:szCs w:val="20"/>
              </w:rPr>
            </w:pPr>
            <w:r w:rsidRPr="008D226A">
              <w:rPr>
                <w:rFonts w:cs="Arial"/>
                <w:szCs w:val="20"/>
              </w:rPr>
              <w:t>More specifically, the findings indicate that further progress is required in several enabling areas before such practices can be widely adopted. These include:</w:t>
            </w:r>
          </w:p>
          <w:p w14:paraId="0E79DA16" w14:textId="77777777" w:rsidR="00F75306" w:rsidRPr="008D226A" w:rsidRDefault="00F75306" w:rsidP="00F75306">
            <w:pPr>
              <w:pStyle w:val="ListParagraph"/>
              <w:numPr>
                <w:ilvl w:val="0"/>
                <w:numId w:val="61"/>
              </w:numPr>
              <w:spacing w:before="60" w:after="60" w:line="240" w:lineRule="auto"/>
              <w:jc w:val="both"/>
              <w:rPr>
                <w:rFonts w:cs="Arial"/>
                <w:szCs w:val="20"/>
              </w:rPr>
            </w:pPr>
            <w:r w:rsidRPr="008D226A">
              <w:rPr>
                <w:rFonts w:cs="Arial"/>
                <w:szCs w:val="20"/>
              </w:rPr>
              <w:t>the establishment of clear technical specifications and procedures for CE marking, where applicable</w:t>
            </w:r>
          </w:p>
          <w:p w14:paraId="73B03057" w14:textId="77777777" w:rsidR="00F75306" w:rsidRPr="008D226A" w:rsidRDefault="00F75306" w:rsidP="00F75306">
            <w:pPr>
              <w:pStyle w:val="ListParagraph"/>
              <w:numPr>
                <w:ilvl w:val="0"/>
                <w:numId w:val="61"/>
              </w:numPr>
              <w:spacing w:before="60" w:after="60" w:line="240" w:lineRule="auto"/>
              <w:jc w:val="both"/>
              <w:rPr>
                <w:rFonts w:cs="Arial"/>
                <w:szCs w:val="20"/>
              </w:rPr>
            </w:pPr>
            <w:r w:rsidRPr="008D226A">
              <w:rPr>
                <w:rFonts w:cs="Arial"/>
                <w:szCs w:val="20"/>
              </w:rPr>
              <w:t>the verification that recovered products have been appropriately tested and comply with the relevant European requirements related to safety, health protection and performance</w:t>
            </w:r>
          </w:p>
          <w:p w14:paraId="493B7C35" w14:textId="77777777" w:rsidR="00F75306" w:rsidRPr="008D226A" w:rsidRDefault="00F75306" w:rsidP="00F75306">
            <w:pPr>
              <w:pStyle w:val="ListParagraph"/>
              <w:numPr>
                <w:ilvl w:val="0"/>
                <w:numId w:val="61"/>
              </w:numPr>
              <w:spacing w:before="60" w:after="60" w:line="240" w:lineRule="auto"/>
              <w:jc w:val="both"/>
              <w:rPr>
                <w:rFonts w:cs="Arial"/>
                <w:szCs w:val="20"/>
              </w:rPr>
            </w:pPr>
            <w:r w:rsidRPr="008D226A">
              <w:rPr>
                <w:rFonts w:cs="Arial"/>
                <w:szCs w:val="20"/>
              </w:rPr>
              <w:t>the existence of an adequate regulatory and legislative framework and/or specific operating licences, combined with dedicated municipal or regional spaces for the storage and safekeeping of such materials</w:t>
            </w:r>
          </w:p>
          <w:p w14:paraId="0A18C7D0" w14:textId="77777777" w:rsidR="00F75306" w:rsidRPr="008D226A" w:rsidRDefault="00F75306" w:rsidP="00F75306">
            <w:pPr>
              <w:rPr>
                <w:rFonts w:cs="Arial"/>
                <w:szCs w:val="20"/>
              </w:rPr>
            </w:pPr>
            <w:r w:rsidRPr="008D226A">
              <w:rPr>
                <w:rFonts w:cs="Arial"/>
                <w:szCs w:val="20"/>
              </w:rPr>
              <w:t>At present, material separation is carried out mainly in dedicated treatment areas rather than through organised material collection hubs. The production of recycled aggregates and the recovery of metallic elements are generally performed on demand, while certification of recovered materials is in most cases not yet available. Where certification exists or may be developed, the responsibility for demonstrating the suitability of secondary materials lies primarily with the company supplying them. Recovered aggregates are currently used mainly in quarry restoration, backfilling works and road sub-base applications. Furthermore, the operational scope and capacity of the relevant actors vary considerably. Overall, the absence of structured pilot schemes, standardised procedures and certified reuse pathways remains a major barrier, especially when compared with practices already observed in several other European countries.</w:t>
            </w:r>
          </w:p>
          <w:p w14:paraId="73B61FC5" w14:textId="77777777" w:rsidR="00F75306" w:rsidRPr="008D226A" w:rsidRDefault="00F75306" w:rsidP="00F75306">
            <w:pPr>
              <w:rPr>
                <w:rFonts w:cs="Arial"/>
                <w:szCs w:val="20"/>
              </w:rPr>
            </w:pPr>
            <w:r w:rsidRPr="008D226A">
              <w:rPr>
                <w:rFonts w:cs="Arial"/>
                <w:szCs w:val="20"/>
              </w:rPr>
              <w:t>In view of the above limitations, and particularly the insufficient maturity of the national ecosystem for certified reuse of recovered construction materials, the task was oriented towards an area where immediate practical value could be delivered to municipalities and market actors. More specifically, the emphasis was placed on the development of databases of low-embodied-carbon materials, systems and technologies currently available on the Greek market at local, regional and national level.</w:t>
            </w:r>
          </w:p>
          <w:p w14:paraId="2CEDC506" w14:textId="77777777" w:rsidR="00F75306" w:rsidRPr="008D226A" w:rsidRDefault="00F75306" w:rsidP="00F75306">
            <w:pPr>
              <w:rPr>
                <w:rFonts w:cs="Arial"/>
                <w:szCs w:val="20"/>
              </w:rPr>
            </w:pPr>
            <w:r w:rsidRPr="008D226A">
              <w:rPr>
                <w:rFonts w:cs="Arial"/>
                <w:szCs w:val="20"/>
              </w:rPr>
              <w:t>These databases are intended to support municipalities, in particular medium-sized and large municipalities, as well as architects, designers and engineers, in the specification and selection of low-embodied-carbon solutions for building renovation projects. They have been conceived as a practical decision-support tool presenting building materials, systems and technologies specifically suited to the low-carbon energy renovation of municipal buildings. Their overall purpose is to facilitate the transition towards more sustainable, technically robust and cost-effective renovation solutions.</w:t>
            </w:r>
          </w:p>
          <w:p w14:paraId="38AC45C8" w14:textId="77777777" w:rsidR="00F75306" w:rsidRPr="008D226A" w:rsidRDefault="00F75306" w:rsidP="00F75306">
            <w:pPr>
              <w:rPr>
                <w:rFonts w:cs="Arial"/>
                <w:szCs w:val="20"/>
              </w:rPr>
            </w:pPr>
            <w:r w:rsidRPr="008D226A">
              <w:rPr>
                <w:rFonts w:cs="Arial"/>
                <w:szCs w:val="20"/>
              </w:rPr>
              <w:t xml:space="preserve">The databases were populated with information submitted by responding companies following invitation letters sent to associations of manufacturing companies, chambers of commerce and </w:t>
            </w:r>
            <w:r w:rsidRPr="008D226A">
              <w:rPr>
                <w:rFonts w:cs="Arial"/>
                <w:szCs w:val="20"/>
              </w:rPr>
              <w:lastRenderedPageBreak/>
              <w:t xml:space="preserve">industry, and the Hellenic Federation of Enterprises. Additional input was collected through the existing professional network of the EUDITI </w:t>
            </w:r>
            <w:r w:rsidRPr="0032663C">
              <w:rPr>
                <w:rFonts w:cs="Arial"/>
                <w:szCs w:val="20"/>
              </w:rPr>
              <w:t>(</w:t>
            </w:r>
            <w:r>
              <w:rPr>
                <w:rFonts w:cs="Arial"/>
                <w:szCs w:val="20"/>
              </w:rPr>
              <w:t xml:space="preserve">Partner 10) </w:t>
            </w:r>
            <w:r w:rsidRPr="008D226A">
              <w:rPr>
                <w:rFonts w:cs="Arial"/>
                <w:szCs w:val="20"/>
              </w:rPr>
              <w:t>team, including contacts established with material manufacturing companies during trade fairs and conferences dedicated to sustainable materials and construction.</w:t>
            </w:r>
            <w:r>
              <w:rPr>
                <w:rFonts w:cs="Arial"/>
                <w:szCs w:val="20"/>
              </w:rPr>
              <w:t xml:space="preserve"> Over 400 companies were contacted.</w:t>
            </w:r>
          </w:p>
          <w:p w14:paraId="43FDD1E3" w14:textId="77777777" w:rsidR="00F75306" w:rsidRPr="008D226A" w:rsidRDefault="00F75306" w:rsidP="00F75306">
            <w:pPr>
              <w:rPr>
                <w:rFonts w:cs="Arial"/>
                <w:szCs w:val="20"/>
              </w:rPr>
            </w:pPr>
            <w:r w:rsidRPr="008D226A">
              <w:rPr>
                <w:rFonts w:cs="Arial"/>
                <w:szCs w:val="20"/>
              </w:rPr>
              <w:t>Data collection remains an ongoing activity. The databases are designed as a dynamic resource that will be continuously updated in order to reflect technological developments in building materials and to incorporate newly certified products. To support this process, an open Call for Expression of Interest is planned to be launched on a quarterly basis.</w:t>
            </w:r>
          </w:p>
          <w:p w14:paraId="7B69CF32" w14:textId="77777777" w:rsidR="00F75306" w:rsidRPr="008D226A" w:rsidRDefault="00F75306" w:rsidP="00F75306">
            <w:pPr>
              <w:rPr>
                <w:rFonts w:cs="Arial"/>
                <w:szCs w:val="20"/>
              </w:rPr>
            </w:pPr>
            <w:r w:rsidRPr="008D226A">
              <w:rPr>
                <w:rFonts w:cs="Arial"/>
                <w:szCs w:val="20"/>
              </w:rPr>
              <w:t>The databases include certified materials and systems holding an Environmental Product Declaration (EPD) or other equivalent certification. The categories currently covered include:</w:t>
            </w:r>
          </w:p>
          <w:p w14:paraId="253EBA49" w14:textId="77777777" w:rsidR="00F75306" w:rsidRPr="008D226A" w:rsidRDefault="00F75306" w:rsidP="00F75306">
            <w:pPr>
              <w:pStyle w:val="ListParagraph"/>
              <w:numPr>
                <w:ilvl w:val="0"/>
                <w:numId w:val="62"/>
              </w:numPr>
              <w:spacing w:before="60" w:after="60" w:line="240" w:lineRule="auto"/>
              <w:jc w:val="both"/>
              <w:rPr>
                <w:rFonts w:cs="Arial"/>
                <w:szCs w:val="20"/>
              </w:rPr>
            </w:pPr>
            <w:r w:rsidRPr="008D226A">
              <w:rPr>
                <w:rFonts w:cs="Arial"/>
                <w:szCs w:val="20"/>
              </w:rPr>
              <w:t>thermal insulation materials and systems for the external insulation of the building envelope;</w:t>
            </w:r>
          </w:p>
          <w:p w14:paraId="727D4594" w14:textId="77777777" w:rsidR="00F75306" w:rsidRPr="008D226A" w:rsidRDefault="00F75306" w:rsidP="00F75306">
            <w:pPr>
              <w:pStyle w:val="ListParagraph"/>
              <w:numPr>
                <w:ilvl w:val="0"/>
                <w:numId w:val="62"/>
              </w:numPr>
              <w:spacing w:before="60" w:after="60" w:line="240" w:lineRule="auto"/>
              <w:jc w:val="both"/>
              <w:rPr>
                <w:rFonts w:cs="Arial"/>
                <w:szCs w:val="20"/>
              </w:rPr>
            </w:pPr>
            <w:r w:rsidRPr="008D226A">
              <w:rPr>
                <w:rFonts w:cs="Arial"/>
                <w:szCs w:val="20"/>
              </w:rPr>
              <w:t>waterproofing materials and systems</w:t>
            </w:r>
          </w:p>
          <w:p w14:paraId="4AE32E69" w14:textId="77777777" w:rsidR="00F75306" w:rsidRPr="008D226A" w:rsidRDefault="00F75306" w:rsidP="00F75306">
            <w:pPr>
              <w:pStyle w:val="ListParagraph"/>
              <w:numPr>
                <w:ilvl w:val="0"/>
                <w:numId w:val="62"/>
              </w:numPr>
              <w:spacing w:before="60" w:after="60" w:line="240" w:lineRule="auto"/>
              <w:jc w:val="both"/>
              <w:rPr>
                <w:rFonts w:cs="Arial"/>
                <w:szCs w:val="20"/>
              </w:rPr>
            </w:pPr>
            <w:r w:rsidRPr="008D226A">
              <w:rPr>
                <w:rFonts w:cs="Arial"/>
                <w:szCs w:val="20"/>
              </w:rPr>
              <w:t>window frames</w:t>
            </w:r>
          </w:p>
          <w:p w14:paraId="08783E80" w14:textId="77777777" w:rsidR="00F75306" w:rsidRPr="008D226A" w:rsidRDefault="00F75306" w:rsidP="00F75306">
            <w:pPr>
              <w:pStyle w:val="ListParagraph"/>
              <w:numPr>
                <w:ilvl w:val="0"/>
                <w:numId w:val="62"/>
              </w:numPr>
              <w:spacing w:before="60" w:after="60" w:line="240" w:lineRule="auto"/>
              <w:jc w:val="both"/>
              <w:rPr>
                <w:rFonts w:cs="Arial"/>
                <w:szCs w:val="20"/>
              </w:rPr>
            </w:pPr>
            <w:r w:rsidRPr="008D226A">
              <w:rPr>
                <w:rFonts w:cs="Arial"/>
                <w:szCs w:val="20"/>
              </w:rPr>
              <w:t>shading materials and systems</w:t>
            </w:r>
          </w:p>
          <w:p w14:paraId="08026B80" w14:textId="77777777" w:rsidR="00F75306" w:rsidRPr="008D226A" w:rsidRDefault="00F75306" w:rsidP="00F75306">
            <w:pPr>
              <w:pStyle w:val="ListParagraph"/>
              <w:numPr>
                <w:ilvl w:val="0"/>
                <w:numId w:val="62"/>
              </w:numPr>
              <w:spacing w:before="60" w:after="60" w:line="240" w:lineRule="auto"/>
              <w:jc w:val="both"/>
              <w:rPr>
                <w:rFonts w:cs="Arial"/>
                <w:szCs w:val="20"/>
              </w:rPr>
            </w:pPr>
            <w:r w:rsidRPr="008D226A">
              <w:rPr>
                <w:rFonts w:cs="Arial"/>
                <w:szCs w:val="20"/>
              </w:rPr>
              <w:t>coating materials and adhesives</w:t>
            </w:r>
          </w:p>
          <w:p w14:paraId="5FE2CD6A" w14:textId="77777777" w:rsidR="00F75306" w:rsidRPr="008D226A" w:rsidRDefault="00F75306" w:rsidP="00F75306">
            <w:pPr>
              <w:pStyle w:val="ListParagraph"/>
              <w:numPr>
                <w:ilvl w:val="0"/>
                <w:numId w:val="62"/>
              </w:numPr>
              <w:spacing w:before="60" w:after="60" w:line="240" w:lineRule="auto"/>
              <w:jc w:val="both"/>
              <w:rPr>
                <w:rFonts w:cs="Arial"/>
                <w:szCs w:val="20"/>
              </w:rPr>
            </w:pPr>
            <w:r w:rsidRPr="008D226A">
              <w:rPr>
                <w:rFonts w:cs="Arial"/>
                <w:szCs w:val="20"/>
              </w:rPr>
              <w:t>dry construction materials and systems</w:t>
            </w:r>
          </w:p>
          <w:p w14:paraId="1AEF3307" w14:textId="77777777" w:rsidR="00F75306" w:rsidRPr="008D226A" w:rsidRDefault="00F75306" w:rsidP="00F75306">
            <w:pPr>
              <w:pStyle w:val="ListParagraph"/>
              <w:numPr>
                <w:ilvl w:val="0"/>
                <w:numId w:val="62"/>
              </w:numPr>
              <w:spacing w:before="60" w:after="60" w:line="240" w:lineRule="auto"/>
              <w:jc w:val="both"/>
              <w:rPr>
                <w:rFonts w:cs="Arial"/>
                <w:szCs w:val="20"/>
              </w:rPr>
            </w:pPr>
            <w:r w:rsidRPr="008D226A">
              <w:rPr>
                <w:rFonts w:cs="Arial"/>
                <w:szCs w:val="20"/>
              </w:rPr>
              <w:t>concrete products suitable for nZEB applications</w:t>
            </w:r>
          </w:p>
          <w:p w14:paraId="65854D03" w14:textId="77777777" w:rsidR="00F75306" w:rsidRPr="008D226A" w:rsidRDefault="00F75306" w:rsidP="00F75306">
            <w:pPr>
              <w:rPr>
                <w:rFonts w:cs="Arial"/>
                <w:szCs w:val="20"/>
              </w:rPr>
            </w:pPr>
            <w:r w:rsidRPr="008D226A">
              <w:rPr>
                <w:rFonts w:cs="Arial"/>
                <w:szCs w:val="20"/>
              </w:rPr>
              <w:t>For each category, the database includes an introductory note describing the main material types available and providing basic guidance on selection criteria and suitability of use. In the case of thermal insulation materials, for example, the introductory note presents the main options currently available on the Greek market, including biobased, natural, fossil-based and other conventional synthetic materials.</w:t>
            </w:r>
          </w:p>
          <w:p w14:paraId="45E85224" w14:textId="77777777" w:rsidR="00F75306" w:rsidRPr="008D226A" w:rsidRDefault="00F75306" w:rsidP="00F75306">
            <w:pPr>
              <w:rPr>
                <w:rFonts w:cs="Arial"/>
                <w:szCs w:val="20"/>
              </w:rPr>
            </w:pPr>
            <w:r w:rsidRPr="008D226A">
              <w:rPr>
                <w:rFonts w:cs="Arial"/>
                <w:szCs w:val="20"/>
              </w:rPr>
              <w:t>The databases are made available through the RenoInGR OSS platform at the following address:</w:t>
            </w:r>
          </w:p>
          <w:p w14:paraId="7CA4180D" w14:textId="77777777" w:rsidR="00F75306" w:rsidRDefault="00F75306" w:rsidP="00F75306">
            <w:pPr>
              <w:rPr>
                <w:rFonts w:cs="Arial"/>
                <w:szCs w:val="20"/>
              </w:rPr>
            </w:pPr>
            <w:hyperlink r:id="rId34" w:history="1">
              <w:r w:rsidRPr="00BE3B36">
                <w:rPr>
                  <w:rStyle w:val="Hyperlink"/>
                  <w:rFonts w:cs="Arial"/>
                  <w:szCs w:val="20"/>
                </w:rPr>
                <w:t>https://oss.renoingr.gr/low-embodied_carbon_materials/</w:t>
              </w:r>
            </w:hyperlink>
          </w:p>
          <w:p w14:paraId="3E3B96EB" w14:textId="77777777" w:rsidR="00F75306" w:rsidRPr="00237725" w:rsidRDefault="00F75306" w:rsidP="00F75306">
            <w:pPr>
              <w:spacing w:before="360" w:after="120"/>
              <w:rPr>
                <w:i/>
                <w:iCs/>
                <w:u w:val="single"/>
              </w:rPr>
            </w:pPr>
            <w:r w:rsidRPr="00237725">
              <w:rPr>
                <w:i/>
                <w:iCs/>
                <w:u w:val="single"/>
              </w:rPr>
              <w:t>Financing Options Assessment Tool</w:t>
            </w:r>
          </w:p>
          <w:p w14:paraId="0F199A4E" w14:textId="77777777" w:rsidR="00F75306" w:rsidRDefault="00F75306" w:rsidP="00F75306">
            <w:r w:rsidRPr="00CA0FD0">
              <w:t>Th</w:t>
            </w:r>
            <w:r>
              <w:t>e</w:t>
            </w:r>
            <w:r w:rsidRPr="00CA0FD0">
              <w:t xml:space="preserve"> financing tool </w:t>
            </w:r>
            <w:r>
              <w:t xml:space="preserve">is </w:t>
            </w:r>
            <w:r w:rsidRPr="00CA0FD0">
              <w:t xml:space="preserve">designed to assess and compare various financing plans for energy efficiency renovations in buildings. It is an easy-to-use tool developed in Excel, ensuring accessibility for users. </w:t>
            </w:r>
            <w:r>
              <w:t xml:space="preserve">A preliminary version of this </w:t>
            </w:r>
            <w:r w:rsidRPr="00CA0FD0">
              <w:t xml:space="preserve">tool was created as part of the PRODESA project, which </w:t>
            </w:r>
            <w:r>
              <w:t>was</w:t>
            </w:r>
            <w:r w:rsidRPr="00CA0FD0">
              <w:t xml:space="preserve"> funded under Grant Agreement No. 754171.</w:t>
            </w:r>
          </w:p>
          <w:p w14:paraId="64414926" w14:textId="77777777" w:rsidR="00F75306" w:rsidRDefault="00F75306" w:rsidP="00F75306">
            <w:r w:rsidRPr="00CA0FD0">
              <w:t>The RenoInGR project enhances this tool by improving its Excel modules, simplifying input data requirements, and updating the photovoltaic (PV) electricity supply models to align with recent regulatory changes. The tool is designed to be user-friendly, requiring minimal knowledge of economics, building engineering, or performance calculations.</w:t>
            </w:r>
          </w:p>
          <w:p w14:paraId="37A01417" w14:textId="77777777" w:rsidR="00F75306" w:rsidRDefault="00F75306" w:rsidP="00F75306">
            <w:r w:rsidRPr="00467A71">
              <w:t xml:space="preserve">The tool consists of three modules: one focused on energy efficiency measures for buildings, </w:t>
            </w:r>
            <w:r>
              <w:t>the second one is</w:t>
            </w:r>
            <w:r w:rsidRPr="00467A71">
              <w:t xml:space="preserve"> dedicated to PV electricity supply, and a third </w:t>
            </w:r>
            <w:r>
              <w:t xml:space="preserve">one </w:t>
            </w:r>
            <w:r w:rsidRPr="00467A71">
              <w:t xml:space="preserve">integrates data from the first two </w:t>
            </w:r>
            <w:r>
              <w:t>and</w:t>
            </w:r>
            <w:r w:rsidRPr="00467A71">
              <w:t xml:space="preserve"> automatically calculate</w:t>
            </w:r>
            <w:r>
              <w:t>s</w:t>
            </w:r>
            <w:r w:rsidRPr="00467A71">
              <w:t xml:space="preserve"> the overall costs and benefits for municipalities. These modules can be used individually for a single building or collectively for multiple buildings.</w:t>
            </w:r>
          </w:p>
          <w:p w14:paraId="132F95AB" w14:textId="77777777" w:rsidR="00F75306" w:rsidRDefault="00F75306" w:rsidP="00F75306">
            <w:r w:rsidRPr="00467A71">
              <w:lastRenderedPageBreak/>
              <w:t>While the tool is primarily intended for use by municipalities, it is also available to any interested party. However, users will need to adjust certain input data relevant to financing parameters, such as loan interest rates, accordingly.</w:t>
            </w:r>
          </w:p>
          <w:p w14:paraId="238D7666" w14:textId="77777777" w:rsidR="00F75306" w:rsidRPr="00DD189F" w:rsidRDefault="00F75306" w:rsidP="00F75306">
            <w:r w:rsidRPr="00DD189F">
              <w:t xml:space="preserve">The financing schemes that can be </w:t>
            </w:r>
            <w:r>
              <w:t>evaluat</w:t>
            </w:r>
            <w:r w:rsidRPr="00DD189F">
              <w:t xml:space="preserve">ed </w:t>
            </w:r>
            <w:r>
              <w:t>using this</w:t>
            </w:r>
            <w:r w:rsidRPr="00DD189F">
              <w:t xml:space="preserve"> tool are </w:t>
            </w:r>
          </w:p>
          <w:p w14:paraId="0503E027" w14:textId="77777777" w:rsidR="00F75306" w:rsidRPr="00DD189F" w:rsidRDefault="00F75306" w:rsidP="00F75306">
            <w:pPr>
              <w:pStyle w:val="ListParagraph"/>
              <w:numPr>
                <w:ilvl w:val="0"/>
                <w:numId w:val="63"/>
              </w:numPr>
              <w:spacing w:before="60" w:after="60" w:line="240" w:lineRule="auto"/>
              <w:jc w:val="both"/>
            </w:pPr>
            <w:r w:rsidRPr="00DD189F">
              <w:t>Debt financing</w:t>
            </w:r>
          </w:p>
          <w:p w14:paraId="00BAFB62" w14:textId="77777777" w:rsidR="00F75306" w:rsidRPr="00DD189F" w:rsidRDefault="00F75306" w:rsidP="00F75306">
            <w:pPr>
              <w:pStyle w:val="ListParagraph"/>
              <w:numPr>
                <w:ilvl w:val="0"/>
                <w:numId w:val="63"/>
              </w:numPr>
              <w:spacing w:before="60" w:after="60" w:line="240" w:lineRule="auto"/>
              <w:jc w:val="both"/>
            </w:pPr>
            <w:r w:rsidRPr="00DD189F">
              <w:t>Third party financing through Energy Performance Contracting (EnPC)</w:t>
            </w:r>
          </w:p>
          <w:p w14:paraId="204A8F75" w14:textId="77777777" w:rsidR="00F75306" w:rsidRPr="00DD189F" w:rsidRDefault="00F75306" w:rsidP="00F75306">
            <w:pPr>
              <w:pStyle w:val="ListParagraph"/>
              <w:numPr>
                <w:ilvl w:val="0"/>
                <w:numId w:val="63"/>
              </w:numPr>
              <w:spacing w:before="60" w:after="60" w:line="240" w:lineRule="auto"/>
              <w:jc w:val="both"/>
            </w:pPr>
            <w:r w:rsidRPr="00DD189F">
              <w:t xml:space="preserve">Blended financing </w:t>
            </w:r>
          </w:p>
          <w:p w14:paraId="676E3F77" w14:textId="77777777" w:rsidR="00F75306" w:rsidRDefault="00F75306" w:rsidP="00F75306">
            <w:pPr>
              <w:pStyle w:val="ListParagraph"/>
              <w:numPr>
                <w:ilvl w:val="0"/>
                <w:numId w:val="63"/>
              </w:numPr>
              <w:spacing w:before="60" w:after="60" w:line="240" w:lineRule="auto"/>
              <w:jc w:val="both"/>
            </w:pPr>
            <w:r w:rsidRPr="00DD189F">
              <w:t>Mixed financing</w:t>
            </w:r>
          </w:p>
          <w:p w14:paraId="0B8593E9" w14:textId="77777777" w:rsidR="00F75306" w:rsidRPr="00DD189F" w:rsidRDefault="00F75306" w:rsidP="00F75306">
            <w:pPr>
              <w:ind w:left="360"/>
            </w:pPr>
          </w:p>
          <w:p w14:paraId="1E87FB02" w14:textId="77777777" w:rsidR="00F75306" w:rsidRDefault="00F75306" w:rsidP="00F75306">
            <w:pPr>
              <w:pBdr>
                <w:top w:val="single" w:sz="4" w:space="1" w:color="FFC000"/>
                <w:bottom w:val="single" w:sz="4" w:space="1" w:color="FFC000"/>
              </w:pBdr>
              <w:shd w:val="clear" w:color="auto" w:fill="F2F2F2" w:themeFill="background1" w:themeFillShade="F2"/>
            </w:pPr>
            <w:r>
              <w:t xml:space="preserve">The tool is accompanied by an operation manual drafted in Greek and English as part of the </w:t>
            </w:r>
            <w:r w:rsidRPr="007D2824">
              <w:rPr>
                <w:b/>
                <w:bCs/>
              </w:rPr>
              <w:t>deliverable D3.6</w:t>
            </w:r>
            <w:r>
              <w:t xml:space="preserve"> that was approved by the Project Advisor.</w:t>
            </w:r>
          </w:p>
          <w:p w14:paraId="61B53964" w14:textId="77777777" w:rsidR="00F75306" w:rsidRPr="0087789D" w:rsidRDefault="00F75306" w:rsidP="00F75306">
            <w:pPr>
              <w:spacing w:before="240"/>
              <w:rPr>
                <w:i/>
                <w:iCs/>
              </w:rPr>
            </w:pPr>
            <w:r w:rsidRPr="0087789D">
              <w:rPr>
                <w:i/>
                <w:iCs/>
              </w:rPr>
              <w:t>Assumptions used and presentation of the modules</w:t>
            </w:r>
          </w:p>
          <w:p w14:paraId="00679DFA" w14:textId="77777777" w:rsidR="00F75306" w:rsidRDefault="00F75306" w:rsidP="00F75306">
            <w:r w:rsidRPr="00467A71">
              <w:t>The assumptions underlying the calculations are provided below, along with instructions for effectively using these tools. Efforts have been made to minimize the involvement of municipalities in calculating the energy and financial benefits of adopting these measures.</w:t>
            </w:r>
          </w:p>
          <w:p w14:paraId="222441D6" w14:textId="77777777" w:rsidR="00F75306" w:rsidRDefault="00F75306" w:rsidP="00F75306">
            <w:r w:rsidRPr="00467A71">
              <w:t>The modules are designed to minimi</w:t>
            </w:r>
            <w:r>
              <w:t>s</w:t>
            </w:r>
            <w:r w:rsidRPr="00467A71">
              <w:t xml:space="preserve">e user effort regarding data input and interpretation of results. </w:t>
            </w:r>
            <w:r>
              <w:t>As t</w:t>
            </w:r>
            <w:r w:rsidRPr="00467A71">
              <w:t>heir primary focus is on evaluating financing plans</w:t>
            </w:r>
            <w:r>
              <w:t>,</w:t>
            </w:r>
            <w:r w:rsidRPr="00467A71">
              <w:t xml:space="preserve"> </w:t>
            </w:r>
            <w:r>
              <w:t>data on building</w:t>
            </w:r>
            <w:r w:rsidRPr="00467A71">
              <w:t xml:space="preserve"> energy consumption before and after any interventions is an essential input for the "Building Module." </w:t>
            </w:r>
            <w:r>
              <w:t xml:space="preserve"> This is somewhat demanding effort, but i</w:t>
            </w:r>
            <w:r w:rsidRPr="00467A71">
              <w:t>f the tool were to</w:t>
            </w:r>
            <w:r>
              <w:t xml:space="preserve"> calculate these parameters, it would</w:t>
            </w:r>
            <w:r w:rsidRPr="00467A71">
              <w:t xml:space="preserve"> include comprehensive building codes, such as the KENAK energy performance calculation model, </w:t>
            </w:r>
            <w:r>
              <w:t xml:space="preserve">and therefore, </w:t>
            </w:r>
            <w:r w:rsidRPr="00467A71">
              <w:t>necessitate a similarly complex data input module, which is beyond the scope of the RenoInGR project.</w:t>
            </w:r>
          </w:p>
          <w:p w14:paraId="63FE6331" w14:textId="77777777" w:rsidR="00F75306" w:rsidRDefault="00F75306" w:rsidP="00F75306">
            <w:r w:rsidRPr="00DB0CBB">
              <w:t xml:space="preserve">On the other hand, the “PV Module” calculates the </w:t>
            </w:r>
            <w:r>
              <w:t>electrical energy</w:t>
            </w:r>
            <w:r w:rsidRPr="00DB0CBB">
              <w:t xml:space="preserve"> generated by the photovoltaic (PV) plant as well as the energy consumed based on the building's usage, using a representative consumption profile. However, users have the option to input a specific consumption profile for their building, based on hourly values for a typical day, if they prefer.</w:t>
            </w:r>
          </w:p>
          <w:p w14:paraId="31303CB9" w14:textId="77777777" w:rsidR="00F75306" w:rsidRPr="00AA3F73" w:rsidRDefault="00F75306" w:rsidP="00F75306">
            <w:pPr>
              <w:spacing w:before="360" w:after="120"/>
              <w:rPr>
                <w:i/>
                <w:iCs/>
              </w:rPr>
            </w:pPr>
            <w:r w:rsidRPr="00AA3F73">
              <w:rPr>
                <w:i/>
                <w:iCs/>
              </w:rPr>
              <w:t>Assumptions</w:t>
            </w:r>
          </w:p>
          <w:p w14:paraId="22964A98" w14:textId="77777777" w:rsidR="00F75306" w:rsidRDefault="00F75306" w:rsidP="00F75306">
            <w:r w:rsidRPr="00DB0CBB">
              <w:t>The assumptions listed below are treated as "input data" in the EXCEL modules and can be easily modified by users.</w:t>
            </w:r>
            <w:r>
              <w:t xml:space="preserve"> </w:t>
            </w:r>
          </w:p>
          <w:p w14:paraId="7AB86455" w14:textId="77777777" w:rsidR="00F75306" w:rsidRDefault="00F75306" w:rsidP="00F75306"/>
          <w:p w14:paraId="0EEE1D26" w14:textId="77777777" w:rsidR="00F75306" w:rsidRDefault="00F75306" w:rsidP="00F75306">
            <w:pPr>
              <w:pStyle w:val="Caption"/>
            </w:pPr>
            <w:r>
              <w:t>Table 3.4 “Assumptions used for the economic assessment”</w:t>
            </w:r>
          </w:p>
          <w:tbl>
            <w:tblPr>
              <w:tblStyle w:val="TableGrid"/>
              <w:tblW w:w="0" w:type="auto"/>
              <w:tblInd w:w="360" w:type="dxa"/>
              <w:tblBorders>
                <w:top w:val="single" w:sz="4" w:space="0" w:color="FFC20C"/>
                <w:left w:val="single" w:sz="4" w:space="0" w:color="FFC20C"/>
                <w:bottom w:val="single" w:sz="4" w:space="0" w:color="FFC20C"/>
                <w:right w:val="single" w:sz="4" w:space="0" w:color="FFC20C"/>
                <w:insideH w:val="none" w:sz="0" w:space="0" w:color="auto"/>
                <w:insideV w:val="single" w:sz="4" w:space="0" w:color="FFC20C"/>
              </w:tblBorders>
              <w:tblLook w:val="04A0" w:firstRow="1" w:lastRow="0" w:firstColumn="1" w:lastColumn="0" w:noHBand="0" w:noVBand="1"/>
            </w:tblPr>
            <w:tblGrid>
              <w:gridCol w:w="3415"/>
              <w:gridCol w:w="2013"/>
              <w:gridCol w:w="2706"/>
            </w:tblGrid>
            <w:tr w:rsidR="00F75306" w14:paraId="69D72640" w14:textId="77777777" w:rsidTr="00E12D37">
              <w:tc>
                <w:tcPr>
                  <w:tcW w:w="3415" w:type="dxa"/>
                  <w:shd w:val="clear" w:color="auto" w:fill="FFC20C"/>
                </w:tcPr>
                <w:p w14:paraId="5FE0EF7A" w14:textId="77777777" w:rsidR="00F75306" w:rsidRDefault="00F75306" w:rsidP="00F75306"/>
              </w:tc>
              <w:tc>
                <w:tcPr>
                  <w:tcW w:w="2013" w:type="dxa"/>
                  <w:shd w:val="clear" w:color="auto" w:fill="FFC20C"/>
                </w:tcPr>
                <w:p w14:paraId="53500FC2" w14:textId="77777777" w:rsidR="00F75306" w:rsidRDefault="00F75306" w:rsidP="00F75306"/>
              </w:tc>
              <w:tc>
                <w:tcPr>
                  <w:tcW w:w="2706" w:type="dxa"/>
                  <w:shd w:val="clear" w:color="auto" w:fill="FFC20C"/>
                </w:tcPr>
                <w:p w14:paraId="417969A8" w14:textId="77777777" w:rsidR="00F75306" w:rsidRPr="00B90950" w:rsidRDefault="00F75306" w:rsidP="00F75306">
                  <w:pPr>
                    <w:rPr>
                      <w:b/>
                      <w:bCs/>
                    </w:rPr>
                  </w:pPr>
                  <w:r w:rsidRPr="00B90950">
                    <w:rPr>
                      <w:b/>
                      <w:bCs/>
                    </w:rPr>
                    <w:t>Comments</w:t>
                  </w:r>
                </w:p>
              </w:tc>
            </w:tr>
            <w:tr w:rsidR="00F75306" w14:paraId="7DEC7FD2" w14:textId="77777777" w:rsidTr="00E12D37">
              <w:tc>
                <w:tcPr>
                  <w:tcW w:w="3415" w:type="dxa"/>
                </w:tcPr>
                <w:p w14:paraId="7DE34561" w14:textId="77777777" w:rsidR="00F75306" w:rsidRDefault="00F75306" w:rsidP="00F75306">
                  <w:r w:rsidRPr="00910A0B">
                    <w:t>Average annual inflation rate</w:t>
                  </w:r>
                </w:p>
              </w:tc>
              <w:tc>
                <w:tcPr>
                  <w:tcW w:w="2013" w:type="dxa"/>
                </w:tcPr>
                <w:p w14:paraId="12E99C2B" w14:textId="77777777" w:rsidR="00F75306" w:rsidRDefault="00F75306" w:rsidP="00F75306">
                  <w:pPr>
                    <w:jc w:val="right"/>
                  </w:pPr>
                  <w:r>
                    <w:t>2%</w:t>
                  </w:r>
                </w:p>
              </w:tc>
              <w:tc>
                <w:tcPr>
                  <w:tcW w:w="2706" w:type="dxa"/>
                </w:tcPr>
                <w:p w14:paraId="2718CFE6" w14:textId="77777777" w:rsidR="00F75306" w:rsidRDefault="00F75306" w:rsidP="00F75306"/>
              </w:tc>
            </w:tr>
            <w:tr w:rsidR="00F75306" w14:paraId="28C70069" w14:textId="77777777" w:rsidTr="00E12D37">
              <w:tc>
                <w:tcPr>
                  <w:tcW w:w="3415" w:type="dxa"/>
                </w:tcPr>
                <w:p w14:paraId="74F09040" w14:textId="77777777" w:rsidR="00F75306" w:rsidRDefault="00F75306" w:rsidP="00F75306">
                  <w:r w:rsidRPr="00910A0B">
                    <w:t>Discount interest rate</w:t>
                  </w:r>
                  <w:r>
                    <w:t xml:space="preserve"> for municipalities</w:t>
                  </w:r>
                </w:p>
              </w:tc>
              <w:tc>
                <w:tcPr>
                  <w:tcW w:w="2013" w:type="dxa"/>
                </w:tcPr>
                <w:p w14:paraId="4BDAD5EB" w14:textId="77777777" w:rsidR="00F75306" w:rsidRDefault="00F75306" w:rsidP="00F75306">
                  <w:pPr>
                    <w:jc w:val="right"/>
                  </w:pPr>
                  <w:r>
                    <w:t>5%</w:t>
                  </w:r>
                </w:p>
              </w:tc>
              <w:tc>
                <w:tcPr>
                  <w:tcW w:w="2706" w:type="dxa"/>
                </w:tcPr>
                <w:p w14:paraId="254D7D27" w14:textId="77777777" w:rsidR="00F75306" w:rsidRDefault="00F75306" w:rsidP="00F75306"/>
              </w:tc>
            </w:tr>
            <w:tr w:rsidR="00F75306" w14:paraId="66FA4114" w14:textId="77777777" w:rsidTr="00E12D37">
              <w:tc>
                <w:tcPr>
                  <w:tcW w:w="3415" w:type="dxa"/>
                </w:tcPr>
                <w:p w14:paraId="75677B4E" w14:textId="77777777" w:rsidR="00F75306" w:rsidRDefault="00F75306" w:rsidP="00F75306">
                  <w:r w:rsidRPr="00910A0B">
                    <w:t>Discount interest rate</w:t>
                  </w:r>
                  <w:r>
                    <w:t xml:space="preserve"> for ESCOs</w:t>
                  </w:r>
                </w:p>
              </w:tc>
              <w:tc>
                <w:tcPr>
                  <w:tcW w:w="2013" w:type="dxa"/>
                </w:tcPr>
                <w:p w14:paraId="1DF26443" w14:textId="77777777" w:rsidR="00F75306" w:rsidRDefault="00F75306" w:rsidP="00F75306">
                  <w:pPr>
                    <w:jc w:val="right"/>
                  </w:pPr>
                </w:p>
              </w:tc>
              <w:tc>
                <w:tcPr>
                  <w:tcW w:w="2706" w:type="dxa"/>
                </w:tcPr>
                <w:p w14:paraId="76FD1ACE" w14:textId="77777777" w:rsidR="00F75306" w:rsidRDefault="00F75306" w:rsidP="00F75306"/>
              </w:tc>
            </w:tr>
            <w:tr w:rsidR="00F75306" w14:paraId="0250ECAD" w14:textId="77777777" w:rsidTr="00E12D37">
              <w:tc>
                <w:tcPr>
                  <w:tcW w:w="3415" w:type="dxa"/>
                </w:tcPr>
                <w:p w14:paraId="299F7A01" w14:textId="77777777" w:rsidR="00F75306" w:rsidRDefault="00F75306" w:rsidP="00F75306">
                  <w:r w:rsidRPr="00910A0B">
                    <w:t xml:space="preserve">Interest rate </w:t>
                  </w:r>
                  <w:r>
                    <w:t xml:space="preserve">for </w:t>
                  </w:r>
                  <w:r w:rsidRPr="00910A0B">
                    <w:t>the Contractor’s loan</w:t>
                  </w:r>
                </w:p>
              </w:tc>
              <w:tc>
                <w:tcPr>
                  <w:tcW w:w="2013" w:type="dxa"/>
                </w:tcPr>
                <w:p w14:paraId="661834C1" w14:textId="77777777" w:rsidR="00F75306" w:rsidRDefault="00F75306" w:rsidP="00F75306">
                  <w:pPr>
                    <w:jc w:val="right"/>
                  </w:pPr>
                  <w:r>
                    <w:t>6%</w:t>
                  </w:r>
                </w:p>
              </w:tc>
              <w:tc>
                <w:tcPr>
                  <w:tcW w:w="2706" w:type="dxa"/>
                </w:tcPr>
                <w:p w14:paraId="49ACB963" w14:textId="77777777" w:rsidR="00F75306" w:rsidRDefault="00F75306" w:rsidP="00F75306"/>
              </w:tc>
            </w:tr>
            <w:tr w:rsidR="00F75306" w14:paraId="1C9BAACB" w14:textId="77777777" w:rsidTr="00E12D37">
              <w:tc>
                <w:tcPr>
                  <w:tcW w:w="3415" w:type="dxa"/>
                </w:tcPr>
                <w:p w14:paraId="759456ED" w14:textId="77777777" w:rsidR="00F75306" w:rsidRDefault="00F75306" w:rsidP="00F75306">
                  <w:r w:rsidRPr="00910A0B">
                    <w:lastRenderedPageBreak/>
                    <w:t xml:space="preserve">Interest rate </w:t>
                  </w:r>
                  <w:r>
                    <w:t xml:space="preserve">for </w:t>
                  </w:r>
                  <w:r w:rsidRPr="00910A0B">
                    <w:t xml:space="preserve">the </w:t>
                  </w:r>
                  <w:r>
                    <w:t>Municipality’s</w:t>
                  </w:r>
                  <w:r w:rsidRPr="00910A0B">
                    <w:t xml:space="preserve"> loan</w:t>
                  </w:r>
                </w:p>
              </w:tc>
              <w:tc>
                <w:tcPr>
                  <w:tcW w:w="2013" w:type="dxa"/>
                </w:tcPr>
                <w:p w14:paraId="56D7B723" w14:textId="77777777" w:rsidR="00F75306" w:rsidRDefault="00F75306" w:rsidP="00F75306">
                  <w:pPr>
                    <w:jc w:val="right"/>
                  </w:pPr>
                  <w:r>
                    <w:t>3.8%</w:t>
                  </w:r>
                </w:p>
              </w:tc>
              <w:tc>
                <w:tcPr>
                  <w:tcW w:w="2706" w:type="dxa"/>
                </w:tcPr>
                <w:p w14:paraId="2C999FFE" w14:textId="77777777" w:rsidR="00F75306" w:rsidRDefault="00F75306" w:rsidP="00F75306"/>
              </w:tc>
            </w:tr>
            <w:tr w:rsidR="00F75306" w14:paraId="3AB939EF" w14:textId="77777777" w:rsidTr="00E12D37">
              <w:tc>
                <w:tcPr>
                  <w:tcW w:w="3415" w:type="dxa"/>
                </w:tcPr>
                <w:p w14:paraId="1AF3E738" w14:textId="77777777" w:rsidR="00F75306" w:rsidRDefault="00F75306" w:rsidP="00F75306">
                  <w:r>
                    <w:t xml:space="preserve">Cost of electricity </w:t>
                  </w:r>
                </w:p>
              </w:tc>
              <w:tc>
                <w:tcPr>
                  <w:tcW w:w="2013" w:type="dxa"/>
                </w:tcPr>
                <w:p w14:paraId="19FA0F09" w14:textId="77777777" w:rsidR="00F75306" w:rsidRDefault="00F75306" w:rsidP="00F75306">
                  <w:pPr>
                    <w:jc w:val="right"/>
                  </w:pPr>
                  <w:r>
                    <w:rPr>
                      <w:rFonts w:cstheme="minorHAnsi"/>
                    </w:rPr>
                    <w:t>€</w:t>
                  </w:r>
                  <w:r>
                    <w:t>0.157/kWh</w:t>
                  </w:r>
                </w:p>
              </w:tc>
              <w:tc>
                <w:tcPr>
                  <w:tcW w:w="2706" w:type="dxa"/>
                </w:tcPr>
                <w:p w14:paraId="291F8EE2" w14:textId="77777777" w:rsidR="00F75306" w:rsidRDefault="00F75306" w:rsidP="00F75306"/>
              </w:tc>
            </w:tr>
            <w:tr w:rsidR="00F75306" w14:paraId="04DE07AD" w14:textId="77777777" w:rsidTr="00E12D37">
              <w:tc>
                <w:tcPr>
                  <w:tcW w:w="3415" w:type="dxa"/>
                </w:tcPr>
                <w:p w14:paraId="6EF06AC0" w14:textId="77777777" w:rsidR="00F75306" w:rsidRDefault="00F75306" w:rsidP="00F75306">
                  <w:r>
                    <w:t>Annual electricity tariff increase</w:t>
                  </w:r>
                </w:p>
              </w:tc>
              <w:tc>
                <w:tcPr>
                  <w:tcW w:w="2013" w:type="dxa"/>
                </w:tcPr>
                <w:p w14:paraId="183C3B4B" w14:textId="77777777" w:rsidR="00F75306" w:rsidRDefault="00F75306" w:rsidP="00F75306">
                  <w:pPr>
                    <w:jc w:val="right"/>
                  </w:pPr>
                  <w:r>
                    <w:t>0.4%</w:t>
                  </w:r>
                </w:p>
              </w:tc>
              <w:tc>
                <w:tcPr>
                  <w:tcW w:w="2706" w:type="dxa"/>
                </w:tcPr>
                <w:p w14:paraId="59BB6351" w14:textId="77777777" w:rsidR="00F75306" w:rsidRDefault="00F75306" w:rsidP="00F75306"/>
              </w:tc>
            </w:tr>
            <w:tr w:rsidR="00F75306" w14:paraId="2609FAC9" w14:textId="77777777" w:rsidTr="00E12D37">
              <w:tc>
                <w:tcPr>
                  <w:tcW w:w="3415" w:type="dxa"/>
                </w:tcPr>
                <w:p w14:paraId="54D924E1" w14:textId="77777777" w:rsidR="00F75306" w:rsidRDefault="00F75306" w:rsidP="00F75306">
                  <w:r>
                    <w:t>Cost of natural gas</w:t>
                  </w:r>
                </w:p>
              </w:tc>
              <w:tc>
                <w:tcPr>
                  <w:tcW w:w="2013" w:type="dxa"/>
                </w:tcPr>
                <w:p w14:paraId="2968ABF3" w14:textId="77777777" w:rsidR="00F75306" w:rsidRDefault="00F75306" w:rsidP="00F75306">
                  <w:pPr>
                    <w:jc w:val="right"/>
                  </w:pPr>
                  <w:r>
                    <w:rPr>
                      <w:rFonts w:cstheme="minorHAnsi"/>
                    </w:rPr>
                    <w:t>€</w:t>
                  </w:r>
                  <w:r>
                    <w:t>0.081/kWh</w:t>
                  </w:r>
                </w:p>
              </w:tc>
              <w:tc>
                <w:tcPr>
                  <w:tcW w:w="2706" w:type="dxa"/>
                </w:tcPr>
                <w:p w14:paraId="2F994572" w14:textId="77777777" w:rsidR="00F75306" w:rsidRDefault="00F75306" w:rsidP="00F75306"/>
              </w:tc>
            </w:tr>
            <w:tr w:rsidR="00F75306" w14:paraId="115B40D5" w14:textId="77777777" w:rsidTr="00E12D37">
              <w:tc>
                <w:tcPr>
                  <w:tcW w:w="3415" w:type="dxa"/>
                </w:tcPr>
                <w:p w14:paraId="67E6B8B9" w14:textId="77777777" w:rsidR="00F75306" w:rsidRDefault="00F75306" w:rsidP="00F75306">
                  <w:r>
                    <w:t>Annual natural gas price increase</w:t>
                  </w:r>
                </w:p>
              </w:tc>
              <w:tc>
                <w:tcPr>
                  <w:tcW w:w="2013" w:type="dxa"/>
                </w:tcPr>
                <w:p w14:paraId="19498AE5" w14:textId="77777777" w:rsidR="00F75306" w:rsidRDefault="00F75306" w:rsidP="00F75306">
                  <w:pPr>
                    <w:jc w:val="right"/>
                  </w:pPr>
                  <w:r>
                    <w:t>0.4%</w:t>
                  </w:r>
                </w:p>
              </w:tc>
              <w:tc>
                <w:tcPr>
                  <w:tcW w:w="2706" w:type="dxa"/>
                </w:tcPr>
                <w:p w14:paraId="35622612" w14:textId="77777777" w:rsidR="00F75306" w:rsidRDefault="00F75306" w:rsidP="00F75306"/>
              </w:tc>
            </w:tr>
            <w:tr w:rsidR="00F75306" w14:paraId="4DA73E10" w14:textId="77777777" w:rsidTr="00E12D37">
              <w:tc>
                <w:tcPr>
                  <w:tcW w:w="3415" w:type="dxa"/>
                </w:tcPr>
                <w:p w14:paraId="74D2D902" w14:textId="77777777" w:rsidR="00F75306" w:rsidRDefault="00F75306" w:rsidP="00F75306">
                  <w:r>
                    <w:t>Cost of heating oil</w:t>
                  </w:r>
                </w:p>
              </w:tc>
              <w:tc>
                <w:tcPr>
                  <w:tcW w:w="2013" w:type="dxa"/>
                </w:tcPr>
                <w:p w14:paraId="57DC1351" w14:textId="77777777" w:rsidR="00F75306" w:rsidRDefault="00F75306" w:rsidP="00F75306">
                  <w:pPr>
                    <w:jc w:val="right"/>
                  </w:pPr>
                  <w:r>
                    <w:rPr>
                      <w:rFonts w:cstheme="minorHAnsi"/>
                    </w:rPr>
                    <w:t>€</w:t>
                  </w:r>
                  <w:r>
                    <w:t>1200/klt</w:t>
                  </w:r>
                </w:p>
              </w:tc>
              <w:tc>
                <w:tcPr>
                  <w:tcW w:w="2706" w:type="dxa"/>
                </w:tcPr>
                <w:p w14:paraId="30DDF25A" w14:textId="77777777" w:rsidR="00F75306" w:rsidRDefault="00F75306" w:rsidP="00F75306"/>
              </w:tc>
            </w:tr>
            <w:tr w:rsidR="00F75306" w14:paraId="23BB5A5F" w14:textId="77777777" w:rsidTr="00E12D37">
              <w:tc>
                <w:tcPr>
                  <w:tcW w:w="3415" w:type="dxa"/>
                </w:tcPr>
                <w:p w14:paraId="2404BDB6" w14:textId="77777777" w:rsidR="00F75306" w:rsidRDefault="00F75306" w:rsidP="00F75306">
                  <w:r>
                    <w:t>Annual heating oil price increase</w:t>
                  </w:r>
                </w:p>
              </w:tc>
              <w:tc>
                <w:tcPr>
                  <w:tcW w:w="2013" w:type="dxa"/>
                </w:tcPr>
                <w:p w14:paraId="64EEB70C" w14:textId="77777777" w:rsidR="00F75306" w:rsidRDefault="00F75306" w:rsidP="00F75306">
                  <w:pPr>
                    <w:jc w:val="right"/>
                  </w:pPr>
                  <w:r>
                    <w:t>0.4%</w:t>
                  </w:r>
                </w:p>
              </w:tc>
              <w:tc>
                <w:tcPr>
                  <w:tcW w:w="2706" w:type="dxa"/>
                </w:tcPr>
                <w:p w14:paraId="34F12F96" w14:textId="77777777" w:rsidR="00F75306" w:rsidRDefault="00F75306" w:rsidP="00F75306"/>
              </w:tc>
            </w:tr>
            <w:tr w:rsidR="00F75306" w14:paraId="45555355" w14:textId="77777777" w:rsidTr="00E12D37">
              <w:tc>
                <w:tcPr>
                  <w:tcW w:w="3415" w:type="dxa"/>
                </w:tcPr>
                <w:p w14:paraId="6586AFEC" w14:textId="77777777" w:rsidR="00F75306" w:rsidRDefault="00F75306" w:rsidP="00F75306">
                  <w:r>
                    <w:t xml:space="preserve">20-year average wholesale electricity price </w:t>
                  </w:r>
                </w:p>
              </w:tc>
              <w:tc>
                <w:tcPr>
                  <w:tcW w:w="2013" w:type="dxa"/>
                </w:tcPr>
                <w:p w14:paraId="7B17E086" w14:textId="77777777" w:rsidR="00F75306" w:rsidRDefault="00F75306" w:rsidP="00F75306">
                  <w:pPr>
                    <w:jc w:val="right"/>
                  </w:pPr>
                  <w:r>
                    <w:t>€90/MWh</w:t>
                  </w:r>
                </w:p>
              </w:tc>
              <w:tc>
                <w:tcPr>
                  <w:tcW w:w="2706" w:type="dxa"/>
                </w:tcPr>
                <w:p w14:paraId="5E0D752E" w14:textId="77777777" w:rsidR="00F75306" w:rsidRDefault="00F75306" w:rsidP="00F75306">
                  <w:r>
                    <w:t>This is the average price from various simulation models under different scenarios (e.g. Afry, Aurora, Baringa, University of Thessaloniki). It can be changed as a variable by the user.</w:t>
                  </w:r>
                </w:p>
              </w:tc>
            </w:tr>
          </w:tbl>
          <w:p w14:paraId="756AB3C0" w14:textId="77777777" w:rsidR="00F75306" w:rsidRPr="00AA3F73" w:rsidRDefault="00F75306" w:rsidP="00F75306">
            <w:pPr>
              <w:spacing w:before="360" w:after="120"/>
              <w:rPr>
                <w:i/>
                <w:iCs/>
              </w:rPr>
            </w:pPr>
            <w:r w:rsidRPr="00AA3F73">
              <w:rPr>
                <w:i/>
                <w:iCs/>
              </w:rPr>
              <w:t>The Building Module</w:t>
            </w:r>
          </w:p>
          <w:p w14:paraId="197EBEB8" w14:textId="77777777" w:rsidR="00F75306" w:rsidRDefault="00F75306" w:rsidP="00F75306">
            <w:r w:rsidRPr="00412B60">
              <w:t>The user is presented with three sheets, in addition to the cover page. The first sheet is the "Input-Output" sheet, where the user selects a financing plan from the dropdown menu. The options include debt financing, private financing through Energy Performance Contracting, and mixed financing. Additionally, the user can also select options such as public grants and equity as part of these financing plans.</w:t>
            </w:r>
          </w:p>
          <w:p w14:paraId="2E6756F6" w14:textId="77777777" w:rsidR="00F75306" w:rsidRDefault="00F75306" w:rsidP="00F75306">
            <w:r w:rsidRPr="00412B60">
              <w:t>Next, the user enters energy consumption data and any other parameters highlighted in red. All parameters that require input from the user are marked in red, while parameters that are automatically calculated by Excel are shown in black. The user has the option to change any default values if they are not satisfactory</w:t>
            </w:r>
            <w:r>
              <w:t>.</w:t>
            </w:r>
          </w:p>
          <w:p w14:paraId="4D7FE519" w14:textId="77777777" w:rsidR="00F75306" w:rsidRDefault="00F75306" w:rsidP="00F75306">
            <w:pPr>
              <w:keepNext/>
              <w:spacing w:after="0" w:line="288" w:lineRule="auto"/>
              <w:rPr>
                <w:lang w:val="el-GR"/>
              </w:rPr>
            </w:pPr>
            <w:r w:rsidRPr="00122C51">
              <w:rPr>
                <w:noProof/>
              </w:rPr>
              <w:lastRenderedPageBreak/>
              <w:drawing>
                <wp:inline distT="0" distB="0" distL="0" distR="0" wp14:anchorId="60D484C6" wp14:editId="53F697E4">
                  <wp:extent cx="5573634" cy="5429755"/>
                  <wp:effectExtent l="0" t="0" r="8255" b="0"/>
                  <wp:docPr id="12356291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575806" cy="5431871"/>
                          </a:xfrm>
                          <a:prstGeom prst="rect">
                            <a:avLst/>
                          </a:prstGeom>
                          <a:noFill/>
                          <a:ln>
                            <a:noFill/>
                          </a:ln>
                        </pic:spPr>
                      </pic:pic>
                    </a:graphicData>
                  </a:graphic>
                </wp:inline>
              </w:drawing>
            </w:r>
          </w:p>
          <w:p w14:paraId="3E84BFBB" w14:textId="77777777" w:rsidR="00F75306" w:rsidRDefault="00F75306" w:rsidP="00F75306">
            <w:pPr>
              <w:rPr>
                <w:lang w:val="el-GR"/>
              </w:rPr>
            </w:pPr>
            <w:r w:rsidRPr="00122C51">
              <w:rPr>
                <w:noProof/>
              </w:rPr>
              <w:drawing>
                <wp:inline distT="0" distB="0" distL="0" distR="0" wp14:anchorId="362DD840" wp14:editId="17CDE199">
                  <wp:extent cx="5573395" cy="1840715"/>
                  <wp:effectExtent l="0" t="0" r="0" b="7620"/>
                  <wp:docPr id="198928100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583750" cy="1844135"/>
                          </a:xfrm>
                          <a:prstGeom prst="rect">
                            <a:avLst/>
                          </a:prstGeom>
                          <a:noFill/>
                          <a:ln>
                            <a:noFill/>
                          </a:ln>
                        </pic:spPr>
                      </pic:pic>
                    </a:graphicData>
                  </a:graphic>
                </wp:inline>
              </w:drawing>
            </w:r>
          </w:p>
          <w:p w14:paraId="05BC4600" w14:textId="77777777" w:rsidR="00F75306" w:rsidRDefault="00F75306" w:rsidP="00F75306">
            <w:pPr>
              <w:pStyle w:val="Caption"/>
            </w:pPr>
            <w:r>
              <w:t>Fig. 3.6</w:t>
            </w:r>
            <w:r w:rsidRPr="00AA3F73">
              <w:t xml:space="preserve"> </w:t>
            </w:r>
            <w:r>
              <w:t>“</w:t>
            </w:r>
            <w:r w:rsidRPr="00A06B16">
              <w:t>Screen shot of the input -output work sheet of the Building Module”</w:t>
            </w:r>
          </w:p>
          <w:p w14:paraId="22D6120B" w14:textId="77777777" w:rsidR="00F75306" w:rsidRDefault="00F75306" w:rsidP="00F75306"/>
          <w:p w14:paraId="097EF1A3" w14:textId="77777777" w:rsidR="00F75306" w:rsidRDefault="00F75306" w:rsidP="00F75306">
            <w:r w:rsidRPr="00412B60">
              <w:lastRenderedPageBreak/>
              <w:t>The “Input-Output” sheet provides a s</w:t>
            </w:r>
            <w:r>
              <w:t>ynopsis</w:t>
            </w:r>
            <w:r w:rsidRPr="00412B60">
              <w:t xml:space="preserve"> of the results for both the Owner/Local Authority and the Contractor/ESCO. The results include economic metrics such as monetary savings, Net Present Value (NPV), Internal Rate of Return (IRR), Profitability Index, and payback period. Additionally, it features environmental and social indicators, including annual CO</w:t>
            </w:r>
            <w:r w:rsidRPr="00412B60">
              <w:rPr>
                <w:vertAlign w:val="subscript"/>
              </w:rPr>
              <w:t>2</w:t>
            </w:r>
            <w:r w:rsidRPr="00412B60">
              <w:t xml:space="preserve"> emission reductions and the number of job-years created as a result of the renovation investments.</w:t>
            </w:r>
          </w:p>
          <w:p w14:paraId="6608B22F" w14:textId="77777777" w:rsidR="00F75306" w:rsidRDefault="00F75306" w:rsidP="00F75306">
            <w:r w:rsidRPr="00EC7C21">
              <w:t>Further detailed analysis of the results can be found in the subsequent sheets titled “Local Authority/Owner” and “Contractor/ESCO.” Specifically, in the “Local Authority/Owner” sheet, energy consumption per carrier before and after the interventions is reported over a reasonable time period, along with expenditure per carrier, annual debt repayment, net economic benefits, and the economic parameters used to assess the investment. The sheet also tabulates the annual expenditure on loan interest and repayment instalments.</w:t>
            </w:r>
          </w:p>
          <w:p w14:paraId="76A8A936" w14:textId="77777777" w:rsidR="00F75306" w:rsidRDefault="00F75306" w:rsidP="00F75306">
            <w:r w:rsidRPr="00EC7C21">
              <w:t>Similar output results are presented in the worksheet for the Contractor/ESCO.</w:t>
            </w:r>
          </w:p>
          <w:p w14:paraId="3F706B49" w14:textId="77777777" w:rsidR="00F75306" w:rsidRDefault="00F75306" w:rsidP="00F75306"/>
          <w:p w14:paraId="56D0B44C" w14:textId="77777777" w:rsidR="00F75306" w:rsidRDefault="00F75306" w:rsidP="00F75306">
            <w:pPr>
              <w:ind w:left="-450"/>
            </w:pPr>
            <w:r w:rsidRPr="006E6782">
              <w:rPr>
                <w:noProof/>
              </w:rPr>
              <w:drawing>
                <wp:inline distT="0" distB="0" distL="0" distR="0" wp14:anchorId="505475F6" wp14:editId="533E2DDE">
                  <wp:extent cx="6339840" cy="2441554"/>
                  <wp:effectExtent l="0" t="0" r="3810" b="0"/>
                  <wp:docPr id="13352377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6365439" cy="2451412"/>
                          </a:xfrm>
                          <a:prstGeom prst="rect">
                            <a:avLst/>
                          </a:prstGeom>
                          <a:noFill/>
                          <a:ln>
                            <a:noFill/>
                          </a:ln>
                        </pic:spPr>
                      </pic:pic>
                    </a:graphicData>
                  </a:graphic>
                </wp:inline>
              </w:drawing>
            </w:r>
          </w:p>
          <w:p w14:paraId="1FA1AD37" w14:textId="77777777" w:rsidR="00F75306" w:rsidRPr="00026EF1" w:rsidRDefault="00F75306" w:rsidP="00F75306">
            <w:pPr>
              <w:pStyle w:val="Caption"/>
            </w:pPr>
            <w:r>
              <w:t>Fig. 3.7 “</w:t>
            </w:r>
            <w:r w:rsidRPr="00A06B16">
              <w:t xml:space="preserve">Screen shot of the </w:t>
            </w:r>
            <w:r>
              <w:t>‘Local Authority’</w:t>
            </w:r>
            <w:r w:rsidRPr="00A06B16">
              <w:t xml:space="preserve"> work sheet of the Building Module</w:t>
            </w:r>
            <w:r>
              <w:t xml:space="preserve"> – case Debt Financing”</w:t>
            </w:r>
          </w:p>
          <w:p w14:paraId="187ED626" w14:textId="77777777" w:rsidR="00F75306" w:rsidRDefault="00F75306" w:rsidP="00F75306"/>
          <w:p w14:paraId="54EA2800" w14:textId="77777777" w:rsidR="00F75306" w:rsidRDefault="00F75306" w:rsidP="00F75306">
            <w:r w:rsidRPr="006E6782">
              <w:rPr>
                <w:noProof/>
              </w:rPr>
              <w:lastRenderedPageBreak/>
              <w:drawing>
                <wp:inline distT="0" distB="0" distL="0" distR="0" wp14:anchorId="13726CC7" wp14:editId="27C3BA94">
                  <wp:extent cx="4533900" cy="3467100"/>
                  <wp:effectExtent l="0" t="0" r="0" b="0"/>
                  <wp:docPr id="4780574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533900" cy="3467100"/>
                          </a:xfrm>
                          <a:prstGeom prst="rect">
                            <a:avLst/>
                          </a:prstGeom>
                          <a:noFill/>
                          <a:ln>
                            <a:noFill/>
                          </a:ln>
                        </pic:spPr>
                      </pic:pic>
                    </a:graphicData>
                  </a:graphic>
                </wp:inline>
              </w:drawing>
            </w:r>
          </w:p>
          <w:p w14:paraId="360D6AAE" w14:textId="77777777" w:rsidR="00F75306" w:rsidRPr="00026EF1" w:rsidRDefault="00F75306" w:rsidP="00F75306">
            <w:pPr>
              <w:pStyle w:val="Caption"/>
            </w:pPr>
            <w:r>
              <w:t>Fig. 3.8 “</w:t>
            </w:r>
            <w:r w:rsidRPr="00A06B16">
              <w:t xml:space="preserve">“Screen shot of the </w:t>
            </w:r>
            <w:r>
              <w:t>‘Contractor’</w:t>
            </w:r>
            <w:r w:rsidRPr="00A06B16">
              <w:t xml:space="preserve"> work sheet of the Building Module</w:t>
            </w:r>
            <w:r>
              <w:t xml:space="preserve"> – case Debt Financing</w:t>
            </w:r>
            <w:r w:rsidRPr="00A06B16">
              <w:t>”</w:t>
            </w:r>
          </w:p>
          <w:p w14:paraId="3BC27784" w14:textId="77777777" w:rsidR="00F75306" w:rsidRDefault="00F75306" w:rsidP="00F75306">
            <w:pPr>
              <w:spacing w:after="160" w:line="259" w:lineRule="auto"/>
            </w:pPr>
            <w:r w:rsidRPr="00026EF1">
              <w:br w:type="page"/>
            </w:r>
          </w:p>
          <w:p w14:paraId="2E6FE8C8" w14:textId="77777777" w:rsidR="00F75306" w:rsidRPr="00AA3F73" w:rsidRDefault="00F75306" w:rsidP="00F75306">
            <w:pPr>
              <w:spacing w:before="360" w:after="120"/>
              <w:rPr>
                <w:i/>
                <w:iCs/>
              </w:rPr>
            </w:pPr>
            <w:r w:rsidRPr="00AA3F73">
              <w:rPr>
                <w:i/>
                <w:iCs/>
              </w:rPr>
              <w:t xml:space="preserve">PV Generation – Self Consumption Module </w:t>
            </w:r>
          </w:p>
          <w:p w14:paraId="164214BB" w14:textId="77777777" w:rsidR="00F75306" w:rsidRDefault="00F75306" w:rsidP="00F75306">
            <w:r w:rsidRPr="00EC7C21">
              <w:t>This Excel file calculates the relevant energy parameters and benefits of adopting self-consumption for all business models permitted under Greek law, including net billing, virtual net billing, and zero feed-in. The photovoltaic (PV) systems may be equipped with battery energy storage systems or operate without them.</w:t>
            </w:r>
          </w:p>
          <w:p w14:paraId="0021F5C5" w14:textId="77777777" w:rsidR="00F75306" w:rsidRDefault="00F75306" w:rsidP="00F75306">
            <w:r w:rsidRPr="00EC7C21">
              <w:t>The Excel workbook consists of seven worksheets in addition to a "Cover" sheet. The first sheet, entitled “Energeiaka/Energy Data,” contains information about building usage and other data pertinent to calculating the simultaneity of generation and consumption, load profiles, and storage operations (if applicable). It also includes electricity billing data and a summary of the results, as illustrated in the figures below.</w:t>
            </w:r>
          </w:p>
          <w:p w14:paraId="31DE4402" w14:textId="77777777" w:rsidR="00F75306" w:rsidRDefault="00F75306" w:rsidP="00F75306">
            <w:r w:rsidRPr="00EC7C21">
              <w:t>The second worksheet, “Input-Output,” provides the input data necessary for the economic evaluation of the PV plant and battery storage. This data is similar to that found in the building's “input-output” worksheet.</w:t>
            </w:r>
          </w:p>
          <w:p w14:paraId="36E3D878" w14:textId="77777777" w:rsidR="00F75306" w:rsidRDefault="00F75306" w:rsidP="00F75306">
            <w:r w:rsidRPr="00C1666B">
              <w:t>The third and fourth worksheets detail the economic evaluation for the “Local Authority/Owner” and the “Contractor/ESCO,” respectively.</w:t>
            </w:r>
          </w:p>
          <w:p w14:paraId="5DF4505A" w14:textId="77777777" w:rsidR="00F75306" w:rsidRDefault="00F75306" w:rsidP="00F75306">
            <w:r w:rsidRPr="00C1666B">
              <w:t>The fifth sheet, “Electricity Supplier’s Invoices/Timologia Parohou,” offers a detailed breakdown of charges related to load and consumption, as well as other fees like grid usage. This data is essential for the economic evaluation.</w:t>
            </w:r>
          </w:p>
          <w:p w14:paraId="00BB87F5" w14:textId="77777777" w:rsidR="00F75306" w:rsidRDefault="00F75306" w:rsidP="00F75306">
            <w:r w:rsidRPr="00C1666B">
              <w:lastRenderedPageBreak/>
              <w:t>The sixth worksheet, “Power, Flow Data,” focuses on the hourly operation of battery storage. It features a simple operational model that shows the flow of energy between the PV system, battery storage, and the grid. It also calculates the average selling price of excess energy (not consumed in real time) based on a 20-year average hourly Day Ahead Market (DAM) from detailed simulation models.</w:t>
            </w:r>
          </w:p>
          <w:p w14:paraId="355B6DC3" w14:textId="77777777" w:rsidR="00F75306" w:rsidRDefault="00F75306" w:rsidP="00F75306">
            <w:r w:rsidRPr="00C1666B">
              <w:t>The seventh worksheet presents typical hourly load profiles for various building types, including (i) office buildings, (ii) schools, and (iii) athletic facilities. Additionally, users can input their preferred load profile in the “Other” column.</w:t>
            </w:r>
          </w:p>
          <w:p w14:paraId="0F8EAEAE" w14:textId="77777777" w:rsidR="00F75306" w:rsidRDefault="00F75306" w:rsidP="00F75306">
            <w:r>
              <w:t>The user begins by selecting the business model that will be applied to each building. As mentioned earlier, the options include:</w:t>
            </w:r>
          </w:p>
          <w:p w14:paraId="6FD00A35" w14:textId="77777777" w:rsidR="00F75306" w:rsidRDefault="00F75306" w:rsidP="00F75306">
            <w:pPr>
              <w:pStyle w:val="ListParagraph"/>
              <w:numPr>
                <w:ilvl w:val="0"/>
                <w:numId w:val="65"/>
              </w:numPr>
              <w:spacing w:before="60" w:after="60" w:line="240" w:lineRule="auto"/>
              <w:jc w:val="both"/>
            </w:pPr>
            <w:r>
              <w:t>Net billing</w:t>
            </w:r>
          </w:p>
          <w:p w14:paraId="1B249645" w14:textId="77777777" w:rsidR="00F75306" w:rsidRDefault="00F75306" w:rsidP="00F75306">
            <w:pPr>
              <w:pStyle w:val="ListParagraph"/>
              <w:numPr>
                <w:ilvl w:val="0"/>
                <w:numId w:val="65"/>
              </w:numPr>
              <w:spacing w:before="60" w:after="60" w:line="240" w:lineRule="auto"/>
              <w:jc w:val="both"/>
            </w:pPr>
            <w:r>
              <w:t>Virtual net billing</w:t>
            </w:r>
          </w:p>
          <w:p w14:paraId="65A58C70" w14:textId="77777777" w:rsidR="00F75306" w:rsidRDefault="00F75306" w:rsidP="00F75306">
            <w:pPr>
              <w:pStyle w:val="ListParagraph"/>
              <w:numPr>
                <w:ilvl w:val="0"/>
                <w:numId w:val="65"/>
              </w:numPr>
              <w:spacing w:before="60" w:after="60" w:line="240" w:lineRule="auto"/>
              <w:jc w:val="both"/>
            </w:pPr>
            <w:r>
              <w:t xml:space="preserve">Zero feed-in </w:t>
            </w:r>
          </w:p>
          <w:p w14:paraId="1B098772" w14:textId="77777777" w:rsidR="00F75306" w:rsidRDefault="00F75306" w:rsidP="00F75306">
            <w:r>
              <w:t xml:space="preserve">Next, the user chooses the type of building to be served, such as an office building, school, sports centre, or another type, provided there is a corresponding demand profile for that "other" category. </w:t>
            </w:r>
          </w:p>
          <w:p w14:paraId="579DE353" w14:textId="77777777" w:rsidR="00F75306" w:rsidRDefault="00F75306" w:rsidP="00F75306">
            <w:r>
              <w:t>The required input data includes:</w:t>
            </w:r>
          </w:p>
          <w:p w14:paraId="5F26C8DB" w14:textId="77777777" w:rsidR="00F75306" w:rsidRDefault="00F75306" w:rsidP="00F75306">
            <w:pPr>
              <w:pStyle w:val="ListParagraph"/>
              <w:numPr>
                <w:ilvl w:val="0"/>
                <w:numId w:val="64"/>
              </w:numPr>
              <w:spacing w:before="60" w:after="60" w:line="240" w:lineRule="auto"/>
              <w:jc w:val="both"/>
            </w:pPr>
            <w:r>
              <w:t>the annual electricity consumption of the building,</w:t>
            </w:r>
          </w:p>
          <w:p w14:paraId="6DF4745D" w14:textId="77777777" w:rsidR="00F75306" w:rsidRDefault="00F75306" w:rsidP="00F75306">
            <w:pPr>
              <w:pStyle w:val="ListParagraph"/>
              <w:numPr>
                <w:ilvl w:val="0"/>
                <w:numId w:val="64"/>
              </w:numPr>
              <w:spacing w:before="60" w:after="60" w:line="240" w:lineRule="auto"/>
              <w:jc w:val="both"/>
            </w:pPr>
            <w:r>
              <w:t>the capacity of the photovoltaic system,</w:t>
            </w:r>
          </w:p>
          <w:p w14:paraId="562108D2" w14:textId="77777777" w:rsidR="00F75306" w:rsidRDefault="00F75306" w:rsidP="00F75306">
            <w:pPr>
              <w:pStyle w:val="ListParagraph"/>
              <w:numPr>
                <w:ilvl w:val="0"/>
                <w:numId w:val="64"/>
              </w:numPr>
              <w:spacing w:before="60" w:after="60" w:line="240" w:lineRule="auto"/>
              <w:jc w:val="both"/>
            </w:pPr>
            <w:r>
              <w:t>the capacity of the battery storage (if applicable).</w:t>
            </w:r>
          </w:p>
          <w:p w14:paraId="4C5C5600" w14:textId="77777777" w:rsidR="00F75306" w:rsidRPr="00851279" w:rsidRDefault="00F75306" w:rsidP="00F75306"/>
          <w:p w14:paraId="0D5C258E" w14:textId="77777777" w:rsidR="00F75306" w:rsidRDefault="00F75306" w:rsidP="00F75306">
            <w:pPr>
              <w:keepNext/>
              <w:spacing w:after="0" w:line="288" w:lineRule="auto"/>
            </w:pPr>
            <w:r w:rsidRPr="00122C51">
              <w:rPr>
                <w:noProof/>
              </w:rPr>
              <w:drawing>
                <wp:inline distT="0" distB="0" distL="0" distR="0" wp14:anchorId="1AD980A8" wp14:editId="25296C0C">
                  <wp:extent cx="5106074" cy="1942639"/>
                  <wp:effectExtent l="0" t="0" r="0" b="635"/>
                  <wp:docPr id="104192600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115064" cy="1946059"/>
                          </a:xfrm>
                          <a:prstGeom prst="rect">
                            <a:avLst/>
                          </a:prstGeom>
                          <a:noFill/>
                          <a:ln>
                            <a:noFill/>
                          </a:ln>
                        </pic:spPr>
                      </pic:pic>
                    </a:graphicData>
                  </a:graphic>
                </wp:inline>
              </w:drawing>
            </w:r>
          </w:p>
          <w:p w14:paraId="23196D1D" w14:textId="77777777" w:rsidR="00F75306" w:rsidRPr="00026EF1" w:rsidRDefault="00F75306" w:rsidP="00F75306">
            <w:pPr>
              <w:pStyle w:val="Caption"/>
            </w:pPr>
            <w:r>
              <w:t>Fig. 3.9 “</w:t>
            </w:r>
            <w:r w:rsidRPr="00A06B16">
              <w:t xml:space="preserve">Screen shot of </w:t>
            </w:r>
            <w:r>
              <w:t>PV electricity generation</w:t>
            </w:r>
            <w:r w:rsidRPr="00A06B16">
              <w:t xml:space="preserve"> </w:t>
            </w:r>
            <w:r>
              <w:t>input data - net billing model”</w:t>
            </w:r>
          </w:p>
          <w:p w14:paraId="217BB1AD" w14:textId="77777777" w:rsidR="00F75306" w:rsidRPr="00026EF1" w:rsidRDefault="00F75306" w:rsidP="00F75306"/>
          <w:p w14:paraId="215BFFE8" w14:textId="77777777" w:rsidR="00F75306" w:rsidRDefault="00F75306" w:rsidP="00F75306">
            <w:r w:rsidRPr="00893339">
              <w:t>Next, the user selects the building's electricity tariff, choosing between commercial low voltage or medium voltage options, as well as the contracted (installed) power capacity. In the "Provider Tariffs" worksheet, the average tariffs over a 20-year period are calculated with and without the photovoltaic system, assuming an average wholesale price of €90/MWh, which can also be adjusted as needed</w:t>
            </w:r>
            <w:r>
              <w:t>.</w:t>
            </w:r>
          </w:p>
          <w:p w14:paraId="61753AC0" w14:textId="77777777" w:rsidR="00F75306" w:rsidRDefault="00F75306" w:rsidP="00F75306"/>
          <w:p w14:paraId="695BBEED" w14:textId="77777777" w:rsidR="00F75306" w:rsidRDefault="00F75306" w:rsidP="00F75306">
            <w:pPr>
              <w:keepNext/>
              <w:spacing w:after="0" w:line="288" w:lineRule="auto"/>
            </w:pPr>
            <w:r w:rsidRPr="00122435">
              <w:rPr>
                <w:noProof/>
              </w:rPr>
              <w:lastRenderedPageBreak/>
              <w:drawing>
                <wp:inline distT="0" distB="0" distL="0" distR="0" wp14:anchorId="4122D8FC" wp14:editId="70EB001B">
                  <wp:extent cx="5400040" cy="926465"/>
                  <wp:effectExtent l="0" t="0" r="0" b="6985"/>
                  <wp:docPr id="1311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400040" cy="926465"/>
                          </a:xfrm>
                          <a:prstGeom prst="rect">
                            <a:avLst/>
                          </a:prstGeom>
                          <a:noFill/>
                          <a:ln>
                            <a:noFill/>
                          </a:ln>
                        </pic:spPr>
                      </pic:pic>
                    </a:graphicData>
                  </a:graphic>
                </wp:inline>
              </w:drawing>
            </w:r>
          </w:p>
          <w:p w14:paraId="7FB86881" w14:textId="77777777" w:rsidR="00F75306" w:rsidRPr="00026EF1" w:rsidRDefault="00F75306" w:rsidP="00F75306">
            <w:r>
              <w:t xml:space="preserve">Fig. 3.10 </w:t>
            </w:r>
            <w:r w:rsidRPr="00A06B16">
              <w:t xml:space="preserve">“Screen shot of </w:t>
            </w:r>
            <w:r>
              <w:t>electricity purchase input data - net billing model”</w:t>
            </w:r>
          </w:p>
          <w:p w14:paraId="608E17F8" w14:textId="77777777" w:rsidR="00F75306" w:rsidRPr="00026EF1" w:rsidRDefault="00F75306" w:rsidP="00F75306"/>
          <w:p w14:paraId="463A6FB7" w14:textId="77777777" w:rsidR="00F75306" w:rsidRDefault="00F75306" w:rsidP="00F75306">
            <w:r>
              <w:t>The Excel performs a series of calculations and presents the results, as shown in the following figure.</w:t>
            </w:r>
          </w:p>
          <w:p w14:paraId="4ADCAB87" w14:textId="77777777" w:rsidR="00F75306" w:rsidRDefault="00F75306" w:rsidP="00F75306">
            <w:pPr>
              <w:spacing w:after="0" w:line="288" w:lineRule="auto"/>
            </w:pPr>
          </w:p>
          <w:p w14:paraId="0EAD310A" w14:textId="77777777" w:rsidR="00F75306" w:rsidRDefault="00F75306" w:rsidP="00F75306">
            <w:pPr>
              <w:keepNext/>
              <w:spacing w:after="0" w:line="288" w:lineRule="auto"/>
            </w:pPr>
            <w:r w:rsidRPr="0066723F">
              <w:rPr>
                <w:noProof/>
              </w:rPr>
              <w:drawing>
                <wp:inline distT="0" distB="0" distL="0" distR="0" wp14:anchorId="026FED5F" wp14:editId="1AF1F5CF">
                  <wp:extent cx="5400040" cy="1195356"/>
                  <wp:effectExtent l="0" t="0" r="0" b="5080"/>
                  <wp:docPr id="5635329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400040" cy="1195356"/>
                          </a:xfrm>
                          <a:prstGeom prst="rect">
                            <a:avLst/>
                          </a:prstGeom>
                          <a:noFill/>
                          <a:ln>
                            <a:noFill/>
                          </a:ln>
                        </pic:spPr>
                      </pic:pic>
                    </a:graphicData>
                  </a:graphic>
                </wp:inline>
              </w:drawing>
            </w:r>
          </w:p>
          <w:p w14:paraId="253EFBB1" w14:textId="77777777" w:rsidR="00F75306" w:rsidRPr="00026EF1" w:rsidRDefault="00F75306" w:rsidP="00F75306">
            <w:pPr>
              <w:pStyle w:val="Caption"/>
            </w:pPr>
            <w:r>
              <w:t>Fig. 3.11 “</w:t>
            </w:r>
            <w:r w:rsidRPr="00A06B16">
              <w:t xml:space="preserve">Screen shot of </w:t>
            </w:r>
            <w:r>
              <w:t>Energy Consumption results - net billing model</w:t>
            </w:r>
          </w:p>
          <w:p w14:paraId="7C4A6B78" w14:textId="77777777" w:rsidR="00F75306" w:rsidRPr="00026EF1" w:rsidRDefault="00F75306" w:rsidP="00F75306"/>
          <w:p w14:paraId="4E09E74F" w14:textId="77777777" w:rsidR="00F75306" w:rsidRDefault="00F75306" w:rsidP="00F75306">
            <w:r>
              <w:t>To conduct a financial assessment of the investment, the user begins by using the "Input-Output" worksheet and selecting the appropriate financing method: loan, ESCO, or co-financing. Based on the chosen financing method, the user inputs the necessary data. This information is illustrated in Figure 2-7.</w:t>
            </w:r>
          </w:p>
          <w:p w14:paraId="6CFBA055" w14:textId="77777777" w:rsidR="00F75306" w:rsidRDefault="00F75306" w:rsidP="00F75306">
            <w:r>
              <w:t>After entering the data, the Excel tool calculates the project's financial performance for both the municipality and the contractor, presenting the results in Figure 2-8.</w:t>
            </w:r>
          </w:p>
          <w:p w14:paraId="0C42C688" w14:textId="77777777" w:rsidR="00F75306" w:rsidRDefault="00F75306" w:rsidP="00F75306">
            <w:pPr>
              <w:pBdr>
                <w:top w:val="single" w:sz="4" w:space="1" w:color="FFC000"/>
                <w:left w:val="single" w:sz="4" w:space="4" w:color="FFC000"/>
                <w:bottom w:val="single" w:sz="4" w:space="1" w:color="FFC000"/>
                <w:right w:val="single" w:sz="4" w:space="4" w:color="FFC000"/>
              </w:pBdr>
              <w:shd w:val="clear" w:color="auto" w:fill="E5DFEC" w:themeFill="accent4" w:themeFillTint="33"/>
            </w:pPr>
            <w:r w:rsidRPr="00B26785">
              <w:rPr>
                <w:b/>
                <w:bCs/>
                <w:sz w:val="24"/>
                <w:szCs w:val="24"/>
              </w:rPr>
              <w:t>NOTE:</w:t>
            </w:r>
            <w:r>
              <w:t xml:space="preserve"> </w:t>
            </w:r>
            <w:r w:rsidRPr="00B26785">
              <w:rPr>
                <w:b/>
                <w:bCs/>
              </w:rPr>
              <w:t>Users should save each file (e.g., “Net-billing_1”) in a dedicated folder (e.g., “Projects”). This process should be repeated for every building where self-consumption will be implemented, resulting in files named “Net-billing_2”, “Net-billing_3”, and so on. This organi</w:t>
            </w:r>
            <w:r>
              <w:rPr>
                <w:b/>
                <w:bCs/>
              </w:rPr>
              <w:t>s</w:t>
            </w:r>
            <w:r w:rsidRPr="00B26785">
              <w:rPr>
                <w:b/>
                <w:bCs/>
              </w:rPr>
              <w:t>ation is essential for the “Aggregation” module to read and generate consolidated results from the individual PV plants and building module.</w:t>
            </w:r>
          </w:p>
          <w:p w14:paraId="78C70760" w14:textId="77777777" w:rsidR="00F75306" w:rsidRDefault="00F75306" w:rsidP="00F75306"/>
          <w:p w14:paraId="0672E205" w14:textId="77777777" w:rsidR="00F75306" w:rsidRDefault="00F75306" w:rsidP="00F75306">
            <w:pPr>
              <w:keepNext/>
              <w:spacing w:after="0" w:line="288" w:lineRule="auto"/>
            </w:pPr>
            <w:r w:rsidRPr="004160C5">
              <w:rPr>
                <w:noProof/>
              </w:rPr>
              <w:lastRenderedPageBreak/>
              <w:drawing>
                <wp:inline distT="0" distB="0" distL="0" distR="0" wp14:anchorId="4F6FC4B1" wp14:editId="0DD99784">
                  <wp:extent cx="5400040" cy="3904948"/>
                  <wp:effectExtent l="0" t="0" r="0" b="635"/>
                  <wp:docPr id="108877773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400040" cy="3904948"/>
                          </a:xfrm>
                          <a:prstGeom prst="rect">
                            <a:avLst/>
                          </a:prstGeom>
                          <a:noFill/>
                          <a:ln>
                            <a:noFill/>
                          </a:ln>
                        </pic:spPr>
                      </pic:pic>
                    </a:graphicData>
                  </a:graphic>
                </wp:inline>
              </w:drawing>
            </w:r>
          </w:p>
          <w:p w14:paraId="00557BEA" w14:textId="77777777" w:rsidR="00F75306" w:rsidRDefault="00F75306" w:rsidP="00F75306">
            <w:pPr>
              <w:pStyle w:val="Caption"/>
            </w:pPr>
            <w:r>
              <w:t>Fig. 3.12 “</w:t>
            </w:r>
            <w:r w:rsidRPr="00A06B16">
              <w:t xml:space="preserve">Screen shot of </w:t>
            </w:r>
            <w:r>
              <w:t>the investment input data - net billing model”</w:t>
            </w:r>
          </w:p>
          <w:p w14:paraId="6A7F65EB" w14:textId="77777777" w:rsidR="00F75306" w:rsidRDefault="00F75306" w:rsidP="00F75306"/>
          <w:p w14:paraId="3475E521" w14:textId="77777777" w:rsidR="00F75306" w:rsidRDefault="00F75306" w:rsidP="00F75306">
            <w:pPr>
              <w:keepNext/>
            </w:pPr>
            <w:r w:rsidRPr="00EA1917">
              <w:rPr>
                <w:noProof/>
              </w:rPr>
              <w:drawing>
                <wp:inline distT="0" distB="0" distL="0" distR="0" wp14:anchorId="6F9654ED" wp14:editId="75450E37">
                  <wp:extent cx="5731510" cy="2211070"/>
                  <wp:effectExtent l="0" t="0" r="2540" b="0"/>
                  <wp:docPr id="59420997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731510" cy="2211070"/>
                          </a:xfrm>
                          <a:prstGeom prst="rect">
                            <a:avLst/>
                          </a:prstGeom>
                          <a:noFill/>
                          <a:ln>
                            <a:noFill/>
                          </a:ln>
                        </pic:spPr>
                      </pic:pic>
                    </a:graphicData>
                  </a:graphic>
                </wp:inline>
              </w:drawing>
            </w:r>
          </w:p>
          <w:p w14:paraId="29E3F569" w14:textId="77777777" w:rsidR="00F75306" w:rsidRDefault="00F75306" w:rsidP="00F75306">
            <w:pPr>
              <w:pStyle w:val="Caption"/>
            </w:pPr>
            <w:r>
              <w:t>Fig. 3.13 “</w:t>
            </w:r>
            <w:r w:rsidRPr="00A06B16">
              <w:t xml:space="preserve">Screen shot of </w:t>
            </w:r>
            <w:r>
              <w:t>the investment economic evaluation results - net billing model”</w:t>
            </w:r>
          </w:p>
          <w:p w14:paraId="294A8F7E" w14:textId="77777777" w:rsidR="00F75306" w:rsidRPr="00DB6CE1" w:rsidRDefault="00F75306" w:rsidP="00F75306">
            <w:pPr>
              <w:spacing w:before="360" w:after="120"/>
              <w:rPr>
                <w:i/>
                <w:iCs/>
              </w:rPr>
            </w:pPr>
            <w:r w:rsidRPr="00DB6CE1">
              <w:rPr>
                <w:i/>
                <w:iCs/>
              </w:rPr>
              <w:t>Aggregation Module</w:t>
            </w:r>
          </w:p>
          <w:p w14:paraId="2C6FA027" w14:textId="77777777" w:rsidR="00F75306" w:rsidRDefault="00F75306" w:rsidP="00F75306">
            <w:r w:rsidRPr="006A372F">
              <w:t xml:space="preserve">The "Aggregation Module" is designed to combine results when multiple cases are involved. This could include scenarios such as interventions on a building's envelope along with the installation of a </w:t>
            </w:r>
            <w:r w:rsidRPr="006A372F">
              <w:lastRenderedPageBreak/>
              <w:t xml:space="preserve">photovoltaic (PV) system, or instances where multiple buildings are receiving interventions on their envelopes and/or PV systems. </w:t>
            </w:r>
          </w:p>
          <w:p w14:paraId="515FC7AB" w14:textId="77777777" w:rsidR="00F75306" w:rsidRDefault="00F75306" w:rsidP="00F75306">
            <w:r w:rsidRPr="006A372F">
              <w:t>The aggregation process utili</w:t>
            </w:r>
            <w:r>
              <w:t>s</w:t>
            </w:r>
            <w:r w:rsidRPr="006A372F">
              <w:t>es the results from cases that have already been evaluated using the relevant Excel modules.</w:t>
            </w:r>
          </w:p>
          <w:p w14:paraId="627BBA3E" w14:textId="77777777" w:rsidR="00F75306" w:rsidRPr="009002BA" w:rsidRDefault="00F75306" w:rsidP="00F75306">
            <w:pPr>
              <w:pBdr>
                <w:top w:val="single" w:sz="4" w:space="1" w:color="FFC000"/>
                <w:left w:val="single" w:sz="4" w:space="4" w:color="FFC000"/>
                <w:bottom w:val="single" w:sz="4" w:space="1" w:color="FFC000"/>
                <w:right w:val="single" w:sz="4" w:space="4" w:color="FFC000"/>
              </w:pBdr>
              <w:shd w:val="clear" w:color="auto" w:fill="E5DFEC" w:themeFill="accent4" w:themeFillTint="33"/>
              <w:rPr>
                <w:b/>
                <w:bCs/>
              </w:rPr>
            </w:pPr>
            <w:r>
              <w:rPr>
                <w:b/>
                <w:bCs/>
              </w:rPr>
              <w:t xml:space="preserve">NOTE: </w:t>
            </w:r>
            <w:r w:rsidRPr="009002BA">
              <w:rPr>
                <w:b/>
                <w:bCs/>
              </w:rPr>
              <w:t xml:space="preserve">In order for the “Aggregation Module” to work, the EXCEL files produced must all be in a folder named “Projects” </w:t>
            </w:r>
            <w:r>
              <w:rPr>
                <w:b/>
                <w:bCs/>
              </w:rPr>
              <w:t xml:space="preserve">as mentioned earlier, </w:t>
            </w:r>
            <w:r w:rsidRPr="009002BA">
              <w:rPr>
                <w:b/>
                <w:bCs/>
              </w:rPr>
              <w:t>and this folder together with the “Aggregation” must be placed in another folder located anywhere locally but not in a cloud storage.</w:t>
            </w:r>
          </w:p>
          <w:p w14:paraId="3FA4D588" w14:textId="77777777" w:rsidR="00F75306" w:rsidRDefault="00F75306" w:rsidP="00F75306">
            <w:r w:rsidRPr="006A372F">
              <w:t xml:space="preserve">To begin aggregating the results from the Building and Self-Consumption modules, the user should open the file titled “Aggregation” and click the “Refresh All Queries” button. The key investment indicators of interest will be automatically calculated, </w:t>
            </w:r>
            <w:r>
              <w:t>and the results will be displayed as shown</w:t>
            </w:r>
            <w:r w:rsidRPr="006A372F">
              <w:t xml:space="preserve"> in the table below. The user can observe a processing sign in the bottom left corner of the worksheet.</w:t>
            </w:r>
          </w:p>
          <w:p w14:paraId="31A0A9A9" w14:textId="77777777" w:rsidR="00F75306" w:rsidRDefault="00F75306" w:rsidP="00F75306"/>
          <w:p w14:paraId="7B997768" w14:textId="77777777" w:rsidR="00F75306" w:rsidRDefault="00F75306" w:rsidP="00F75306">
            <w:pPr>
              <w:pStyle w:val="Caption"/>
            </w:pPr>
            <w:r>
              <w:t>Table 3.5 “Aggregated results from the “Building Module” and Self-Consumption Modules”</w:t>
            </w:r>
          </w:p>
          <w:p w14:paraId="4986C7C4" w14:textId="77777777" w:rsidR="00F75306" w:rsidRDefault="00F75306" w:rsidP="00F75306">
            <w:r w:rsidRPr="00AE3785">
              <w:rPr>
                <w:noProof/>
              </w:rPr>
              <w:drawing>
                <wp:inline distT="0" distB="0" distL="0" distR="0" wp14:anchorId="753F5993" wp14:editId="1A5C5783">
                  <wp:extent cx="4429125" cy="3676650"/>
                  <wp:effectExtent l="0" t="0" r="9525" b="0"/>
                  <wp:docPr id="977260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429125" cy="3676650"/>
                          </a:xfrm>
                          <a:prstGeom prst="rect">
                            <a:avLst/>
                          </a:prstGeom>
                          <a:noFill/>
                          <a:ln>
                            <a:noFill/>
                          </a:ln>
                        </pic:spPr>
                      </pic:pic>
                    </a:graphicData>
                  </a:graphic>
                </wp:inline>
              </w:drawing>
            </w:r>
          </w:p>
          <w:p w14:paraId="52AA9520" w14:textId="77777777" w:rsidR="00F75306" w:rsidRDefault="00F75306" w:rsidP="00F75306"/>
          <w:p w14:paraId="7527CE2E" w14:textId="77777777" w:rsidR="00F75306" w:rsidRPr="00DB6CE1" w:rsidRDefault="00F75306" w:rsidP="00F75306">
            <w:pPr>
              <w:spacing w:before="240" w:after="120"/>
              <w:rPr>
                <w:i/>
                <w:iCs/>
              </w:rPr>
            </w:pPr>
            <w:r w:rsidRPr="00DB6CE1">
              <w:rPr>
                <w:i/>
                <w:iCs/>
              </w:rPr>
              <w:t xml:space="preserve">Tips for using the tool </w:t>
            </w:r>
          </w:p>
          <w:p w14:paraId="131DA796" w14:textId="77777777" w:rsidR="00F75306" w:rsidRDefault="00F75306" w:rsidP="00F75306">
            <w:pPr>
              <w:tabs>
                <w:tab w:val="left" w:pos="3711"/>
              </w:tabs>
            </w:pPr>
            <w:r>
              <w:t xml:space="preserve">As mentioned earlier, the presented </w:t>
            </w:r>
            <w:r w:rsidRPr="00F26A9F">
              <w:t>tool is designed to help Local Authorities and Property Owners compare various financing plans and gather essential information</w:t>
            </w:r>
            <w:r>
              <w:t xml:space="preserve"> such as determining whether </w:t>
            </w:r>
            <w:r w:rsidRPr="00F26A9F">
              <w:t xml:space="preserve">a municipality can pursue debt financing and effectively manage loan repayments. By exploring </w:t>
            </w:r>
            <w:r w:rsidRPr="00F26A9F">
              <w:lastRenderedPageBreak/>
              <w:t>different options, Local Authorities and Owners can identify the most suitable combination of financing sources.</w:t>
            </w:r>
          </w:p>
          <w:p w14:paraId="73B2D61E" w14:textId="77777777" w:rsidR="00F75306" w:rsidRDefault="00F75306" w:rsidP="00F75306">
            <w:pPr>
              <w:tabs>
                <w:tab w:val="left" w:pos="3711"/>
              </w:tabs>
            </w:pPr>
            <w:r w:rsidRPr="00DD189F">
              <w:t xml:space="preserve">To ensure ease of use, </w:t>
            </w:r>
            <w:r>
              <w:t>the EXCEL spreadsheet was</w:t>
            </w:r>
            <w:r w:rsidRPr="00DD189F">
              <w:t xml:space="preserve"> selected, as </w:t>
            </w:r>
            <w:r>
              <w:t xml:space="preserve">most </w:t>
            </w:r>
            <w:r w:rsidRPr="00DD189F">
              <w:t xml:space="preserve">users are familiar with this software. </w:t>
            </w:r>
            <w:r>
              <w:t>T</w:t>
            </w:r>
            <w:r w:rsidRPr="00DD189F">
              <w:t xml:space="preserve">o maintain simplicity, the modules for building interventions and self-consumption are kept separate. However, for users looking to obtain results that involve a combination of building interventions (Building Module) and a photovoltaic (PV) system (Self-Consumption Module), it is vital to use a LOCAL FOLDER that contains the necessary </w:t>
            </w:r>
            <w:r>
              <w:t>files as follows:</w:t>
            </w:r>
            <w:r w:rsidRPr="00DD189F">
              <w:t xml:space="preserve"> </w:t>
            </w:r>
          </w:p>
          <w:p w14:paraId="2ECD38AE" w14:textId="77777777" w:rsidR="00F75306" w:rsidRPr="00DD189F" w:rsidRDefault="00F75306" w:rsidP="00F75306">
            <w:pPr>
              <w:pStyle w:val="ListParagraph"/>
              <w:numPr>
                <w:ilvl w:val="0"/>
                <w:numId w:val="66"/>
              </w:numPr>
              <w:tabs>
                <w:tab w:val="left" w:pos="990"/>
                <w:tab w:val="left" w:pos="3711"/>
              </w:tabs>
              <w:spacing w:before="60" w:after="60" w:line="240" w:lineRule="auto"/>
              <w:ind w:left="900" w:hanging="270"/>
              <w:jc w:val="both"/>
            </w:pPr>
            <w:r>
              <w:t xml:space="preserve">The </w:t>
            </w:r>
            <w:r w:rsidRPr="00DD189F">
              <w:t xml:space="preserve">EXCEL with the Building Module results </w:t>
            </w:r>
          </w:p>
          <w:p w14:paraId="120447C0" w14:textId="77777777" w:rsidR="00F75306" w:rsidRPr="00DD189F" w:rsidRDefault="00F75306" w:rsidP="00F75306">
            <w:pPr>
              <w:pStyle w:val="ListParagraph"/>
              <w:numPr>
                <w:ilvl w:val="0"/>
                <w:numId w:val="66"/>
              </w:numPr>
              <w:tabs>
                <w:tab w:val="left" w:pos="990"/>
                <w:tab w:val="left" w:pos="3711"/>
              </w:tabs>
              <w:spacing w:before="60" w:after="60" w:line="240" w:lineRule="auto"/>
              <w:ind w:left="900" w:hanging="270"/>
              <w:jc w:val="both"/>
            </w:pPr>
            <w:r w:rsidRPr="00555747">
              <w:t>A folder titled “Projects” containing the EXCEL files of Self-Consumption that have been analy</w:t>
            </w:r>
            <w:r>
              <w:t>s</w:t>
            </w:r>
            <w:r w:rsidRPr="00555747">
              <w:t>ed for the PV plants in question</w:t>
            </w:r>
          </w:p>
          <w:p w14:paraId="494150BD" w14:textId="77777777" w:rsidR="00F75306" w:rsidRPr="00DD189F" w:rsidRDefault="00F75306" w:rsidP="00F75306">
            <w:pPr>
              <w:pStyle w:val="ListParagraph"/>
              <w:numPr>
                <w:ilvl w:val="0"/>
                <w:numId w:val="66"/>
              </w:numPr>
              <w:tabs>
                <w:tab w:val="left" w:pos="990"/>
                <w:tab w:val="left" w:pos="3711"/>
              </w:tabs>
              <w:spacing w:before="60" w:after="60" w:line="240" w:lineRule="auto"/>
              <w:ind w:left="900" w:hanging="270"/>
              <w:jc w:val="both"/>
            </w:pPr>
            <w:r w:rsidRPr="00DD189F">
              <w:t>The Aggregator EXCEL</w:t>
            </w:r>
          </w:p>
          <w:p w14:paraId="69C34124" w14:textId="77777777" w:rsidR="00F75306" w:rsidRPr="00555747" w:rsidRDefault="00F75306" w:rsidP="00F75306">
            <w:r w:rsidRPr="00555747">
              <w:t>If the local folder does not contain these files, the Aggregator will not function and will fail to produce the overall benefits and economic parameters of the combined interventions.</w:t>
            </w:r>
          </w:p>
          <w:p w14:paraId="02A70428" w14:textId="77777777" w:rsidR="00F75306" w:rsidRDefault="00F75306" w:rsidP="00F75306">
            <w:r w:rsidRPr="00E87250">
              <w:t>It is vital for users to retain the results from the Aggregator for each new study, such as ESCO financing or co-financing. This will allow for comparisons of the economic parameters across different scenarios.</w:t>
            </w:r>
          </w:p>
          <w:p w14:paraId="5C573298" w14:textId="77777777" w:rsidR="00F75306" w:rsidRPr="00F4531C" w:rsidRDefault="00F75306" w:rsidP="00F75306">
            <w:pPr>
              <w:spacing w:before="240" w:after="120"/>
              <w:rPr>
                <w:i/>
                <w:iCs/>
              </w:rPr>
            </w:pPr>
            <w:r w:rsidRPr="00F4531C">
              <w:rPr>
                <w:i/>
                <w:iCs/>
              </w:rPr>
              <w:t>Conclusions</w:t>
            </w:r>
          </w:p>
          <w:p w14:paraId="183CD6AD" w14:textId="77777777" w:rsidR="00F75306" w:rsidRDefault="00F75306" w:rsidP="00F75306">
            <w:r>
              <w:t>The tool has been demonstrated to the municipalities, the regions and the other partners of the consortium.  Various examples of real buildings and PV systems were run during the demonstration.  Some Partners have tested the tool and have appreciated the fact that it runs on EXCEL, the minimum required data and the fast delivery of the results.  The tool will be used by the municipalities and regions in Task 4.2 as part of the financing plan development of the pilot buildings.</w:t>
            </w:r>
          </w:p>
          <w:p w14:paraId="71047313" w14:textId="77777777" w:rsidR="00F75306" w:rsidRDefault="00F75306" w:rsidP="00F75306">
            <w:r>
              <w:t>EUDITI (Partner 10) will soon update the tool, and more specifically the PV module as the new regulation on PV connection to the Grid might incur changes on the net billing business model.</w:t>
            </w:r>
          </w:p>
          <w:p w14:paraId="52BFA400" w14:textId="77777777" w:rsidR="00F75306" w:rsidRDefault="00F75306" w:rsidP="00F75306"/>
          <w:p w14:paraId="57CEA09D" w14:textId="36029DED" w:rsidR="00523C4F" w:rsidRPr="007D500E" w:rsidRDefault="00523C4F" w:rsidP="00980F10">
            <w:pPr>
              <w:spacing w:before="120" w:after="120"/>
              <w:jc w:val="both"/>
              <w:rPr>
                <w:rFonts w:eastAsia="Times New Roman" w:cs="Arial"/>
                <w:b/>
                <w:bCs/>
                <w:color w:val="C0504D" w:themeColor="accent2"/>
                <w:sz w:val="18"/>
                <w:szCs w:val="18"/>
              </w:rPr>
            </w:pPr>
            <w:commentRangeStart w:id="50"/>
            <w:r w:rsidRPr="007D500E">
              <w:rPr>
                <w:rFonts w:eastAsia="Times New Roman" w:cs="Arial"/>
                <w:b/>
                <w:bCs/>
                <w:color w:val="C0504D" w:themeColor="accent2"/>
                <w:sz w:val="18"/>
                <w:szCs w:val="18"/>
              </w:rPr>
              <w:t xml:space="preserve">T3.5 </w:t>
            </w:r>
            <w:commentRangeEnd w:id="50"/>
            <w:r w:rsidRPr="007D500E">
              <w:rPr>
                <w:rStyle w:val="CommentReference"/>
                <w:rFonts w:eastAsia="Times New Roman" w:cs="Arial"/>
                <w:b/>
                <w:bCs/>
                <w:color w:val="C0504D" w:themeColor="accent2"/>
                <w:sz w:val="18"/>
                <w:szCs w:val="18"/>
              </w:rPr>
              <w:commentReference w:id="50"/>
            </w:r>
            <w:r w:rsidRPr="007D500E">
              <w:rPr>
                <w:rFonts w:eastAsia="Times New Roman" w:cs="Arial"/>
                <w:b/>
                <w:bCs/>
                <w:color w:val="C0504D" w:themeColor="accent2"/>
                <w:sz w:val="18"/>
                <w:szCs w:val="18"/>
              </w:rPr>
              <w:t>[Development of the RenoInGR platform] ([Implemented])</w:t>
            </w:r>
          </w:p>
          <w:p w14:paraId="7CEEE203" w14:textId="77777777" w:rsidR="008B40A5" w:rsidRPr="008B40A5" w:rsidRDefault="008B40A5" w:rsidP="008B40A5">
            <w:pPr>
              <w:spacing w:before="120" w:after="120"/>
              <w:jc w:val="both"/>
              <w:rPr>
                <w:rFonts w:eastAsia="Times New Roman" w:cs="Arial"/>
                <w:szCs w:val="20"/>
                <w:lang w:val="en-US"/>
              </w:rPr>
            </w:pPr>
            <w:r w:rsidRPr="008B40A5">
              <w:rPr>
                <w:rFonts w:eastAsia="Times New Roman" w:cs="Arial"/>
                <w:szCs w:val="20"/>
                <w:lang w:val="en-US"/>
              </w:rPr>
              <w:t>The RenoInGR platform was developed as the digital core of the project’s One-Stop-Shop serving as the virtual office through which municipalities, public authorities and other relevant stakeholders can access information, guidance, tools and support services related to the energy renovation of public buildings. The platform is hosted at oss.renoingr.gr and has been designed as a central digital environment that complements the physical and organisational structure of the OSS. Its purpose is not limited to the online presentation of the project, but extends to the practical support of users in understanding the renovation process, identifying relevant resources, navigating available services and accessing material that facilitates the preparation and maturation of building renovation projects.</w:t>
            </w:r>
          </w:p>
          <w:p w14:paraId="7361953B" w14:textId="77777777" w:rsidR="008B40A5" w:rsidRPr="008B40A5" w:rsidRDefault="008B40A5" w:rsidP="008B40A5">
            <w:pPr>
              <w:spacing w:before="120" w:after="120"/>
              <w:jc w:val="both"/>
              <w:rPr>
                <w:rFonts w:eastAsia="Times New Roman" w:cs="Arial"/>
                <w:szCs w:val="20"/>
                <w:lang w:val="en-US"/>
              </w:rPr>
            </w:pPr>
            <w:r w:rsidRPr="008B40A5">
              <w:rPr>
                <w:rFonts w:eastAsia="Times New Roman" w:cs="Arial"/>
                <w:szCs w:val="20"/>
                <w:lang w:val="en-US"/>
              </w:rPr>
              <w:t xml:space="preserve">In this sense, the platform constitutes a core operational component of the RenoInGR OSS model. It functions as the main digital entry point to the support ecosystem which is developed by the project and is intended to facilitate orientation, information access and user interaction in a structured and user-friendly way. Through the platform, the users can obtain guidance on the renovation development process, explore available tools and support materials, access relevant information on financing and regulation, consult examples and databases, and interact with selected digital functionalities designed </w:t>
            </w:r>
            <w:r w:rsidRPr="008B40A5">
              <w:rPr>
                <w:rFonts w:eastAsia="Times New Roman" w:cs="Arial"/>
                <w:szCs w:val="20"/>
                <w:lang w:val="en-US"/>
              </w:rPr>
              <w:lastRenderedPageBreak/>
              <w:t>to support the early stages of project preparation. The platform therefore translates the broader objectives of the OSS into an accessible digital format and helps create a unified support environment for municipalities and other users.</w:t>
            </w:r>
          </w:p>
          <w:p w14:paraId="01A6FA4A" w14:textId="77777777" w:rsidR="008B40A5" w:rsidRPr="008B40A5" w:rsidRDefault="008B40A5" w:rsidP="008B40A5">
            <w:pPr>
              <w:spacing w:before="120" w:after="120"/>
              <w:jc w:val="both"/>
              <w:rPr>
                <w:rFonts w:eastAsia="Times New Roman" w:cs="Arial"/>
                <w:szCs w:val="20"/>
                <w:lang w:val="en-US"/>
              </w:rPr>
            </w:pPr>
            <w:r w:rsidRPr="008B40A5">
              <w:rPr>
                <w:rFonts w:eastAsia="Times New Roman" w:cs="Arial"/>
                <w:szCs w:val="20"/>
                <w:lang w:val="en-US"/>
              </w:rPr>
              <w:t>The development of the platform was led by NTUA, with substantial support from EUDITI, and with smaller but meaningful contributions from other project partners depending on the thematic area concerned. This collaborative approach is reflected in the structure and content of the platform, which integrates outputs, knowledge and support material generated across several work packages of the project. In practice, the platform acts as the main digital repository and operational interface through which the work of the consortium is progressively made available and usable. Supporting documents, guidance materials, tools, examples, structured information and other relevant outputs produced in the framework of deliverables and project activities are incorporated into the platform. That allows the results that are generated by different partners to be transformed into a practical and accessible resource for end users. In this way, the platform does not operate as an isolated digital product, but as a dynamic framework through which the broader work of the consortium is consolidated and structured.</w:t>
            </w:r>
          </w:p>
          <w:p w14:paraId="7DDC941D" w14:textId="77777777" w:rsidR="008B40A5" w:rsidRPr="008B40A5" w:rsidRDefault="008B40A5" w:rsidP="008B40A5">
            <w:pPr>
              <w:spacing w:before="120" w:after="120"/>
              <w:jc w:val="both"/>
              <w:rPr>
                <w:rFonts w:eastAsia="Times New Roman" w:cs="Arial"/>
                <w:szCs w:val="20"/>
                <w:lang w:val="en-US"/>
              </w:rPr>
            </w:pPr>
            <w:r w:rsidRPr="008B40A5">
              <w:rPr>
                <w:rFonts w:eastAsia="Times New Roman" w:cs="Arial"/>
                <w:szCs w:val="20"/>
                <w:lang w:val="en-US"/>
              </w:rPr>
              <w:t>A key feature of the platform is therefore its integrative role. As the project evolves, the platform serves as the place where the technical, administrative, financial, legal and communication-related outputs of the project are brought together and presented in a coherent way. This ensures that the knowledge and material developed are not confined to internal deliverables or stand-alone reports, but are instead translated into a digital support infrastructure with practical value for municipalities and other stakeholders. The platform therefore supports not only the visibility of the project, but also the operationalisation and long-term usability of its results, reinforcing the role of the OSS as a structured support mechanism for municipal building renovation.</w:t>
            </w:r>
          </w:p>
          <w:p w14:paraId="122B1553" w14:textId="77777777" w:rsidR="008B40A5" w:rsidRPr="008B40A5" w:rsidRDefault="008B40A5" w:rsidP="008B40A5">
            <w:pPr>
              <w:spacing w:before="120" w:after="120"/>
              <w:jc w:val="both"/>
              <w:rPr>
                <w:rFonts w:eastAsia="Times New Roman" w:cs="Arial"/>
                <w:szCs w:val="20"/>
                <w:lang w:val="en-US"/>
              </w:rPr>
            </w:pPr>
            <w:r w:rsidRPr="008B40A5">
              <w:rPr>
                <w:rFonts w:eastAsia="Times New Roman" w:cs="Arial"/>
                <w:szCs w:val="20"/>
                <w:lang w:val="en-US"/>
              </w:rPr>
              <w:t>The platform was developed as a structured digital environment combining a WordPress-based web infrastructure with additional custom-coded functionalities and interface elements, in order to support the specific operational needs of the project’s virtual office. This approach allowed the consortium to build a platform that is both content-rich and operationally flexible and combine the advantages of a stable web content management environment with tailored features designed specifically for municipal users and the support services of the OSS. The resulting platform was not conceived as a simple project website, but as a functional digital workspace through which users can access services, guidance, support material and selected interactive tools in a coherent and navigable way.</w:t>
            </w:r>
          </w:p>
          <w:p w14:paraId="19DDC8AD" w14:textId="77777777" w:rsidR="008B40A5" w:rsidRPr="008B40A5" w:rsidRDefault="008B40A5" w:rsidP="008B40A5">
            <w:pPr>
              <w:spacing w:before="120" w:after="120"/>
              <w:jc w:val="both"/>
              <w:rPr>
                <w:rFonts w:eastAsia="Times New Roman" w:cs="Arial"/>
                <w:szCs w:val="20"/>
                <w:lang w:val="en-US"/>
              </w:rPr>
            </w:pPr>
            <w:r w:rsidRPr="008B40A5">
              <w:rPr>
                <w:rFonts w:eastAsia="Times New Roman" w:cs="Arial"/>
                <w:szCs w:val="20"/>
                <w:lang w:val="en-US"/>
              </w:rPr>
              <w:t>From an architectural point of view, the platform was designed around a clear and structured access logic. The homepage functions as the main user entry point and introduces the role of the OSS in supporting municipalities and regions in all stages of preparation and implementation of public building energy renovation projects. The landing page provides immediate orientation to users through a combination of explanatory text, direct action buttons and thematic navigation options. In particular, it presents a concise explanation of the OSS mission and support scope, while also directing users toward key pathways such as general information, access to the service, and explanatory material on the nature and role of the OSS. In this way, the homepage performs both an informative and an operational role and helps first-time users understand what the platform offers and where they should go next depending on their needs.</w:t>
            </w:r>
          </w:p>
          <w:p w14:paraId="6C685F2D" w14:textId="77777777" w:rsidR="008B40A5" w:rsidRPr="008B40A5" w:rsidRDefault="008B40A5" w:rsidP="008B40A5">
            <w:pPr>
              <w:spacing w:before="120" w:after="120"/>
              <w:jc w:val="both"/>
              <w:rPr>
                <w:rFonts w:eastAsia="Times New Roman" w:cs="Arial"/>
                <w:szCs w:val="20"/>
                <w:lang w:val="en-US"/>
              </w:rPr>
            </w:pPr>
            <w:r w:rsidRPr="008B40A5">
              <w:rPr>
                <w:rFonts w:eastAsia="Times New Roman" w:cs="Arial"/>
                <w:szCs w:val="20"/>
                <w:lang w:val="en-US"/>
              </w:rPr>
              <w:t xml:space="preserve">The overall user interface was developed with emphasis on clarity, guided navigation and progressive access to information. The platform includes structured navigation menus that allow users to move easily across major content areas such as project maturation guidance, informational material, support material, news and communication-related pages. In addition, search functionality has been </w:t>
            </w:r>
            <w:r w:rsidRPr="008B40A5">
              <w:rPr>
                <w:rFonts w:eastAsia="Times New Roman" w:cs="Arial"/>
                <w:szCs w:val="20"/>
                <w:lang w:val="en-US"/>
              </w:rPr>
              <w:lastRenderedPageBreak/>
              <w:t>incorporated in order to facilitate access to specific topics and content. This is particularly important in a platform that brings together different forms of material, including regulatory information, examples, tools, guidance content and service-related pages. Rather than requiring users to navigate through large volumes of static text, the architecture supports a more directed and user-friendly experience in which content is organised by use case and practical relevance.</w:t>
            </w:r>
          </w:p>
          <w:p w14:paraId="7B182260" w14:textId="77777777" w:rsidR="008B40A5" w:rsidRPr="008B40A5" w:rsidRDefault="008B40A5" w:rsidP="008B40A5">
            <w:pPr>
              <w:spacing w:before="120" w:after="120"/>
              <w:jc w:val="both"/>
              <w:rPr>
                <w:rFonts w:eastAsia="Times New Roman" w:cs="Arial"/>
                <w:szCs w:val="20"/>
                <w:lang w:val="en-US"/>
              </w:rPr>
            </w:pPr>
            <w:r w:rsidRPr="008B40A5">
              <w:rPr>
                <w:rFonts w:eastAsia="Times New Roman" w:cs="Arial"/>
                <w:szCs w:val="20"/>
                <w:lang w:val="en-US"/>
              </w:rPr>
              <w:t>A central element of the user interface is the project assistance / guidance functionality, which offers an interactive orientation path for municipalities. Users can access a guided support sequence through a popup-based interaction environment. This guidance interface allows users to move step by step through a short structured pathway in which they provide basic orientation inputs, such as the type or size of the municipality, the maturity stage of their project and whether they are considering an Energy Performance Contracting route. Based on these selections, the system generates a proposed support path and presents tailored next-step guidance regarding what the OSS can offer and how the municipality may proceed. This functionality is particularly important because it transforms the platform from a passive repository of information into an active orientation tool, helping municipalities understand their position and the most relevant form of support available to them.</w:t>
            </w:r>
          </w:p>
          <w:p w14:paraId="67EBC5C4" w14:textId="77777777" w:rsidR="008B40A5" w:rsidRPr="008B40A5" w:rsidRDefault="008B40A5" w:rsidP="008B40A5">
            <w:pPr>
              <w:spacing w:before="120" w:after="120"/>
              <w:jc w:val="both"/>
              <w:rPr>
                <w:rFonts w:eastAsia="Times New Roman" w:cs="Arial"/>
                <w:szCs w:val="20"/>
                <w:lang w:val="en-US"/>
              </w:rPr>
            </w:pPr>
            <w:r w:rsidRPr="008B40A5">
              <w:rPr>
                <w:rFonts w:eastAsia="Times New Roman" w:cs="Arial"/>
                <w:szCs w:val="20"/>
                <w:lang w:val="en-US"/>
              </w:rPr>
              <w:t>The interface design of this guidance module also reflects the broader design logic of the platform. The interaction is organised in a way that is visually structured, sequential and easy to follow, with summary panels, short explanatory texts, decision points and progressively refined outputs. Rather than confronting users with a large volume of undifferentiated information, the interface supports a staged decision-support experience. This is especially useful for municipalities with limited experience in energy renovation project preparation, as it lowers the entry barrier and helps them navigate complex issues in a more manageable way. The platform therefore combines standard web navigation with more guided and semi-interactive interface components that support practical user orientation.</w:t>
            </w:r>
          </w:p>
          <w:p w14:paraId="5B0EEB02" w14:textId="77777777" w:rsidR="008B40A5" w:rsidRPr="008B40A5" w:rsidRDefault="008B40A5" w:rsidP="008B40A5">
            <w:pPr>
              <w:spacing w:before="120" w:after="120"/>
              <w:jc w:val="both"/>
              <w:rPr>
                <w:rFonts w:eastAsia="Times New Roman" w:cs="Arial"/>
                <w:szCs w:val="20"/>
                <w:lang w:val="en-US"/>
              </w:rPr>
            </w:pPr>
            <w:r w:rsidRPr="008B40A5">
              <w:rPr>
                <w:rFonts w:eastAsia="Times New Roman" w:cs="Arial"/>
                <w:szCs w:val="20"/>
                <w:lang w:val="en-US"/>
              </w:rPr>
              <w:t>There is also incorporated access and account functionality into the architecture. The registration system is already in place, together with municipality login, staff login and role-based access functionality. This means that the platform has not been designed only for anonymous browsing, but also for differentiated use by different categories of users. At the same time, dashboards for municipalities and internal OSS staff have already been introduced, although at this stage they remain relatively simple and are expected to be further refined in the next phase through practical use by the participating municipalities. This staged implementation approach is important. The core access and account architecture is in place, but some features are still expected to mature through real operational testing and iterative improvement. In addition, the manual verification logic for municipal accounts has been discussed and partially framed, although it has not yet been fully finalised.</w:t>
            </w:r>
          </w:p>
          <w:p w14:paraId="665AA0C3" w14:textId="77777777" w:rsidR="008B40A5" w:rsidRPr="008B40A5" w:rsidRDefault="008B40A5" w:rsidP="008B40A5">
            <w:pPr>
              <w:spacing w:before="120" w:after="120"/>
              <w:jc w:val="both"/>
              <w:rPr>
                <w:rFonts w:eastAsia="Times New Roman" w:cs="Arial"/>
                <w:szCs w:val="20"/>
                <w:lang w:val="en-US"/>
              </w:rPr>
            </w:pPr>
            <w:r w:rsidRPr="008B40A5">
              <w:rPr>
                <w:rFonts w:eastAsia="Times New Roman" w:cs="Arial"/>
                <w:szCs w:val="20"/>
                <w:lang w:val="en-US"/>
              </w:rPr>
              <w:t>From the perspective of access control and platform security, secure access features have already been incorporated, particularly for user login and differentiated content access. The platform has been developed with attention to data protection and the need to align with relevant privacy requirements. While some more advanced backend, restricted-content and authentication management features may continue to evolve in later phases, the current architecture already includes the basic functional elements required for controlled access, user registration and differentiated interaction with the platform environment. This is important because the platform is intended not only to display public content, but also to support more structured interaction with municipalities, service requests and future operational workflows.</w:t>
            </w:r>
          </w:p>
          <w:p w14:paraId="3DD64E67" w14:textId="77777777" w:rsidR="008B40A5" w:rsidRPr="008B40A5" w:rsidRDefault="008B40A5" w:rsidP="008B40A5">
            <w:pPr>
              <w:spacing w:before="120" w:after="120"/>
              <w:jc w:val="both"/>
              <w:rPr>
                <w:rFonts w:eastAsia="Times New Roman" w:cs="Arial"/>
                <w:szCs w:val="20"/>
                <w:lang w:val="en-US"/>
              </w:rPr>
            </w:pPr>
            <w:r w:rsidRPr="008B40A5">
              <w:rPr>
                <w:rFonts w:eastAsia="Times New Roman" w:cs="Arial"/>
                <w:szCs w:val="20"/>
                <w:lang w:val="en-US"/>
              </w:rPr>
              <w:t xml:space="preserve">A central dimension of the RenoInGR platform is its guidance-oriented architecture, which was developed to support municipalities and other relevant users in understanding and navigating the early and intermediate stages of public building renovation project preparation. In line with the broader role </w:t>
            </w:r>
            <w:r w:rsidRPr="008B40A5">
              <w:rPr>
                <w:rFonts w:eastAsia="Times New Roman" w:cs="Arial"/>
                <w:szCs w:val="20"/>
                <w:lang w:val="en-US"/>
              </w:rPr>
              <w:lastRenderedPageBreak/>
              <w:t>of the virtual OSS office, the platform does not merely provide static information, but offers structured support modules intended to facilitate orientation, project maturation and access to relevant support material. This guidance function is particularly important in the RenoInGR context, where many target users, especially small, island and mountainous municipalities, face significant administrative, technical and organisational constraints in moving from initial interest to a sufficiently mature renovation project.</w:t>
            </w:r>
          </w:p>
          <w:p w14:paraId="618A9F08" w14:textId="77777777" w:rsidR="008B40A5" w:rsidRPr="008B40A5" w:rsidRDefault="008B40A5" w:rsidP="008B40A5">
            <w:pPr>
              <w:spacing w:before="120" w:after="120"/>
              <w:jc w:val="both"/>
              <w:rPr>
                <w:rFonts w:eastAsia="Times New Roman" w:cs="Arial"/>
                <w:szCs w:val="20"/>
                <w:lang w:val="en-US"/>
              </w:rPr>
            </w:pPr>
            <w:r w:rsidRPr="008B40A5">
              <w:rPr>
                <w:rFonts w:eastAsia="Times New Roman" w:cs="Arial"/>
                <w:szCs w:val="20"/>
                <w:lang w:val="en-US"/>
              </w:rPr>
              <w:t>One of the most important components developed under the platform is the step-by-step project development guidance logic. This guidance function titled “Practical Guide for Energy Renovations of Municipal Buildings” has been structured so as to help users better understand where they stand in the project preparation process and what type of support may be most appropriate for their case. The description of the Guide is given in Task 3.4 under the chapter “Guidelines for Energy Renovation Project Development of Municipal Buildings”</w:t>
            </w:r>
          </w:p>
          <w:p w14:paraId="1E03D90A" w14:textId="77777777" w:rsidR="008B40A5" w:rsidRPr="008B40A5" w:rsidRDefault="008B40A5" w:rsidP="008B40A5">
            <w:pPr>
              <w:spacing w:before="120" w:after="120"/>
              <w:jc w:val="both"/>
              <w:rPr>
                <w:rFonts w:eastAsia="Times New Roman" w:cs="Arial"/>
                <w:szCs w:val="20"/>
                <w:lang w:val="en-US"/>
              </w:rPr>
            </w:pPr>
            <w:r w:rsidRPr="008B40A5">
              <w:rPr>
                <w:rFonts w:eastAsia="Times New Roman" w:cs="Arial"/>
                <w:szCs w:val="20"/>
                <w:lang w:val="en-US"/>
              </w:rPr>
              <w:t>Beyond this interactive orientation layer, it also includes broader project development support material designed to accompany municipalities throughout the maturation process. This includes guidance content related to the identification and organisation of basic building information, the understanding of project preparation stages, the interpretation of administrative and technical requirements, and the navigation of possible support routes available through the OSS. The purpose of these modules is not to replace technical studies or formal advisory procedures, but to help users understand what kind of information, documentation and preparatory work is typically needed and what practical steps should follow. In this respect, the platform acts as a structured bridge between general awareness and more operational project preparation.</w:t>
            </w:r>
          </w:p>
          <w:p w14:paraId="14AA1406" w14:textId="77777777" w:rsidR="008B40A5" w:rsidRPr="008B40A5" w:rsidRDefault="008B40A5" w:rsidP="008B40A5">
            <w:pPr>
              <w:spacing w:before="120" w:after="120"/>
              <w:jc w:val="both"/>
              <w:rPr>
                <w:rFonts w:eastAsia="Times New Roman" w:cs="Arial"/>
                <w:szCs w:val="20"/>
                <w:lang w:val="en-US"/>
              </w:rPr>
            </w:pPr>
            <w:r w:rsidRPr="008B40A5">
              <w:rPr>
                <w:rFonts w:eastAsia="Times New Roman" w:cs="Arial"/>
                <w:szCs w:val="20"/>
                <w:lang w:val="en-US"/>
              </w:rPr>
              <w:t>Financing-related guidance has also been incorporated into the platform as an important support component. Users are provided with access to information and tools that help them understand financing options and relevant scenarios for building renovation projects. This includes a dedicated computational/assessment tool related to financing considerations, as well as explanatory content that supports municipalities in understanding available funding approaches and the broader financial dimension of project maturation. Although the platform does not provide binding financial advice, it offers a useful orientation function by helping users become familiar with the financial logic of renovation planning and by linking financing-related guidance with the wider project development pathway.</w:t>
            </w:r>
          </w:p>
          <w:p w14:paraId="5BCEF748" w14:textId="77777777" w:rsidR="008B40A5" w:rsidRPr="008B40A5" w:rsidRDefault="008B40A5" w:rsidP="008B40A5">
            <w:pPr>
              <w:spacing w:before="120" w:after="120"/>
              <w:jc w:val="both"/>
              <w:rPr>
                <w:rFonts w:eastAsia="Times New Roman" w:cs="Arial"/>
                <w:szCs w:val="20"/>
                <w:lang w:val="en-US"/>
              </w:rPr>
            </w:pPr>
            <w:r w:rsidRPr="008B40A5">
              <w:rPr>
                <w:rFonts w:eastAsia="Times New Roman" w:cs="Arial"/>
                <w:szCs w:val="20"/>
                <w:lang w:val="en-US"/>
              </w:rPr>
              <w:t>The platform further includes support material relevant to renovation design and technical preparation. One particularly important feature in this respect is the integration of detailed examples of nZEB-oriented renovations, presented with substantial analytical content. These examples function as reference cases that help users understand what decarbonisation-oriented renovation design may involve in practice, including technical approaches and broader project logic. In parallel, the platform hosts supporting material that can help municipalities and stakeholders become familiar with the type of design-oriented thinking required for high-performance building renovation. This contributes to the educational and preparatory value of the platform, especially for users with limited prior exposure to such processes.</w:t>
            </w:r>
          </w:p>
          <w:p w14:paraId="2DF15B7A" w14:textId="77777777" w:rsidR="008B40A5" w:rsidRPr="008B40A5" w:rsidRDefault="008B40A5" w:rsidP="008B40A5">
            <w:pPr>
              <w:spacing w:before="120" w:after="120"/>
              <w:jc w:val="both"/>
              <w:rPr>
                <w:rFonts w:eastAsia="Times New Roman" w:cs="Arial"/>
                <w:szCs w:val="20"/>
                <w:lang w:val="en-US"/>
              </w:rPr>
            </w:pPr>
            <w:r w:rsidRPr="008B40A5">
              <w:rPr>
                <w:rFonts w:eastAsia="Times New Roman" w:cs="Arial"/>
                <w:szCs w:val="20"/>
                <w:lang w:val="en-US"/>
              </w:rPr>
              <w:t xml:space="preserve">In addition, it incorporates specialised thematic guidance modules that broaden the quality and depth of support available to users. An important example is the section on low-embodied-carbon materials and components, which includes structured theoretical and practical information, organised thematic content and a related catalogue of companies. This module supports the broader clean energy transition logic of the project by extending guidance beyond operational energy savings and into the material dimension of renovation design. Together with the provider-related information, the financing </w:t>
            </w:r>
            <w:r w:rsidRPr="008B40A5">
              <w:rPr>
                <w:rFonts w:eastAsia="Times New Roman" w:cs="Arial"/>
                <w:szCs w:val="20"/>
                <w:lang w:val="en-US"/>
              </w:rPr>
              <w:lastRenderedPageBreak/>
              <w:t>guidance and the project development support content, this helps the platform function as a more integrated environment for municipal orientation and informed project preparation.</w:t>
            </w:r>
          </w:p>
          <w:p w14:paraId="1F4F1464" w14:textId="77777777" w:rsidR="008B40A5" w:rsidRPr="008B40A5" w:rsidRDefault="008B40A5" w:rsidP="008B40A5">
            <w:pPr>
              <w:spacing w:before="120" w:after="120"/>
              <w:jc w:val="both"/>
              <w:rPr>
                <w:rFonts w:eastAsia="Times New Roman" w:cs="Arial"/>
                <w:szCs w:val="20"/>
                <w:lang w:val="en-US"/>
              </w:rPr>
            </w:pPr>
            <w:r w:rsidRPr="008B40A5">
              <w:rPr>
                <w:rFonts w:eastAsia="Times New Roman" w:cs="Arial"/>
                <w:szCs w:val="20"/>
                <w:lang w:val="en-US"/>
              </w:rPr>
              <w:t>Another major category concerns the regulatory and policy framework. The platform includes a dedicated regulation section providing access to structured information on the legal and procedural context relevant to renovation projects, as well as broader content related to EU policies and initiatives. This is a particularly valuable module for municipalities and public actors that often struggle to identify and navigate the regulatory basis of project preparation. By bringing together this information in a more accessible and curated manner, we reduce one of the most common barriers to early project development, namely the difficulty of locating and interpreting the institutional framework surrounding public building renovation.</w:t>
            </w:r>
          </w:p>
          <w:p w14:paraId="37CDF53A" w14:textId="77777777" w:rsidR="008B40A5" w:rsidRPr="008B40A5" w:rsidRDefault="008B40A5" w:rsidP="008B40A5">
            <w:pPr>
              <w:spacing w:before="120" w:after="120"/>
              <w:jc w:val="both"/>
              <w:rPr>
                <w:rFonts w:eastAsia="Times New Roman" w:cs="Arial"/>
                <w:szCs w:val="20"/>
                <w:lang w:val="en-US"/>
              </w:rPr>
            </w:pPr>
            <w:r w:rsidRPr="008B40A5">
              <w:rPr>
                <w:rFonts w:eastAsia="Times New Roman" w:cs="Arial"/>
                <w:szCs w:val="20"/>
                <w:lang w:val="en-US"/>
              </w:rPr>
              <w:t>Moreover, it incorporates dynamic information modules that support continuous updating and user orientation. These include the news section, where relevant updates and project-related information can be published, and the FAQ function, which helps users access information in a more efficient way.</w:t>
            </w:r>
          </w:p>
          <w:p w14:paraId="7345950C" w14:textId="77777777" w:rsidR="008B40A5" w:rsidRPr="008B40A5" w:rsidRDefault="008B40A5" w:rsidP="008B40A5">
            <w:pPr>
              <w:spacing w:before="120" w:after="120"/>
              <w:jc w:val="both"/>
              <w:rPr>
                <w:rFonts w:eastAsia="Times New Roman" w:cs="Arial"/>
                <w:szCs w:val="20"/>
                <w:lang w:val="en-US"/>
              </w:rPr>
            </w:pPr>
            <w:r w:rsidRPr="008B40A5">
              <w:rPr>
                <w:rFonts w:eastAsia="Times New Roman" w:cs="Arial"/>
                <w:szCs w:val="20"/>
                <w:lang w:val="en-US"/>
              </w:rPr>
              <w:t xml:space="preserve">At the current stage, some support modules are already fully available, while others remain under further development. Construction tender support material is being developed, while more advanced quality-assurance guidance and post-renovation behaviour / rebound-effect guidance have not yet been fully integrated into the platform. This reflects a phased development approach in which the platform already offers a substantial body of guidance and project development support, while some additional modules are expected to be further enriched and operationalised in the next implementation phase. </w:t>
            </w:r>
          </w:p>
          <w:p w14:paraId="4F73EB8A" w14:textId="77777777" w:rsidR="008B40A5" w:rsidRPr="008B40A5" w:rsidRDefault="008B40A5" w:rsidP="008B40A5">
            <w:pPr>
              <w:spacing w:before="120" w:after="120"/>
              <w:jc w:val="both"/>
              <w:rPr>
                <w:rFonts w:eastAsia="Times New Roman" w:cs="Arial"/>
                <w:szCs w:val="20"/>
                <w:lang w:val="en-US"/>
              </w:rPr>
            </w:pPr>
            <w:r w:rsidRPr="008B40A5">
              <w:rPr>
                <w:rFonts w:eastAsia="Times New Roman" w:cs="Arial"/>
                <w:szCs w:val="20"/>
                <w:lang w:val="en-US"/>
              </w:rPr>
              <w:t>A particularly important and innovative component of the RenoInGR platform is the integration of a smart assistant / chatbot function, which strengthens the role of the platform as an active digital support environment rather than a passive information repository. The chatbot was developed as part of the virtual OSS logic in order to provide direct, user-oriented assistance to municipalities and other users navigating the platform and the broader process of public building energy renovation preparation. In practical terms, this functionality supports users in identifying relevant information, understanding the role of the OSS, clarifying what kind of support may be available, and orienting themselves more effectively within the project development pathway.</w:t>
            </w:r>
          </w:p>
          <w:p w14:paraId="2D1FE27A" w14:textId="77777777" w:rsidR="008B40A5" w:rsidRPr="008B40A5" w:rsidRDefault="008B40A5" w:rsidP="008B40A5">
            <w:pPr>
              <w:spacing w:before="120" w:after="120"/>
              <w:jc w:val="both"/>
              <w:rPr>
                <w:rFonts w:eastAsia="Times New Roman" w:cs="Arial"/>
                <w:szCs w:val="20"/>
                <w:lang w:val="en-US"/>
              </w:rPr>
            </w:pPr>
            <w:r w:rsidRPr="008B40A5">
              <w:rPr>
                <w:rFonts w:eastAsia="Times New Roman" w:cs="Arial"/>
                <w:szCs w:val="20"/>
                <w:lang w:val="en-US"/>
              </w:rPr>
              <w:t>Technically, the smart assistant was implemented through an OpenAI API-based solution and integrated into the platform as an interactive support layer. This allowed the project to move beyond static content delivery and provide a conversational interface capable of responding to user questions in a more natural and practical way. The chatbot is not limited to fixed scripted answers but operates through a structured AI-supported interaction model that has been configured specifically for the RenoInGR context. It can therefore support users not only by pointing them to content, but also by helping them interpret the platform, understand available pathways and identify the next useful step depending on the issue they raise.</w:t>
            </w:r>
          </w:p>
          <w:p w14:paraId="3B4037E4" w14:textId="77777777" w:rsidR="008B40A5" w:rsidRPr="008B40A5" w:rsidRDefault="008B40A5" w:rsidP="008B40A5">
            <w:pPr>
              <w:spacing w:before="120" w:after="120"/>
              <w:jc w:val="both"/>
              <w:rPr>
                <w:rFonts w:eastAsia="Times New Roman" w:cs="Arial"/>
                <w:szCs w:val="20"/>
                <w:lang w:val="en-US"/>
              </w:rPr>
            </w:pPr>
            <w:r w:rsidRPr="008B40A5">
              <w:rPr>
                <w:rFonts w:eastAsia="Times New Roman" w:cs="Arial"/>
                <w:szCs w:val="20"/>
                <w:lang w:val="en-US"/>
              </w:rPr>
              <w:t>A key strength of this functionality is that it has been specifically adapted and fine-tuned for the needs of the platform. The assistant has been configured to operate in Greek and to respond in a practical, concise and user-oriented way, to avoid the style of a generic or overly formal helpdesk. Its role is to support users in relation to the RenoInGR platform, the OSS services, the project maturation process, and the first practical questions that typically arise when a municipality or public body considers preparing an energy renovation project. This includes, for example, helping users understand where they are in the process, what kind of information or documentation may be needed, what stage-specific support the OSS may provide, and which part of the platform is most relevant to their current need.</w:t>
            </w:r>
          </w:p>
          <w:p w14:paraId="29ACE9F1" w14:textId="77777777" w:rsidR="008B40A5" w:rsidRPr="008B40A5" w:rsidRDefault="008B40A5" w:rsidP="008B40A5">
            <w:pPr>
              <w:spacing w:before="120" w:after="120"/>
              <w:jc w:val="both"/>
              <w:rPr>
                <w:rFonts w:eastAsia="Times New Roman" w:cs="Arial"/>
                <w:szCs w:val="20"/>
                <w:lang w:val="en-US"/>
              </w:rPr>
            </w:pPr>
            <w:r w:rsidRPr="008B40A5">
              <w:rPr>
                <w:rFonts w:eastAsia="Times New Roman" w:cs="Arial"/>
                <w:szCs w:val="20"/>
                <w:lang w:val="en-US"/>
              </w:rPr>
              <w:lastRenderedPageBreak/>
              <w:t>The smart assistant is also designed to reflect the operational philosophy of the OSS. It can provide practical orientation on issues such as project maturation, building screening, support materials, financing approaches, bundling logic, examples, FAQs and relevant platform sections. At the same time, it has been intentionally configured to avoid overclaiming the platform’s role. It does not present itself as providing binding legal, financial or technical advice, nor as certifying providers or assigning projects. Instead, it acts as an intelligent first-line guidance tool that helps users move more efficiently through the available support structure and better understand how to engage with the OSS. This is especially important for municipalities with limited internal capacity, which may need immediate but accessible support before moving into more formal or detailed interaction with the project team.</w:t>
            </w:r>
          </w:p>
          <w:p w14:paraId="69977A4C" w14:textId="77777777" w:rsidR="008B40A5" w:rsidRPr="008B40A5" w:rsidRDefault="008B40A5" w:rsidP="008B40A5">
            <w:pPr>
              <w:spacing w:before="120" w:after="120"/>
              <w:jc w:val="both"/>
              <w:rPr>
                <w:rFonts w:eastAsia="Times New Roman" w:cs="Arial"/>
                <w:szCs w:val="20"/>
                <w:lang w:val="en-US"/>
              </w:rPr>
            </w:pPr>
            <w:r w:rsidRPr="008B40A5">
              <w:rPr>
                <w:rFonts w:eastAsia="Times New Roman" w:cs="Arial"/>
                <w:szCs w:val="20"/>
                <w:lang w:val="en-US"/>
              </w:rPr>
              <w:t>From the user interface perspective, the chatbot is integrated directly into the platform environment and can also be expanded into a full-screen interaction mode, to have more extensive conversational workspace where users may engage in a more detailed exchange. This full-screen functionality strengthens the usability of the assistant by making it possible to support longer or more complex user journeys, especially when a municipality wishes to explore a specific project case, ask procedural questions or understand the sequence of preparation steps in more depth. The ability to move from a lighter embedded interaction to a more extended chat environment increases the practical usefulness of the assistant and reinforces the digital service character of the platform.</w:t>
            </w:r>
          </w:p>
          <w:p w14:paraId="733B94D7" w14:textId="77777777" w:rsidR="008B40A5" w:rsidRPr="008B40A5" w:rsidRDefault="008B40A5" w:rsidP="008B40A5">
            <w:pPr>
              <w:spacing w:before="120" w:after="120"/>
              <w:jc w:val="both"/>
              <w:rPr>
                <w:rFonts w:eastAsia="Times New Roman" w:cs="Arial"/>
                <w:szCs w:val="20"/>
                <w:lang w:val="en-US"/>
              </w:rPr>
            </w:pPr>
            <w:r w:rsidRPr="008B40A5">
              <w:rPr>
                <w:rFonts w:eastAsia="Times New Roman" w:cs="Arial"/>
                <w:szCs w:val="20"/>
                <w:lang w:val="en-US"/>
              </w:rPr>
              <w:t>An additional strength of the chatbot lies in the fact that it is not treated as a fixed feature but as an evolving support mechanism. Fine-tuning work has already been carried out in order to improve the quality, relevance and tone of the assistant’s responses, and this refinement process is expected to continue in subsequent phases. In this way it is not only an innovative interface element, but also a continuously improvable support tool whose usefulness can increase over time through testing, user interaction and further adaptation to the needs of the platform and its target audiences.</w:t>
            </w:r>
          </w:p>
          <w:p w14:paraId="4FC9F723" w14:textId="77777777" w:rsidR="008B40A5" w:rsidRPr="008B40A5" w:rsidRDefault="008B40A5" w:rsidP="008B40A5">
            <w:pPr>
              <w:spacing w:before="120" w:after="120"/>
              <w:jc w:val="both"/>
              <w:rPr>
                <w:rFonts w:eastAsia="Times New Roman" w:cs="Arial"/>
                <w:szCs w:val="20"/>
                <w:lang w:val="en-US"/>
              </w:rPr>
            </w:pPr>
            <w:r w:rsidRPr="008B40A5">
              <w:rPr>
                <w:rFonts w:eastAsia="Times New Roman" w:cs="Arial"/>
                <w:szCs w:val="20"/>
                <w:lang w:val="en-US"/>
              </w:rPr>
              <w:t>Although the core development of the RenoInGR platform has been completed and the platform is already live and usable by the project partners, some elements remain to be further refined in the next phase of implementation. In particular, further improvements are expected in relation to the broader public operational launch of the platform, the enhancement of role-based functionalities and dashboards, the enrichment of dynamic tools and databases, and the continued refinement of user workflows through practical use by municipalities. In addition, certain modules foreseen in the wider platform concept, such as more advanced construction tender support, fuller quality-assurance guidance, post-renovation support content, expanded mobile optimisation and additional analytics/reporting functionalities, are expected to be further developed in subsequent phases. The platform should therefore be understood as a completed and operational core digital infrastructure that will continue to evolve through use, testing and progressive functional expansion.</w:t>
            </w:r>
          </w:p>
          <w:p w14:paraId="4C4769BC" w14:textId="77777777" w:rsidR="00AE4AE0" w:rsidRPr="006E127B" w:rsidRDefault="00AE4AE0" w:rsidP="00980F10">
            <w:pPr>
              <w:spacing w:before="120" w:after="120"/>
              <w:jc w:val="both"/>
              <w:rPr>
                <w:rFonts w:eastAsia="Times New Roman" w:cs="Arial"/>
                <w:szCs w:val="20"/>
                <w:lang w:val="en-US"/>
              </w:rPr>
            </w:pPr>
          </w:p>
          <w:p w14:paraId="46B3544B" w14:textId="5718B939" w:rsidR="00523C4F" w:rsidRPr="007D500E" w:rsidRDefault="00523C4F" w:rsidP="00980F10">
            <w:pPr>
              <w:spacing w:before="120" w:after="120"/>
              <w:jc w:val="both"/>
              <w:rPr>
                <w:rFonts w:eastAsia="Times New Roman" w:cs="Arial"/>
                <w:b/>
                <w:bCs/>
                <w:color w:val="C0504D" w:themeColor="accent2"/>
                <w:sz w:val="18"/>
                <w:szCs w:val="18"/>
              </w:rPr>
            </w:pPr>
            <w:r w:rsidRPr="007D500E">
              <w:rPr>
                <w:rFonts w:eastAsia="Times New Roman" w:cs="Arial"/>
                <w:b/>
                <w:bCs/>
                <w:color w:val="C0504D" w:themeColor="accent2"/>
                <w:sz w:val="18"/>
                <w:szCs w:val="18"/>
              </w:rPr>
              <w:t>T3.6 [Addressing regulatory gaps] ([Implemented] [Not implemented] [Partially implemented])</w:t>
            </w:r>
          </w:p>
          <w:p w14:paraId="68B59550" w14:textId="3586D76E" w:rsidR="00523C4F" w:rsidRPr="00AE7D7A" w:rsidRDefault="00AE7D7A" w:rsidP="00980F10">
            <w:pPr>
              <w:spacing w:before="120" w:after="120"/>
              <w:jc w:val="both"/>
              <w:rPr>
                <w:rFonts w:eastAsia="Times New Roman" w:cs="Arial"/>
                <w:b/>
                <w:bCs/>
                <w:color w:val="4F81BD" w:themeColor="accent1"/>
                <w:szCs w:val="20"/>
                <w:lang w:val="el-GR"/>
              </w:rPr>
            </w:pPr>
            <w:r w:rsidRPr="00AE7D7A">
              <w:rPr>
                <w:rFonts w:eastAsia="Times New Roman" w:cs="Arial"/>
                <w:b/>
                <w:bCs/>
                <w:color w:val="4F81BD" w:themeColor="accent1"/>
                <w:szCs w:val="20"/>
                <w:lang w:val="el-GR"/>
              </w:rPr>
              <w:t>ΚΕΛΕΜΕΝΗΣ</w:t>
            </w:r>
          </w:p>
          <w:p w14:paraId="1F3B72E4" w14:textId="77777777" w:rsidR="00523C4F" w:rsidRPr="007D500E" w:rsidRDefault="00523C4F" w:rsidP="00980F10">
            <w:pPr>
              <w:spacing w:before="120" w:after="120"/>
              <w:jc w:val="both"/>
              <w:rPr>
                <w:rFonts w:eastAsia="Times New Roman" w:cs="Arial"/>
                <w:color w:val="C0504D" w:themeColor="accent2"/>
                <w:sz w:val="18"/>
                <w:szCs w:val="18"/>
              </w:rPr>
            </w:pPr>
          </w:p>
          <w:p w14:paraId="7D645895" w14:textId="77777777" w:rsidR="00523C4F" w:rsidRPr="007D500E" w:rsidRDefault="00523C4F" w:rsidP="00980F10">
            <w:pPr>
              <w:spacing w:before="120" w:after="120"/>
              <w:jc w:val="both"/>
              <w:rPr>
                <w:rFonts w:eastAsia="Times New Roman" w:cs="Arial"/>
                <w:color w:val="C0504D" w:themeColor="accent2"/>
                <w:sz w:val="18"/>
                <w:szCs w:val="18"/>
              </w:rPr>
            </w:pPr>
          </w:p>
          <w:p w14:paraId="782FAD6F" w14:textId="77777777" w:rsidR="00523C4F" w:rsidRPr="007D500E" w:rsidRDefault="00523C4F" w:rsidP="00980F10">
            <w:pPr>
              <w:spacing w:before="120" w:after="120"/>
              <w:jc w:val="both"/>
              <w:rPr>
                <w:rFonts w:eastAsia="Times New Roman" w:cs="Arial"/>
                <w:color w:val="C0504D" w:themeColor="accent2"/>
                <w:sz w:val="18"/>
                <w:szCs w:val="18"/>
              </w:rPr>
            </w:pPr>
          </w:p>
          <w:p w14:paraId="0942359F" w14:textId="77777777" w:rsidR="000D3F05" w:rsidRPr="007D500E" w:rsidRDefault="000D3F05" w:rsidP="00980F10">
            <w:pPr>
              <w:spacing w:before="120" w:after="120"/>
              <w:jc w:val="both"/>
              <w:rPr>
                <w:rFonts w:eastAsia="Times New Roman" w:cs="Arial"/>
                <w:color w:val="C0504D" w:themeColor="accent2"/>
                <w:sz w:val="18"/>
                <w:szCs w:val="18"/>
              </w:rPr>
            </w:pPr>
            <w:r w:rsidRPr="007D500E">
              <w:rPr>
                <w:rFonts w:eastAsia="Times New Roman" w:cs="Arial"/>
                <w:color w:val="C0504D" w:themeColor="accent2"/>
                <w:sz w:val="18"/>
                <w:szCs w:val="18"/>
              </w:rPr>
              <w:t>…</w:t>
            </w:r>
          </w:p>
        </w:tc>
      </w:tr>
      <w:tr w:rsidR="000D3F05" w:rsidRPr="00200D1C" w14:paraId="598A61C4" w14:textId="77777777" w:rsidTr="00F75306">
        <w:tc>
          <w:tcPr>
            <w:tcW w:w="1659" w:type="pct"/>
            <w:shd w:val="clear" w:color="auto" w:fill="E6E6E6"/>
          </w:tcPr>
          <w:p w14:paraId="13456C10" w14:textId="77777777" w:rsidR="000D3F05" w:rsidRPr="00502422" w:rsidRDefault="000D3F05" w:rsidP="00881652">
            <w:pPr>
              <w:spacing w:before="120" w:after="120" w:line="240" w:lineRule="auto"/>
              <w:rPr>
                <w:rFonts w:eastAsia="Times New Roman" w:cs="Arial"/>
                <w:color w:val="595959"/>
                <w:sz w:val="18"/>
                <w:szCs w:val="18"/>
              </w:rPr>
            </w:pPr>
            <w:r>
              <w:rPr>
                <w:rFonts w:eastAsia="Times New Roman" w:cs="Arial"/>
                <w:color w:val="595959"/>
                <w:sz w:val="18"/>
                <w:szCs w:val="18"/>
              </w:rPr>
              <w:lastRenderedPageBreak/>
              <w:t>Other issues</w:t>
            </w:r>
            <w:r w:rsidRPr="00502422">
              <w:rPr>
                <w:rFonts w:eastAsia="Times New Roman" w:cs="Arial"/>
                <w:color w:val="595959"/>
                <w:sz w:val="18"/>
                <w:szCs w:val="18"/>
              </w:rPr>
              <w:t xml:space="preserve"> </w:t>
            </w:r>
          </w:p>
          <w:p w14:paraId="694F4DCB" w14:textId="77777777" w:rsidR="000D3F05" w:rsidRDefault="000D3F05" w:rsidP="00881652">
            <w:pPr>
              <w:spacing w:before="120" w:after="120" w:line="240" w:lineRule="auto"/>
              <w:rPr>
                <w:rFonts w:eastAsia="Times New Roman" w:cs="Arial"/>
                <w:b/>
                <w:bCs/>
                <w:color w:val="595959"/>
                <w:sz w:val="18"/>
                <w:szCs w:val="18"/>
              </w:rPr>
            </w:pPr>
            <w:r w:rsidRPr="51F6A2C3">
              <w:rPr>
                <w:rFonts w:eastAsia="Times New Roman" w:cs="Arial"/>
                <w:i/>
                <w:iCs/>
                <w:color w:val="595959"/>
                <w:sz w:val="16"/>
                <w:szCs w:val="16"/>
              </w:rPr>
              <w:lastRenderedPageBreak/>
              <w:t xml:space="preserve">Mention and explain unexpected events and adjustments that had to be made. Explain impact on other </w:t>
            </w:r>
            <w:r w:rsidRPr="00AF2ECC">
              <w:rPr>
                <w:rFonts w:eastAsia="Times New Roman" w:cs="Arial"/>
                <w:i/>
                <w:iCs/>
                <w:color w:val="595959"/>
                <w:sz w:val="16"/>
                <w:szCs w:val="16"/>
              </w:rPr>
              <w:t xml:space="preserve">tasks, available resources and planning/timing. </w:t>
            </w:r>
            <w:r w:rsidRPr="00AF2ECC">
              <w:rPr>
                <w:rFonts w:cs="Arial"/>
                <w:i/>
                <w:iCs/>
                <w:sz w:val="16"/>
                <w:szCs w:val="16"/>
              </w:rPr>
              <w:t>In case of major deviations from the planned budget, please refer to section 4.3.</w:t>
            </w:r>
          </w:p>
        </w:tc>
        <w:tc>
          <w:tcPr>
            <w:tcW w:w="3341" w:type="pct"/>
            <w:shd w:val="clear" w:color="auto" w:fill="FFFFFF" w:themeFill="background1"/>
          </w:tcPr>
          <w:p w14:paraId="2268567D" w14:textId="77777777" w:rsidR="000D3F05" w:rsidRPr="00B41F58" w:rsidRDefault="000D3F05" w:rsidP="00881652">
            <w:pPr>
              <w:spacing w:before="120" w:after="120" w:line="240" w:lineRule="auto"/>
              <w:ind w:right="4"/>
              <w:jc w:val="both"/>
              <w:rPr>
                <w:rFonts w:eastAsia="Calibri" w:cs="Arial"/>
                <w:color w:val="595959"/>
                <w:sz w:val="18"/>
                <w:szCs w:val="18"/>
              </w:rPr>
            </w:pPr>
            <w:r w:rsidRPr="00B41F58">
              <w:rPr>
                <w:rFonts w:eastAsia="Calibri" w:cs="Arial"/>
                <w:color w:val="595959"/>
                <w:sz w:val="18"/>
                <w:szCs w:val="18"/>
              </w:rPr>
              <w:lastRenderedPageBreak/>
              <w:t>Insert text</w:t>
            </w:r>
          </w:p>
          <w:p w14:paraId="17CAC8E9" w14:textId="77777777" w:rsidR="000D3F05" w:rsidRPr="00B41F58" w:rsidRDefault="000D3F05" w:rsidP="00881652">
            <w:pPr>
              <w:spacing w:before="120" w:after="120" w:line="240" w:lineRule="auto"/>
              <w:rPr>
                <w:rFonts w:eastAsia="Times New Roman" w:cs="Arial"/>
                <w:color w:val="595959"/>
                <w:sz w:val="18"/>
                <w:szCs w:val="20"/>
              </w:rPr>
            </w:pPr>
          </w:p>
        </w:tc>
      </w:tr>
      <w:tr w:rsidR="000D3F05" w:rsidRPr="00200D1C" w14:paraId="18CA1FDF" w14:textId="77777777" w:rsidTr="00F75306">
        <w:tc>
          <w:tcPr>
            <w:tcW w:w="5000" w:type="pct"/>
            <w:gridSpan w:val="2"/>
            <w:shd w:val="clear" w:color="auto" w:fill="D9D9D9" w:themeFill="background1" w:themeFillShade="D9"/>
          </w:tcPr>
          <w:p w14:paraId="2CD59537" w14:textId="77777777" w:rsidR="000D3F05" w:rsidRPr="00C93CB0" w:rsidRDefault="000D3F05" w:rsidP="00881652">
            <w:pPr>
              <w:spacing w:before="120" w:after="120" w:line="240" w:lineRule="auto"/>
              <w:rPr>
                <w:rFonts w:eastAsia="Times New Roman" w:cs="Arial"/>
                <w:b/>
                <w:bCs/>
                <w:color w:val="595959"/>
                <w:sz w:val="18"/>
                <w:szCs w:val="18"/>
              </w:rPr>
            </w:pPr>
            <w:r w:rsidRPr="51F6A2C3">
              <w:rPr>
                <w:rFonts w:eastAsia="Times New Roman" w:cs="Arial"/>
                <w:b/>
                <w:bCs/>
                <w:color w:val="595959"/>
                <w:sz w:val="18"/>
                <w:szCs w:val="18"/>
              </w:rPr>
              <w:lastRenderedPageBreak/>
              <w:t xml:space="preserve">Milestones and deliverables </w:t>
            </w:r>
            <w:r w:rsidRPr="51F6A2C3">
              <w:rPr>
                <w:rFonts w:cs="Arial"/>
                <w:b/>
                <w:bCs/>
                <w:sz w:val="18"/>
                <w:szCs w:val="18"/>
              </w:rPr>
              <w:t>(outputs/outcomes)</w:t>
            </w:r>
          </w:p>
        </w:tc>
      </w:tr>
      <w:tr w:rsidR="000D3F05" w:rsidRPr="00BC0C16" w14:paraId="25A4762B" w14:textId="77777777" w:rsidTr="00F75306">
        <w:trPr>
          <w:trHeight w:val="37"/>
        </w:trPr>
        <w:tc>
          <w:tcPr>
            <w:tcW w:w="5000" w:type="pct"/>
            <w:gridSpan w:val="2"/>
            <w:shd w:val="clear" w:color="auto" w:fill="F2F2F2" w:themeFill="background1" w:themeFillShade="F2"/>
          </w:tcPr>
          <w:p w14:paraId="1D356D07" w14:textId="77777777" w:rsidR="000D3F05" w:rsidRPr="00C93CB0" w:rsidRDefault="000D3F05" w:rsidP="00881652">
            <w:pPr>
              <w:spacing w:before="120" w:after="120" w:line="240" w:lineRule="auto"/>
              <w:rPr>
                <w:rFonts w:cs="Arial"/>
                <w:sz w:val="16"/>
                <w:szCs w:val="16"/>
              </w:rPr>
            </w:pPr>
            <w:r w:rsidRPr="00C93CB0">
              <w:rPr>
                <w:rFonts w:cs="Arial"/>
                <w:sz w:val="18"/>
                <w:szCs w:val="18"/>
              </w:rPr>
              <w:t>See Technical Report (Part A).</w:t>
            </w:r>
          </w:p>
        </w:tc>
      </w:tr>
    </w:tbl>
    <w:p w14:paraId="2E9D85A0" w14:textId="77777777" w:rsidR="000D3F05" w:rsidRDefault="000D3F05" w:rsidP="000D3F05">
      <w:pPr>
        <w:rPr>
          <w:rFonts w:eastAsia="Times New Roman" w:cs="Arial"/>
          <w:i/>
          <w:iCs/>
          <w:sz w:val="18"/>
          <w:szCs w:val="18"/>
          <w:lang w:eastAsia="en-GB"/>
        </w:rPr>
      </w:pPr>
    </w:p>
    <w:p w14:paraId="13296819" w14:textId="36AB09AB" w:rsidR="00DF6085" w:rsidRPr="00110BC6" w:rsidRDefault="00DF6085" w:rsidP="00DF6085">
      <w:pPr>
        <w:pStyle w:val="Heading4"/>
        <w:rPr>
          <w:sz w:val="18"/>
          <w:szCs w:val="18"/>
        </w:rPr>
      </w:pPr>
      <w:bookmarkStart w:id="51" w:name="_Toc227846972"/>
      <w:bookmarkStart w:id="52" w:name="_Hlk227102844"/>
      <w:r w:rsidRPr="00110BC6">
        <w:t xml:space="preserve">Work </w:t>
      </w:r>
      <w:r>
        <w:t>P</w:t>
      </w:r>
      <w:r w:rsidRPr="00A32534">
        <w:t>ackage</w:t>
      </w:r>
      <w:r w:rsidRPr="51F6A2C3">
        <w:t xml:space="preserve"> </w:t>
      </w:r>
      <w:r>
        <w:t>4</w:t>
      </w:r>
      <w:bookmarkEnd w:id="51"/>
    </w:p>
    <w:tbl>
      <w:tblPr>
        <w:tblW w:w="4842" w:type="pct"/>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3012"/>
        <w:gridCol w:w="6066"/>
      </w:tblGrid>
      <w:tr w:rsidR="00DF6085" w:rsidRPr="00200D1C" w14:paraId="1A268586" w14:textId="77777777" w:rsidTr="00881652">
        <w:trPr>
          <w:trHeight w:val="417"/>
        </w:trPr>
        <w:tc>
          <w:tcPr>
            <w:tcW w:w="5000" w:type="pct"/>
            <w:gridSpan w:val="2"/>
            <w:tcBorders>
              <w:bottom w:val="single" w:sz="12" w:space="0" w:color="A6A6A6" w:themeColor="background1" w:themeShade="A6"/>
            </w:tcBorders>
            <w:shd w:val="clear" w:color="auto" w:fill="D9D9D9" w:themeFill="background1" w:themeFillShade="D9"/>
          </w:tcPr>
          <w:p w14:paraId="368B541C" w14:textId="0722A162" w:rsidR="00DF6085" w:rsidRPr="00420A4A" w:rsidRDefault="00DF6085" w:rsidP="00881652">
            <w:pPr>
              <w:spacing w:before="240" w:after="240" w:line="240" w:lineRule="auto"/>
              <w:rPr>
                <w:rFonts w:eastAsia="Times New Roman" w:cs="Arial"/>
                <w:b/>
                <w:bCs/>
                <w:color w:val="595959"/>
              </w:rPr>
            </w:pPr>
            <w:r w:rsidRPr="51F6A2C3">
              <w:rPr>
                <w:rFonts w:eastAsia="Times New Roman" w:cs="Arial"/>
                <w:b/>
                <w:bCs/>
                <w:color w:val="595959"/>
              </w:rPr>
              <w:t xml:space="preserve">Work Package </w:t>
            </w:r>
            <w:r>
              <w:rPr>
                <w:rFonts w:eastAsia="Times New Roman" w:cs="Arial"/>
                <w:b/>
                <w:bCs/>
                <w:color w:val="595959"/>
              </w:rPr>
              <w:t>4</w:t>
            </w:r>
            <w:r w:rsidRPr="51F6A2C3">
              <w:rPr>
                <w:rFonts w:eastAsia="Times New Roman" w:cs="Arial"/>
                <w:b/>
                <w:bCs/>
                <w:color w:val="595959"/>
              </w:rPr>
              <w:t>: [</w:t>
            </w:r>
            <w:r w:rsidRPr="00DF6085">
              <w:rPr>
                <w:rFonts w:eastAsia="Times New Roman" w:cs="Arial"/>
                <w:b/>
                <w:bCs/>
                <w:color w:val="595959"/>
              </w:rPr>
              <w:t>Pilot operation</w:t>
            </w:r>
            <w:r w:rsidRPr="51F6A2C3">
              <w:rPr>
                <w:rFonts w:eastAsia="Times New Roman" w:cs="Arial"/>
                <w:b/>
                <w:bCs/>
                <w:color w:val="595959"/>
              </w:rPr>
              <w:t>]</w:t>
            </w:r>
          </w:p>
        </w:tc>
      </w:tr>
      <w:tr w:rsidR="00DF6085" w:rsidRPr="00200D1C" w14:paraId="58EAD1B7" w14:textId="77777777" w:rsidTr="00881652">
        <w:tc>
          <w:tcPr>
            <w:tcW w:w="5000" w:type="pct"/>
            <w:gridSpan w:val="2"/>
            <w:shd w:val="clear" w:color="auto" w:fill="D9D9D9" w:themeFill="background1" w:themeFillShade="D9"/>
          </w:tcPr>
          <w:p w14:paraId="52DD26DE" w14:textId="77777777" w:rsidR="00DF6085" w:rsidRPr="00D14AA2" w:rsidRDefault="00DF6085" w:rsidP="00881652">
            <w:pPr>
              <w:spacing w:before="120" w:after="120" w:line="240" w:lineRule="auto"/>
              <w:rPr>
                <w:rFonts w:eastAsia="Times New Roman" w:cs="Arial"/>
                <w:b/>
                <w:bCs/>
                <w:color w:val="595959"/>
                <w:sz w:val="18"/>
                <w:szCs w:val="18"/>
              </w:rPr>
            </w:pPr>
            <w:r w:rsidRPr="51F6A2C3">
              <w:rPr>
                <w:rFonts w:eastAsia="Times New Roman" w:cs="Arial"/>
                <w:b/>
                <w:bCs/>
                <w:color w:val="595959"/>
                <w:sz w:val="18"/>
                <w:szCs w:val="18"/>
              </w:rPr>
              <w:t xml:space="preserve">Activities </w:t>
            </w:r>
          </w:p>
          <w:p w14:paraId="0928ED8A" w14:textId="77777777" w:rsidR="00DF6085" w:rsidRPr="003A659F" w:rsidRDefault="00DF6085" w:rsidP="00881652">
            <w:pPr>
              <w:spacing w:before="120" w:after="60" w:line="240" w:lineRule="auto"/>
              <w:jc w:val="both"/>
              <w:rPr>
                <w:rFonts w:eastAsia="Times New Roman" w:cs="Arial"/>
                <w:i/>
                <w:iCs/>
                <w:sz w:val="16"/>
                <w:szCs w:val="16"/>
                <w:lang w:eastAsia="en-GB"/>
              </w:rPr>
            </w:pPr>
            <w:r w:rsidRPr="51F6A2C3">
              <w:rPr>
                <w:rFonts w:eastAsia="Times New Roman" w:cs="Arial"/>
                <w:i/>
                <w:iCs/>
                <w:kern w:val="32"/>
                <w:sz w:val="16"/>
                <w:szCs w:val="16"/>
                <w:lang w:eastAsia="en-GB"/>
              </w:rPr>
              <w:t xml:space="preserve">Explain the work carried out for each work package during the reporting period, giving details of the work carried out by each participant </w:t>
            </w:r>
            <w:r w:rsidRPr="00AF2ECC">
              <w:rPr>
                <w:rFonts w:eastAsia="Times New Roman" w:cs="Arial"/>
                <w:i/>
                <w:iCs/>
                <w:kern w:val="32"/>
                <w:sz w:val="16"/>
                <w:szCs w:val="16"/>
                <w:lang w:eastAsia="en-GB"/>
              </w:rPr>
              <w:t>involved. Please summarise in a few sentences what was done in the previous period, when applicable.</w:t>
            </w:r>
          </w:p>
          <w:p w14:paraId="022D8747" w14:textId="77777777" w:rsidR="00DF6085" w:rsidRPr="003A659F" w:rsidRDefault="00DF6085" w:rsidP="00881652">
            <w:pPr>
              <w:spacing w:after="60" w:line="240" w:lineRule="auto"/>
              <w:jc w:val="both"/>
              <w:rPr>
                <w:rFonts w:eastAsia="Times New Roman" w:cs="Arial"/>
                <w:i/>
                <w:iCs/>
                <w:sz w:val="16"/>
                <w:szCs w:val="16"/>
                <w:lang w:eastAsia="en-GB"/>
              </w:rPr>
            </w:pPr>
            <w:r w:rsidRPr="51F6A2C3">
              <w:rPr>
                <w:rFonts w:cs="Arial"/>
                <w:i/>
                <w:iCs/>
                <w:sz w:val="16"/>
                <w:szCs w:val="16"/>
              </w:rPr>
              <w:t xml:space="preserve">Explain the reasons for </w:t>
            </w:r>
            <w:r w:rsidRPr="51F6A2C3">
              <w:rPr>
                <w:rFonts w:cs="Arial"/>
                <w:i/>
                <w:iCs/>
                <w:sz w:val="16"/>
                <w:szCs w:val="16"/>
                <w:u w:val="single"/>
              </w:rPr>
              <w:t>deviations</w:t>
            </w:r>
            <w:r w:rsidRPr="51F6A2C3">
              <w:rPr>
                <w:rFonts w:cs="Arial"/>
                <w:i/>
                <w:iCs/>
                <w:sz w:val="16"/>
                <w:szCs w:val="16"/>
              </w:rPr>
              <w:t xml:space="preserve"> from </w:t>
            </w:r>
            <w:r w:rsidRPr="51F6A2C3">
              <w:rPr>
                <w:rFonts w:eastAsia="Times New Roman" w:cs="Arial"/>
                <w:i/>
                <w:iCs/>
                <w:color w:val="595959"/>
                <w:sz w:val="16"/>
                <w:szCs w:val="16"/>
              </w:rPr>
              <w:t>Annex 1 of the Grant Agreement</w:t>
            </w:r>
            <w:r w:rsidRPr="51F6A2C3">
              <w:rPr>
                <w:rFonts w:cs="Arial"/>
                <w:i/>
                <w:iCs/>
                <w:sz w:val="16"/>
                <w:szCs w:val="16"/>
              </w:rPr>
              <w:t>, the consequences and the proposed corrective actions.</w:t>
            </w:r>
          </w:p>
          <w:p w14:paraId="27AB4E7D" w14:textId="77777777" w:rsidR="00DF6085" w:rsidRPr="003A659F" w:rsidRDefault="00DF6085" w:rsidP="00881652">
            <w:pPr>
              <w:spacing w:after="60" w:line="240" w:lineRule="auto"/>
              <w:jc w:val="both"/>
              <w:rPr>
                <w:rFonts w:cs="Arial"/>
                <w:i/>
                <w:iCs/>
                <w:sz w:val="16"/>
                <w:szCs w:val="16"/>
              </w:rPr>
            </w:pPr>
            <w:r w:rsidRPr="51F6A2C3">
              <w:rPr>
                <w:rFonts w:cs="Arial"/>
                <w:i/>
                <w:iCs/>
                <w:sz w:val="16"/>
                <w:szCs w:val="16"/>
              </w:rPr>
              <w:t xml:space="preserve">Include explanations for tasks not fully implemented, critical objectives not fully achieved and/or not being on schedule. Explain also the impact on other tasks, on the available resources and the planning. Where necessary, make reference to the deliverables in the report text. </w:t>
            </w:r>
            <w:r w:rsidRPr="00AF2ECC">
              <w:rPr>
                <w:rFonts w:cs="Arial"/>
                <w:i/>
                <w:iCs/>
                <w:sz w:val="16"/>
                <w:szCs w:val="16"/>
              </w:rPr>
              <w:t>In case of major deviations from on the planned budget, please refer to section 4.3.</w:t>
            </w:r>
          </w:p>
          <w:p w14:paraId="71EEE4E1" w14:textId="77777777" w:rsidR="00DF6085" w:rsidRDefault="00DF6085" w:rsidP="00881652">
            <w:pPr>
              <w:spacing w:after="60" w:line="240" w:lineRule="auto"/>
              <w:jc w:val="both"/>
              <w:rPr>
                <w:i/>
                <w:iCs/>
                <w:sz w:val="16"/>
                <w:szCs w:val="16"/>
              </w:rPr>
            </w:pPr>
            <w:r w:rsidRPr="003F4E7A">
              <w:rPr>
                <w:i/>
                <w:iCs/>
                <w:sz w:val="16"/>
                <w:szCs w:val="16"/>
              </w:rPr>
              <w:t xml:space="preserve">Focus only on the </w:t>
            </w:r>
            <w:r w:rsidRPr="003F4E7A">
              <w:rPr>
                <w:b/>
                <w:bCs/>
                <w:i/>
                <w:iCs/>
                <w:sz w:val="16"/>
                <w:szCs w:val="16"/>
              </w:rPr>
              <w:t>main</w:t>
            </w:r>
            <w:r w:rsidRPr="003F4E7A">
              <w:rPr>
                <w:i/>
                <w:iCs/>
                <w:sz w:val="16"/>
                <w:szCs w:val="16"/>
              </w:rPr>
              <w:t xml:space="preserve"> </w:t>
            </w:r>
            <w:r w:rsidRPr="003F4E7A">
              <w:rPr>
                <w:b/>
                <w:bCs/>
                <w:i/>
                <w:iCs/>
                <w:sz w:val="16"/>
                <w:szCs w:val="16"/>
              </w:rPr>
              <w:t xml:space="preserve">results </w:t>
            </w:r>
            <w:r w:rsidRPr="003F4E7A">
              <w:rPr>
                <w:i/>
                <w:iCs/>
                <w:sz w:val="16"/>
                <w:szCs w:val="16"/>
              </w:rPr>
              <w:t xml:space="preserve">as well as important </w:t>
            </w:r>
            <w:r w:rsidRPr="003F4E7A">
              <w:rPr>
                <w:b/>
                <w:bCs/>
                <w:i/>
                <w:iCs/>
                <w:sz w:val="16"/>
                <w:szCs w:val="16"/>
              </w:rPr>
              <w:t>lessons learned</w:t>
            </w:r>
            <w:r w:rsidRPr="003F4E7A">
              <w:rPr>
                <w:i/>
                <w:iCs/>
                <w:sz w:val="16"/>
                <w:szCs w:val="16"/>
              </w:rPr>
              <w:t>. The technical details should be provided in the deliverables.</w:t>
            </w:r>
          </w:p>
          <w:p w14:paraId="74CF89EA" w14:textId="77777777" w:rsidR="00DF6085" w:rsidRPr="00C4658D" w:rsidRDefault="00DF6085" w:rsidP="00881652">
            <w:pPr>
              <w:spacing w:after="120" w:line="240" w:lineRule="auto"/>
              <w:jc w:val="both"/>
              <w:rPr>
                <w:rFonts w:eastAsia="Times New Roman" w:cs="Arial"/>
                <w:i/>
                <w:iCs/>
                <w:color w:val="595959"/>
                <w:sz w:val="16"/>
                <w:szCs w:val="16"/>
                <w:lang w:eastAsia="en-GB"/>
              </w:rPr>
            </w:pPr>
            <w:r w:rsidRPr="003F4E7A">
              <w:rPr>
                <w:i/>
                <w:iCs/>
                <w:sz w:val="16"/>
                <w:szCs w:val="16"/>
              </w:rPr>
              <w:t>Additionally, for Operating Grants</w:t>
            </w:r>
            <w:r>
              <w:rPr>
                <w:i/>
                <w:iCs/>
                <w:sz w:val="16"/>
                <w:szCs w:val="16"/>
              </w:rPr>
              <w:t xml:space="preserve">, </w:t>
            </w:r>
            <w:r w:rsidRPr="003F4E7A">
              <w:rPr>
                <w:rFonts w:eastAsia="Times New Roman" w:cs="Arial"/>
                <w:i/>
                <w:iCs/>
                <w:color w:val="595959"/>
                <w:sz w:val="16"/>
                <w:szCs w:val="16"/>
                <w:lang w:eastAsia="en-GB"/>
              </w:rPr>
              <w:t>report</w:t>
            </w:r>
            <w:r w:rsidRPr="51F6A2C3">
              <w:rPr>
                <w:rFonts w:eastAsia="Times New Roman" w:cs="Arial"/>
                <w:i/>
                <w:iCs/>
                <w:color w:val="595959"/>
                <w:sz w:val="16"/>
                <w:szCs w:val="16"/>
                <w:lang w:eastAsia="en-GB"/>
              </w:rPr>
              <w:t xml:space="preserve"> </w:t>
            </w:r>
            <w:r>
              <w:rPr>
                <w:rFonts w:eastAsia="Times New Roman" w:cs="Arial"/>
                <w:i/>
                <w:iCs/>
                <w:color w:val="595959"/>
                <w:sz w:val="16"/>
                <w:szCs w:val="16"/>
                <w:lang w:eastAsia="en-GB"/>
              </w:rPr>
              <w:t>u</w:t>
            </w:r>
            <w:r w:rsidRPr="003F4E7A">
              <w:rPr>
                <w:rFonts w:eastAsia="Times New Roman" w:cs="Arial"/>
                <w:i/>
                <w:iCs/>
                <w:color w:val="595959"/>
                <w:sz w:val="16"/>
                <w:szCs w:val="16"/>
                <w:lang w:eastAsia="en-GB"/>
              </w:rPr>
              <w:t>nder Work Package 1</w:t>
            </w:r>
            <w:r>
              <w:rPr>
                <w:rFonts w:eastAsia="Times New Roman" w:cs="Arial"/>
                <w:i/>
                <w:iCs/>
                <w:color w:val="595959"/>
                <w:sz w:val="16"/>
                <w:szCs w:val="16"/>
                <w:lang w:eastAsia="en-GB"/>
              </w:rPr>
              <w:t xml:space="preserve"> </w:t>
            </w:r>
            <w:r w:rsidRPr="51F6A2C3">
              <w:rPr>
                <w:rFonts w:eastAsia="Times New Roman" w:cs="Arial"/>
                <w:i/>
                <w:iCs/>
                <w:color w:val="595959"/>
                <w:sz w:val="16"/>
                <w:szCs w:val="16"/>
                <w:lang w:eastAsia="en-GB"/>
              </w:rPr>
              <w:t xml:space="preserve">on </w:t>
            </w:r>
            <w:r w:rsidRPr="51F6A2C3">
              <w:rPr>
                <w:rFonts w:eastAsia="Times New Roman" w:cs="Arial"/>
                <w:i/>
                <w:iCs/>
                <w:color w:val="595959"/>
                <w:sz w:val="16"/>
                <w:szCs w:val="16"/>
                <w:u w:val="single"/>
                <w:lang w:eastAsia="en-GB"/>
              </w:rPr>
              <w:t>changes</w:t>
            </w:r>
            <w:r w:rsidRPr="51F6A2C3">
              <w:rPr>
                <w:rFonts w:eastAsia="Times New Roman" w:cs="Arial"/>
                <w:i/>
                <w:iCs/>
                <w:color w:val="595959"/>
                <w:sz w:val="16"/>
                <w:szCs w:val="16"/>
                <w:lang w:eastAsia="en-GB"/>
              </w:rPr>
              <w:t xml:space="preserve"> in your organisation’s capacity (if any) to become a more efficient stakeholder in the </w:t>
            </w:r>
            <w:r>
              <w:rPr>
                <w:rFonts w:eastAsia="Times New Roman" w:cs="Arial"/>
                <w:i/>
                <w:iCs/>
                <w:color w:val="595959"/>
                <w:sz w:val="16"/>
                <w:szCs w:val="16"/>
                <w:lang w:eastAsia="en-GB"/>
              </w:rPr>
              <w:t>EU</w:t>
            </w:r>
            <w:r w:rsidRPr="51F6A2C3">
              <w:rPr>
                <w:rFonts w:eastAsia="Times New Roman" w:cs="Arial"/>
                <w:i/>
                <w:iCs/>
                <w:color w:val="595959"/>
                <w:sz w:val="16"/>
                <w:szCs w:val="16"/>
                <w:lang w:eastAsia="en-GB"/>
              </w:rPr>
              <w:t>’s policy process. Report on the proposed actions and their status to develop the organisation, widen the grassroots or members base, diversify and sustain the organisation's fundraising strategy and the strategy to reduce your dependence on LIFE operating grants.</w:t>
            </w:r>
          </w:p>
        </w:tc>
      </w:tr>
      <w:tr w:rsidR="00DF6085" w:rsidRPr="00740D31" w14:paraId="2C58E466" w14:textId="77777777" w:rsidTr="00881652">
        <w:trPr>
          <w:trHeight w:val="37"/>
        </w:trPr>
        <w:tc>
          <w:tcPr>
            <w:tcW w:w="5000" w:type="pct"/>
            <w:gridSpan w:val="2"/>
          </w:tcPr>
          <w:p w14:paraId="437C2F20" w14:textId="61392598" w:rsidR="00DF6085" w:rsidRPr="007D500E" w:rsidRDefault="00DF6085" w:rsidP="00980F10">
            <w:pPr>
              <w:spacing w:before="120" w:after="120"/>
              <w:rPr>
                <w:rFonts w:eastAsia="Times New Roman" w:cs="Arial"/>
                <w:b/>
                <w:bCs/>
                <w:color w:val="C0504D" w:themeColor="accent2"/>
                <w:sz w:val="18"/>
                <w:szCs w:val="18"/>
              </w:rPr>
            </w:pPr>
            <w:r w:rsidRPr="007D500E">
              <w:rPr>
                <w:rFonts w:eastAsia="Times New Roman" w:cs="Arial"/>
                <w:b/>
                <w:bCs/>
                <w:color w:val="C0504D" w:themeColor="accent2"/>
                <w:sz w:val="18"/>
                <w:szCs w:val="18"/>
              </w:rPr>
              <w:t xml:space="preserve">T4.1 [Project bundling and renovation design] </w:t>
            </w:r>
            <w:commentRangeStart w:id="53"/>
            <w:r w:rsidRPr="007D500E">
              <w:rPr>
                <w:rFonts w:eastAsia="Times New Roman" w:cs="Arial"/>
                <w:b/>
                <w:bCs/>
                <w:color w:val="C0504D" w:themeColor="accent2"/>
                <w:sz w:val="18"/>
                <w:szCs w:val="18"/>
              </w:rPr>
              <w:t>([Partially implemented])</w:t>
            </w:r>
            <w:commentRangeEnd w:id="53"/>
            <w:r w:rsidR="00B52289" w:rsidRPr="007D500E">
              <w:rPr>
                <w:rStyle w:val="CommentReference"/>
                <w:rFonts w:eastAsia="Times New Roman" w:cs="Arial"/>
                <w:b/>
                <w:bCs/>
                <w:color w:val="C0504D" w:themeColor="accent2"/>
                <w:sz w:val="18"/>
                <w:szCs w:val="18"/>
              </w:rPr>
              <w:commentReference w:id="53"/>
            </w:r>
          </w:p>
          <w:p w14:paraId="0E28A9B5" w14:textId="77777777" w:rsidR="00DF6085" w:rsidRPr="007D500E" w:rsidRDefault="00DF6085" w:rsidP="00980F10">
            <w:pPr>
              <w:spacing w:before="120" w:after="120"/>
              <w:rPr>
                <w:rFonts w:eastAsia="Times New Roman" w:cs="Arial"/>
                <w:color w:val="C0504D" w:themeColor="accent2"/>
                <w:sz w:val="18"/>
                <w:szCs w:val="18"/>
              </w:rPr>
            </w:pPr>
            <w:r w:rsidRPr="007D500E">
              <w:rPr>
                <w:rFonts w:eastAsia="Times New Roman" w:cs="Arial"/>
                <w:color w:val="C0504D" w:themeColor="accent2"/>
                <w:sz w:val="18"/>
                <w:szCs w:val="18"/>
              </w:rPr>
              <w:t>[Explain what was done and by whom; explain what was not done and why not; indicate how you intend to handle the situation and new timing; indicate if it was a one-off issue or how you intend to avoid similar issues in the future]</w:t>
            </w:r>
          </w:p>
          <w:p w14:paraId="3709BEC7" w14:textId="4A28E601" w:rsidR="002656EF" w:rsidRDefault="002656EF" w:rsidP="00980F10">
            <w:pPr>
              <w:spacing w:before="120" w:after="120"/>
              <w:rPr>
                <w:rFonts w:eastAsia="Times New Roman" w:cs="Arial"/>
                <w:color w:val="C0504D" w:themeColor="accent2"/>
                <w:sz w:val="18"/>
                <w:szCs w:val="18"/>
              </w:rPr>
            </w:pPr>
            <w:r w:rsidRPr="007D500E">
              <w:rPr>
                <w:rFonts w:eastAsia="Times New Roman" w:cs="Arial"/>
                <w:color w:val="C0504D" w:themeColor="accent2"/>
                <w:sz w:val="18"/>
                <w:szCs w:val="18"/>
              </w:rPr>
              <w:t>T.4.1.1 [Prefeasibility study and bundling]</w:t>
            </w:r>
          </w:p>
          <w:p w14:paraId="3D4BD4FE" w14:textId="77777777" w:rsidR="0068039A" w:rsidRPr="009A23A0" w:rsidRDefault="0068039A" w:rsidP="00980F10">
            <w:pPr>
              <w:spacing w:before="120" w:after="120"/>
              <w:jc w:val="both"/>
              <w:rPr>
                <w:rFonts w:eastAsia="Times New Roman" w:cs="Arial"/>
                <w:szCs w:val="20"/>
              </w:rPr>
            </w:pPr>
            <w:r w:rsidRPr="009A23A0">
              <w:rPr>
                <w:rFonts w:eastAsia="Times New Roman" w:cs="Arial"/>
                <w:szCs w:val="20"/>
              </w:rPr>
              <w:t>The implementation of Task 4.1.1 started with the formalisation of the cooperation framework between NTUA, acting as Project Coordinator, and the participating municipalities and regions, in line with Annex 1. During the reporting period, all written agreements foreseen under Deliverable D4.1 were completed, thus providing the institutional basis for launching the pilot project development process and the related preparatory actions. This step enabled the formal start of the prefeasibility phase and the systematic collection of the information required for the assessment of the pilot building stock.</w:t>
            </w:r>
          </w:p>
          <w:p w14:paraId="2136E26D" w14:textId="77777777" w:rsidR="0068039A" w:rsidRPr="009A23A0" w:rsidRDefault="0068039A" w:rsidP="00980F10">
            <w:pPr>
              <w:spacing w:before="120" w:after="120"/>
              <w:jc w:val="both"/>
              <w:rPr>
                <w:rFonts w:eastAsia="Times New Roman" w:cs="Arial"/>
                <w:szCs w:val="20"/>
              </w:rPr>
            </w:pPr>
            <w:r w:rsidRPr="009A23A0">
              <w:rPr>
                <w:rFonts w:eastAsia="Times New Roman" w:cs="Arial"/>
                <w:szCs w:val="20"/>
              </w:rPr>
              <w:t xml:space="preserve">The pilot preparation phase was </w:t>
            </w:r>
            <w:r w:rsidRPr="00684B5D">
              <w:rPr>
                <w:rFonts w:eastAsia="Times New Roman" w:cs="Arial"/>
                <w:szCs w:val="20"/>
              </w:rPr>
              <w:t xml:space="preserve">supported by a multidisciplinary team involving </w:t>
            </w:r>
            <w:r w:rsidRPr="00874C97">
              <w:rPr>
                <w:rFonts w:eastAsia="Times New Roman" w:cs="Arial"/>
                <w:szCs w:val="20"/>
              </w:rPr>
              <w:t>NTUA,</w:t>
            </w:r>
            <w:r w:rsidRPr="00684B5D">
              <w:rPr>
                <w:rFonts w:eastAsia="Times New Roman" w:cs="Arial"/>
                <w:szCs w:val="20"/>
                <w:highlight w:val="yellow"/>
              </w:rPr>
              <w:t xml:space="preserve"> </w:t>
            </w:r>
            <w:r>
              <w:rPr>
                <w:rFonts w:eastAsia="Times New Roman" w:cs="Arial"/>
                <w:szCs w:val="20"/>
              </w:rPr>
              <w:t>and Specialized Energy Auditors</w:t>
            </w:r>
            <w:r w:rsidRPr="009A23A0">
              <w:rPr>
                <w:rFonts w:eastAsia="Times New Roman" w:cs="Arial"/>
                <w:szCs w:val="20"/>
              </w:rPr>
              <w:t xml:space="preserve"> ensuring the availability of technical expertise and operational capacity for the implementation of the planned activities. A structured process was established for the collection of building-related data from the participating municipalities and regions through an electronic template. The requested information covered key administrative and technical aspects, including building condition, ownership status, building use, availability of technical documentation </w:t>
            </w:r>
            <w:r w:rsidRPr="009A23A0">
              <w:rPr>
                <w:rFonts w:eastAsia="Times New Roman" w:cs="Arial"/>
                <w:szCs w:val="20"/>
              </w:rPr>
              <w:lastRenderedPageBreak/>
              <w:t>and energy consumption data. This process was essential for the preliminary assessment of the building stock and for the planning of the subsequent on-site verification activities.</w:t>
            </w:r>
          </w:p>
          <w:p w14:paraId="51993462" w14:textId="77777777" w:rsidR="0068039A" w:rsidRPr="009A23A0" w:rsidRDefault="0068039A" w:rsidP="00980F10">
            <w:pPr>
              <w:spacing w:before="120" w:after="120"/>
              <w:jc w:val="both"/>
              <w:rPr>
                <w:rFonts w:eastAsia="Times New Roman" w:cs="Arial"/>
                <w:szCs w:val="20"/>
              </w:rPr>
            </w:pPr>
            <w:r w:rsidRPr="009A23A0">
              <w:rPr>
                <w:rFonts w:eastAsia="Times New Roman" w:cs="Arial"/>
                <w:szCs w:val="20"/>
              </w:rPr>
              <w:t xml:space="preserve">Following the consolidation of the building dataset, site visits in close coordination with the engineering teams and the local authorities were organised. During the reporting period, on-site assessments were completed </w:t>
            </w:r>
            <w:r w:rsidRPr="00874C97">
              <w:rPr>
                <w:rFonts w:eastAsia="Times New Roman" w:cs="Arial"/>
                <w:szCs w:val="20"/>
                <w:lang w:val="en-US"/>
              </w:rPr>
              <w:t>(</w:t>
            </w:r>
            <w:r w:rsidRPr="009A23A0">
              <w:rPr>
                <w:rFonts w:eastAsia="Times New Roman" w:cs="Arial"/>
                <w:szCs w:val="20"/>
              </w:rPr>
              <w:t>buildings located in the Regions of Western Macedonia and South Aegean and in the Municipalities of Central Tzoumerka, Anogia/Mylopotamos and Amfipoli</w:t>
            </w:r>
            <w:r w:rsidRPr="00874C97">
              <w:rPr>
                <w:rFonts w:eastAsia="Times New Roman" w:cs="Arial"/>
                <w:szCs w:val="20"/>
                <w:lang w:val="en-US"/>
              </w:rPr>
              <w:t>)</w:t>
            </w:r>
            <w:r w:rsidRPr="009A23A0">
              <w:rPr>
                <w:rFonts w:eastAsia="Times New Roman" w:cs="Arial"/>
                <w:szCs w:val="20"/>
              </w:rPr>
              <w:t xml:space="preserve">, while one final site visit remained pending </w:t>
            </w:r>
            <w:r w:rsidRPr="00874C97">
              <w:rPr>
                <w:rFonts w:eastAsia="Times New Roman" w:cs="Arial"/>
                <w:szCs w:val="20"/>
                <w:lang w:val="en-US"/>
              </w:rPr>
              <w:t>(</w:t>
            </w:r>
            <w:r w:rsidRPr="009A23A0">
              <w:rPr>
                <w:rFonts w:eastAsia="Times New Roman" w:cs="Arial"/>
                <w:szCs w:val="20"/>
              </w:rPr>
              <w:t>Municipality of Tilos</w:t>
            </w:r>
            <w:r w:rsidRPr="00874C97">
              <w:rPr>
                <w:rFonts w:eastAsia="Times New Roman" w:cs="Arial"/>
                <w:szCs w:val="20"/>
                <w:lang w:val="en-US"/>
              </w:rPr>
              <w:t>)</w:t>
            </w:r>
            <w:r w:rsidRPr="009A23A0">
              <w:rPr>
                <w:rFonts w:eastAsia="Times New Roman" w:cs="Arial"/>
                <w:szCs w:val="20"/>
              </w:rPr>
              <w:t>. These visits enabled the verification of the available data and the collection of additional technical information required for the preparation of Energy Performance Certificates (EPCs) and Energy</w:t>
            </w:r>
            <w:r w:rsidRPr="00874C97">
              <w:rPr>
                <w:rFonts w:eastAsia="Times New Roman" w:cs="Arial"/>
                <w:szCs w:val="20"/>
                <w:lang w:val="en-US"/>
              </w:rPr>
              <w:t xml:space="preserve"> </w:t>
            </w:r>
            <w:r>
              <w:rPr>
                <w:rFonts w:eastAsia="Times New Roman" w:cs="Arial"/>
                <w:szCs w:val="20"/>
                <w:lang w:val="en-US"/>
              </w:rPr>
              <w:t>Audit</w:t>
            </w:r>
            <w:r w:rsidRPr="009A23A0">
              <w:rPr>
                <w:rFonts w:eastAsia="Times New Roman" w:cs="Arial"/>
                <w:szCs w:val="20"/>
              </w:rPr>
              <w:t xml:space="preserve"> Reports. At the end of the reporting period, the EPCs and Energy</w:t>
            </w:r>
            <w:r>
              <w:rPr>
                <w:rFonts w:eastAsia="Times New Roman" w:cs="Arial"/>
                <w:szCs w:val="20"/>
              </w:rPr>
              <w:t xml:space="preserve"> Audit</w:t>
            </w:r>
            <w:r w:rsidRPr="009A23A0">
              <w:rPr>
                <w:rFonts w:eastAsia="Times New Roman" w:cs="Arial"/>
                <w:szCs w:val="20"/>
              </w:rPr>
              <w:t xml:space="preserve"> Reports were still in progress, which confirms that the technical assessment stage had advanced substantially but had not yet been fully completed.</w:t>
            </w:r>
          </w:p>
          <w:p w14:paraId="7D7B63B2" w14:textId="77777777" w:rsidR="0068039A" w:rsidRPr="009A23A0" w:rsidRDefault="0068039A" w:rsidP="00980F10">
            <w:pPr>
              <w:spacing w:before="120" w:after="120"/>
              <w:jc w:val="both"/>
              <w:rPr>
                <w:rFonts w:eastAsia="Times New Roman" w:cs="Arial"/>
                <w:szCs w:val="20"/>
              </w:rPr>
            </w:pPr>
            <w:r w:rsidRPr="009A23A0">
              <w:rPr>
                <w:rFonts w:eastAsia="Times New Roman" w:cs="Arial"/>
                <w:szCs w:val="20"/>
              </w:rPr>
              <w:t>In practical terms, the prefeasibility work was not developed as a standalone output. Instead, its essential elements were integrated into the broader process of technical review, site inspection and preparation of EPCs and Energy</w:t>
            </w:r>
            <w:r>
              <w:rPr>
                <w:rFonts w:eastAsia="Times New Roman" w:cs="Arial"/>
                <w:szCs w:val="20"/>
              </w:rPr>
              <w:t xml:space="preserve"> </w:t>
            </w:r>
            <w:r>
              <w:rPr>
                <w:rFonts w:eastAsia="Times New Roman" w:cs="Arial"/>
                <w:szCs w:val="20"/>
                <w:lang w:val="en-US"/>
              </w:rPr>
              <w:t>Audit</w:t>
            </w:r>
            <w:r w:rsidRPr="009A23A0">
              <w:rPr>
                <w:rFonts w:eastAsia="Times New Roman" w:cs="Arial"/>
                <w:szCs w:val="20"/>
              </w:rPr>
              <w:t xml:space="preserve"> Reports. This approach was considered more efficient, as the Energy</w:t>
            </w:r>
            <w:r>
              <w:rPr>
                <w:rFonts w:eastAsia="Times New Roman" w:cs="Arial"/>
                <w:szCs w:val="20"/>
              </w:rPr>
              <w:t xml:space="preserve"> </w:t>
            </w:r>
            <w:r>
              <w:rPr>
                <w:rFonts w:eastAsia="Times New Roman" w:cs="Arial"/>
                <w:szCs w:val="20"/>
                <w:lang w:val="en-US"/>
              </w:rPr>
              <w:t>Audit</w:t>
            </w:r>
            <w:r w:rsidRPr="009A23A0">
              <w:rPr>
                <w:rFonts w:eastAsia="Times New Roman" w:cs="Arial"/>
                <w:szCs w:val="20"/>
              </w:rPr>
              <w:t xml:space="preserve"> Reports already cover the core elements needed for the preliminary assessment of renovation potential, such as the identification of suitable energy-saving measures and recommendations for improving building performance. Similarly, a separate public procurement procedure for EPCs and Energy </w:t>
            </w:r>
            <w:r>
              <w:rPr>
                <w:rFonts w:eastAsia="Times New Roman" w:cs="Arial"/>
                <w:szCs w:val="20"/>
                <w:lang w:val="en-US"/>
              </w:rPr>
              <w:t>Audit</w:t>
            </w:r>
            <w:r>
              <w:rPr>
                <w:rFonts w:eastAsia="Times New Roman" w:cs="Arial"/>
                <w:szCs w:val="20"/>
              </w:rPr>
              <w:t xml:space="preserve"> </w:t>
            </w:r>
            <w:r w:rsidRPr="009A23A0">
              <w:rPr>
                <w:rFonts w:eastAsia="Times New Roman" w:cs="Arial"/>
                <w:szCs w:val="20"/>
              </w:rPr>
              <w:t>Reports was not launched, since the applicable implementation framework allowed these activities to be undertaken directly and ensured greater flexibility, lower cost and closer control over quality and timing.</w:t>
            </w:r>
          </w:p>
          <w:p w14:paraId="01ACAA8A" w14:textId="77777777" w:rsidR="0068039A" w:rsidRPr="009A23A0" w:rsidRDefault="0068039A" w:rsidP="00980F10">
            <w:pPr>
              <w:spacing w:before="120" w:after="120"/>
              <w:jc w:val="both"/>
              <w:rPr>
                <w:rFonts w:eastAsia="Times New Roman" w:cs="Arial"/>
                <w:szCs w:val="20"/>
              </w:rPr>
            </w:pPr>
            <w:r w:rsidRPr="009A23A0">
              <w:rPr>
                <w:rFonts w:eastAsia="Times New Roman" w:cs="Arial"/>
                <w:szCs w:val="20"/>
              </w:rPr>
              <w:t xml:space="preserve">The implementation of the task also revealed several practical challenges. A significant number of buildings initially proposed by municipalities and regions did not fully meet the intended criteria for assessment, like ownership by the participating authority, active use of the building and the availability of historical energy consumption data. As a result, were required revisions to the initial building lists and alternative buildings had to be identified within the same participating entities. In some cases, buildings that were not currently in use were retained due to the absence of viable alternatives or because future use was planned. Additional difficulties were identified in relation to the availability and quality of technical documentation. In many cases, essential information such as architectural drawings or technical studies was incomplete or unavailable, requiring the engineering teams to rely on approximate on-site measurements. Moreover, the limited availability of historical energy consumption data made it necessary in some cases to estimate baseline values. These issues affected the pace of implementation and contributed to delays in the preparation of EPCs, Energy </w:t>
            </w:r>
            <w:r>
              <w:rPr>
                <w:rFonts w:eastAsia="Times New Roman" w:cs="Arial"/>
                <w:szCs w:val="20"/>
                <w:lang w:val="en-US"/>
              </w:rPr>
              <w:t>Audit</w:t>
            </w:r>
            <w:r w:rsidRPr="009A23A0">
              <w:rPr>
                <w:rFonts w:eastAsia="Times New Roman" w:cs="Arial"/>
                <w:szCs w:val="20"/>
              </w:rPr>
              <w:t xml:space="preserve"> Reports and the subsequent technical preparation steps. However, these delays were managed through the mobilisation of experienced technical personnel, close coordination with the participating authorities and adaptation of the workflows to the constraints encountered.</w:t>
            </w:r>
          </w:p>
          <w:p w14:paraId="581721CF" w14:textId="77777777" w:rsidR="0068039A" w:rsidRPr="009A23A0" w:rsidRDefault="0068039A" w:rsidP="00980F10">
            <w:pPr>
              <w:spacing w:before="120" w:after="120"/>
              <w:jc w:val="both"/>
              <w:rPr>
                <w:rFonts w:eastAsia="Times New Roman" w:cs="Arial"/>
                <w:color w:val="31849B" w:themeColor="accent5" w:themeShade="BF"/>
                <w:szCs w:val="20"/>
                <w:lang w:val="el-GR"/>
              </w:rPr>
            </w:pPr>
            <w:r w:rsidRPr="009A23A0">
              <w:rPr>
                <w:rFonts w:eastAsia="Times New Roman" w:cs="Arial"/>
                <w:color w:val="31849B" w:themeColor="accent5" w:themeShade="BF"/>
                <w:szCs w:val="20"/>
                <w:lang w:val="el-GR"/>
              </w:rPr>
              <w:t>[</w:t>
            </w:r>
            <w:r w:rsidRPr="009A23A0">
              <w:rPr>
                <w:rFonts w:eastAsia="Times New Roman" w:cs="Arial"/>
                <w:color w:val="31849B" w:themeColor="accent5" w:themeShade="BF"/>
                <w:szCs w:val="20"/>
              </w:rPr>
              <w:t>Placeholder</w:t>
            </w:r>
            <w:r w:rsidRPr="009A23A0">
              <w:rPr>
                <w:rFonts w:eastAsia="Times New Roman" w:cs="Arial"/>
                <w:color w:val="31849B" w:themeColor="accent5" w:themeShade="BF"/>
                <w:szCs w:val="20"/>
                <w:lang w:val="el-GR"/>
              </w:rPr>
              <w:t xml:space="preserve"> –</w:t>
            </w:r>
            <w:r w:rsidRPr="009A23A0">
              <w:rPr>
                <w:rFonts w:eastAsia="Times New Roman" w:cs="Arial"/>
                <w:color w:val="31849B" w:themeColor="accent5" w:themeShade="BF"/>
                <w:szCs w:val="20"/>
              </w:rPr>
              <w:t>EUDITI</w:t>
            </w:r>
            <w:r w:rsidRPr="009A23A0">
              <w:rPr>
                <w:rFonts w:eastAsia="Times New Roman" w:cs="Arial"/>
                <w:color w:val="31849B" w:themeColor="accent5" w:themeShade="BF"/>
                <w:szCs w:val="20"/>
                <w:lang w:val="el-GR"/>
              </w:rPr>
              <w:t xml:space="preserve"> </w:t>
            </w:r>
            <w:r w:rsidRPr="009A23A0">
              <w:rPr>
                <w:color w:val="31849B" w:themeColor="accent5" w:themeShade="BF"/>
                <w:lang w:val="el-GR"/>
              </w:rPr>
              <w:t xml:space="preserve">Παρακαλούμε να επιβεβαιώσετε το </w:t>
            </w:r>
            <w:r w:rsidRPr="009A23A0">
              <w:rPr>
                <w:color w:val="31849B" w:themeColor="accent5" w:themeShade="BF"/>
              </w:rPr>
              <w:t>status</w:t>
            </w:r>
            <w:r w:rsidRPr="009A23A0">
              <w:rPr>
                <w:color w:val="31849B" w:themeColor="accent5" w:themeShade="BF"/>
                <w:lang w:val="el-GR"/>
              </w:rPr>
              <w:t xml:space="preserve"> του </w:t>
            </w:r>
            <w:r w:rsidRPr="009A23A0">
              <w:rPr>
                <w:color w:val="31849B" w:themeColor="accent5" w:themeShade="BF"/>
              </w:rPr>
              <w:t>bundling</w:t>
            </w:r>
            <w:r w:rsidRPr="009A23A0">
              <w:rPr>
                <w:color w:val="31849B" w:themeColor="accent5" w:themeShade="BF"/>
                <w:lang w:val="el-GR"/>
              </w:rPr>
              <w:t xml:space="preserve"> στο πλαίσιο του </w:t>
            </w:r>
            <w:r w:rsidRPr="009A23A0">
              <w:rPr>
                <w:color w:val="31849B" w:themeColor="accent5" w:themeShade="BF"/>
              </w:rPr>
              <w:t>T</w:t>
            </w:r>
            <w:r w:rsidRPr="009A23A0">
              <w:rPr>
                <w:color w:val="31849B" w:themeColor="accent5" w:themeShade="BF"/>
                <w:lang w:val="el-GR"/>
              </w:rPr>
              <w:t xml:space="preserve">4.1.1. </w:t>
            </w:r>
            <w:r w:rsidRPr="009A23A0">
              <w:rPr>
                <w:color w:val="31849B" w:themeColor="accent5" w:themeShade="BF"/>
              </w:rPr>
              <w:t xml:space="preserve">Σύμφωνα με το Annex 1, μετά την preliminary prefeasibility προβλέπεται first bundling of projects. </w:t>
            </w:r>
            <w:r w:rsidRPr="009A23A0">
              <w:rPr>
                <w:color w:val="31849B" w:themeColor="accent5" w:themeShade="BF"/>
                <w:lang w:val="el-GR"/>
              </w:rPr>
              <w:t xml:space="preserve">Παρακαλούμε να διευκρινιστεί αν το </w:t>
            </w:r>
            <w:r w:rsidRPr="009A23A0">
              <w:rPr>
                <w:color w:val="31849B" w:themeColor="accent5" w:themeShade="BF"/>
              </w:rPr>
              <w:t>bundling</w:t>
            </w:r>
            <w:r w:rsidRPr="009A23A0">
              <w:rPr>
                <w:color w:val="31849B" w:themeColor="accent5" w:themeShade="BF"/>
                <w:lang w:val="el-GR"/>
              </w:rPr>
              <w:t xml:space="preserve"> έχει ήδη ξεκινήσει/διαμορφωθεί σε αρχικό επίπεδο ή αν παραμένει εκκρεμές έως την ολοκλήρωση των </w:t>
            </w:r>
            <w:r w:rsidRPr="009A23A0">
              <w:rPr>
                <w:color w:val="31849B" w:themeColor="accent5" w:themeShade="BF"/>
              </w:rPr>
              <w:t>EPCs</w:t>
            </w:r>
            <w:r w:rsidRPr="009A23A0">
              <w:rPr>
                <w:color w:val="31849B" w:themeColor="accent5" w:themeShade="BF"/>
                <w:lang w:val="el-GR"/>
              </w:rPr>
              <w:t xml:space="preserve"> / </w:t>
            </w:r>
            <w:r w:rsidRPr="009A23A0">
              <w:rPr>
                <w:color w:val="31849B" w:themeColor="accent5" w:themeShade="BF"/>
              </w:rPr>
              <w:t>Energy</w:t>
            </w:r>
            <w:r w:rsidRPr="009A23A0">
              <w:rPr>
                <w:color w:val="31849B" w:themeColor="accent5" w:themeShade="BF"/>
                <w:lang w:val="el-GR"/>
              </w:rPr>
              <w:t xml:space="preserve"> </w:t>
            </w:r>
            <w:r w:rsidRPr="009A23A0">
              <w:rPr>
                <w:color w:val="31849B" w:themeColor="accent5" w:themeShade="BF"/>
              </w:rPr>
              <w:t>Reports</w:t>
            </w:r>
            <w:r w:rsidRPr="009A23A0">
              <w:rPr>
                <w:color w:val="31849B" w:themeColor="accent5" w:themeShade="BF"/>
                <w:lang w:val="el-GR"/>
              </w:rPr>
              <w:t>. Εφόσον έχει ξεκινήσει, παρακαλούμε να προστεθεί σύντομη περιγραφή της μέχρι τώρα προσέγγισης.</w:t>
            </w:r>
            <w:r w:rsidRPr="009A23A0">
              <w:rPr>
                <w:rFonts w:eastAsia="Times New Roman" w:cs="Arial"/>
                <w:color w:val="31849B" w:themeColor="accent5" w:themeShade="BF"/>
                <w:szCs w:val="20"/>
                <w:lang w:val="el-GR"/>
              </w:rPr>
              <w:t>]</w:t>
            </w:r>
          </w:p>
          <w:p w14:paraId="0A78EC74" w14:textId="77777777" w:rsidR="0068039A" w:rsidRPr="009A23A0" w:rsidRDefault="0068039A" w:rsidP="00980F10">
            <w:pPr>
              <w:spacing w:before="120" w:after="120"/>
              <w:jc w:val="both"/>
              <w:rPr>
                <w:rFonts w:eastAsia="Times New Roman" w:cs="Arial"/>
                <w:szCs w:val="20"/>
                <w:lang w:val="en-US"/>
              </w:rPr>
            </w:pPr>
            <w:r w:rsidRPr="009A23A0">
              <w:rPr>
                <w:rFonts w:eastAsia="Times New Roman" w:cs="Arial"/>
                <w:szCs w:val="20"/>
              </w:rPr>
              <w:t xml:space="preserve">Overall, Task 4.1.1 was partially implemented during the reporting period. The institutional basis for implementation was established, the core data collection and site assessment process was largely completed, and the technical groundwork for the prefeasibility stage advanced substantially. At the same time, the task had not yet been fully completed at month 18, mainly because the EPCs and Energy </w:t>
            </w:r>
            <w:r>
              <w:rPr>
                <w:rFonts w:eastAsia="Times New Roman" w:cs="Arial"/>
                <w:szCs w:val="20"/>
                <w:lang w:val="en-US"/>
              </w:rPr>
              <w:t>Audit</w:t>
            </w:r>
            <w:r w:rsidRPr="009A23A0">
              <w:rPr>
                <w:rFonts w:eastAsia="Times New Roman" w:cs="Arial"/>
                <w:szCs w:val="20"/>
              </w:rPr>
              <w:t xml:space="preserve"> Reports were still under preparation and because certain elements, including the first </w:t>
            </w:r>
            <w:r w:rsidRPr="009A23A0">
              <w:rPr>
                <w:rFonts w:eastAsia="Times New Roman" w:cs="Arial"/>
                <w:szCs w:val="20"/>
              </w:rPr>
              <w:lastRenderedPageBreak/>
              <w:t>bundling of projects, required further technical input. The experience gained through this phase also highlighted recurring structural issues which affect the readiness of municipalities to prepare building renovation projects, particularly in relation to data availability, documentation and technical preparedness. These findings will be taken into account in the subsequent phases of implementation and in the development of structured guidance and support under the broader OSS approach.</w:t>
            </w:r>
          </w:p>
          <w:p w14:paraId="6302EF33" w14:textId="3D1FAEB6" w:rsidR="002656EF" w:rsidRDefault="002656EF" w:rsidP="00980F10">
            <w:pPr>
              <w:spacing w:before="120" w:after="120"/>
              <w:rPr>
                <w:rFonts w:eastAsia="Times New Roman" w:cs="Arial"/>
                <w:color w:val="C0504D" w:themeColor="accent2"/>
                <w:sz w:val="18"/>
                <w:szCs w:val="18"/>
              </w:rPr>
            </w:pPr>
            <w:r w:rsidRPr="007D500E">
              <w:rPr>
                <w:rFonts w:eastAsia="Times New Roman" w:cs="Arial"/>
                <w:color w:val="C0504D" w:themeColor="accent2"/>
                <w:sz w:val="18"/>
                <w:szCs w:val="18"/>
              </w:rPr>
              <w:t xml:space="preserve">T. 4.1.2 </w:t>
            </w:r>
            <w:commentRangeStart w:id="54"/>
            <w:r w:rsidRPr="007D500E">
              <w:rPr>
                <w:rFonts w:eastAsia="Times New Roman" w:cs="Arial"/>
                <w:color w:val="C0504D" w:themeColor="accent2"/>
                <w:sz w:val="18"/>
                <w:szCs w:val="18"/>
              </w:rPr>
              <w:t>[Renovation Design]</w:t>
            </w:r>
            <w:commentRangeEnd w:id="54"/>
            <w:r w:rsidR="00C01E00">
              <w:rPr>
                <w:rStyle w:val="CommentReference"/>
                <w:rFonts w:eastAsia="Times New Roman" w:cs="Arial"/>
                <w:color w:val="C0504D" w:themeColor="accent2"/>
                <w:sz w:val="18"/>
                <w:szCs w:val="18"/>
              </w:rPr>
              <w:commentReference w:id="54"/>
            </w:r>
          </w:p>
          <w:p w14:paraId="32918978" w14:textId="77777777" w:rsidR="0068039A" w:rsidRPr="0068039A" w:rsidRDefault="0068039A" w:rsidP="00980F10">
            <w:pPr>
              <w:spacing w:before="120" w:after="120"/>
              <w:jc w:val="both"/>
              <w:rPr>
                <w:rFonts w:eastAsia="Times New Roman" w:cs="Arial"/>
                <w:szCs w:val="20"/>
              </w:rPr>
            </w:pPr>
            <w:commentRangeStart w:id="55"/>
            <w:r w:rsidRPr="0068039A">
              <w:rPr>
                <w:rFonts w:eastAsia="Times New Roman" w:cs="Arial"/>
                <w:szCs w:val="20"/>
              </w:rPr>
              <w:t>The</w:t>
            </w:r>
            <w:commentRangeEnd w:id="55"/>
            <w:r w:rsidRPr="0068039A">
              <w:rPr>
                <w:rStyle w:val="CommentReference"/>
                <w:rFonts w:eastAsia="Times New Roman" w:cs="Arial"/>
                <w:sz w:val="20"/>
                <w:szCs w:val="20"/>
              </w:rPr>
              <w:commentReference w:id="55"/>
            </w:r>
            <w:r w:rsidRPr="0068039A">
              <w:rPr>
                <w:rFonts w:eastAsia="Times New Roman" w:cs="Arial"/>
                <w:szCs w:val="20"/>
              </w:rPr>
              <w:t xml:space="preserve"> implementation of Task 4.1.2 is currently underway, with the preparation of tender document constituting the primary activity during the reporting period. The process has been initiated for the building of the Region of Western Macedonia, located in Kozani, which represents the most advanced case in terms of procedural progress. For the remaining pilot buildings, the preparation of the tender document is scheduled in the next stage, in accordance with the overall project timeline.</w:t>
            </w:r>
          </w:p>
          <w:p w14:paraId="145384DB" w14:textId="77777777" w:rsidR="0068039A" w:rsidRPr="0068039A" w:rsidRDefault="0068039A" w:rsidP="00980F10">
            <w:pPr>
              <w:spacing w:before="120" w:after="120"/>
              <w:jc w:val="both"/>
              <w:rPr>
                <w:rFonts w:eastAsia="Times New Roman" w:cs="Arial"/>
                <w:szCs w:val="20"/>
              </w:rPr>
            </w:pPr>
            <w:r w:rsidRPr="0068039A">
              <w:rPr>
                <w:rFonts w:eastAsia="Times New Roman" w:cs="Arial"/>
                <w:szCs w:val="20"/>
              </w:rPr>
              <w:t>Given the complexity of the pilot buildings located in the Regions of Western Macedonia and South Aegean, the tender document preparation process has been structured on a differentiated basis. Specifically, the buildings have been outsourced. This decision was justified by the particular technical and regulatory challenges associated with these two cases: the building in Kozani is challenging since it exceeds 11,000 square meters, while the building in Syros is a protected monument, according the Ministry of Culture and Sports, thereby requiring specialised expertise in heritage conservation and compliance with applicable preservation regulations. The tender document for the remaining pilot buildings is planned to be developed in-house, leveraging the internal technical capacity of the project team.</w:t>
            </w:r>
          </w:p>
          <w:p w14:paraId="631C8B3D" w14:textId="77777777" w:rsidR="0068039A" w:rsidRPr="0068039A" w:rsidRDefault="0068039A" w:rsidP="00980F10">
            <w:pPr>
              <w:spacing w:before="120" w:after="120"/>
              <w:jc w:val="both"/>
              <w:rPr>
                <w:rFonts w:eastAsia="Times New Roman" w:cs="Arial"/>
                <w:szCs w:val="20"/>
              </w:rPr>
            </w:pPr>
            <w:r w:rsidRPr="0068039A">
              <w:rPr>
                <w:rFonts w:eastAsia="Times New Roman" w:cs="Arial"/>
                <w:szCs w:val="20"/>
              </w:rPr>
              <w:t>The completion of the tender document for all pilot buildings has not yet been achieved within the originally foreseen timeframe. The delays observed in Task 4.1.2 are linked directly to the challenges encountered in Task 4.1.1, as described in the corresponding section of this report. In particular, the delayed issuance of Energy Performance Certificates (EPCs) and the postponement of Energy Audit Reports (EAR) for a number of buildings have postpone the availability of the technical inputs required for the preparation of complete and compliant tender document. Since Task 4.1.2 is functionally dependent on the outputs of Task 4.1.1, any delays in the preceding task are necessarily carried forward.</w:t>
            </w:r>
          </w:p>
          <w:p w14:paraId="5916A084" w14:textId="77777777" w:rsidR="0068039A" w:rsidRPr="0068039A" w:rsidRDefault="0068039A" w:rsidP="00980F10">
            <w:pPr>
              <w:spacing w:before="120" w:after="120"/>
              <w:jc w:val="both"/>
              <w:rPr>
                <w:rFonts w:eastAsia="Times New Roman" w:cs="Arial"/>
                <w:szCs w:val="20"/>
              </w:rPr>
            </w:pPr>
            <w:r w:rsidRPr="0068039A">
              <w:rPr>
                <w:rFonts w:eastAsia="Times New Roman" w:cs="Arial"/>
                <w:szCs w:val="20"/>
              </w:rPr>
              <w:t>It should be noted, however, that no deviations from the quantitative targets set for the task were recorded. On the contrary, the project team succeeded in exceeding the target of 60 buildings, ultimately completing the required assessments for 61 buildings (an increase of 1,7% of buildings and 8,5% in total m2). This outcome reflects the sustained effort and commitment of the team involved, and demonstrates that the delays are procedural in nature rather than indicative of underperformance with respect to scope.</w:t>
            </w:r>
          </w:p>
          <w:p w14:paraId="5418BD5F" w14:textId="77777777" w:rsidR="0068039A" w:rsidRPr="0068039A" w:rsidRDefault="0068039A" w:rsidP="00980F10">
            <w:pPr>
              <w:spacing w:before="120" w:after="120"/>
              <w:jc w:val="both"/>
              <w:rPr>
                <w:rFonts w:eastAsia="Times New Roman" w:cs="Arial"/>
                <w:szCs w:val="20"/>
              </w:rPr>
            </w:pPr>
            <w:r w:rsidRPr="0068039A">
              <w:rPr>
                <w:rFonts w:eastAsia="Times New Roman" w:cs="Arial"/>
                <w:szCs w:val="20"/>
              </w:rPr>
              <w:t>Regarding the current status of the tender document for the Kozani building, the precise stage of advancement is not yet confirmed at the time of this report and will be updated upon receipt of information from the responsible party.</w:t>
            </w:r>
          </w:p>
          <w:p w14:paraId="5425C20C" w14:textId="77777777" w:rsidR="0068039A" w:rsidRPr="0068039A" w:rsidRDefault="0068039A" w:rsidP="00980F10">
            <w:pPr>
              <w:spacing w:before="120" w:after="120"/>
              <w:jc w:val="both"/>
              <w:rPr>
                <w:rFonts w:eastAsia="Times New Roman" w:cs="Arial"/>
                <w:szCs w:val="20"/>
              </w:rPr>
            </w:pPr>
            <w:r w:rsidRPr="0068039A">
              <w:rPr>
                <w:rFonts w:eastAsia="Times New Roman" w:cs="Arial"/>
                <w:szCs w:val="20"/>
              </w:rPr>
              <w:t>The Deliverable associated with Task 4.1.2 is scheduled for submission in Month 20 (April 2026). In light of the above-mentioned dependencies and the resultant delays, the timely completion of all preparatory activities constitutes a matter of high priority for the project team.</w:t>
            </w:r>
          </w:p>
          <w:p w14:paraId="47922CB6" w14:textId="77777777" w:rsidR="0068039A" w:rsidRPr="0068039A" w:rsidRDefault="0068039A" w:rsidP="00980F10">
            <w:pPr>
              <w:spacing w:before="120" w:after="120"/>
              <w:jc w:val="both"/>
              <w:rPr>
                <w:rFonts w:eastAsia="Times New Roman" w:cs="Arial"/>
                <w:szCs w:val="20"/>
              </w:rPr>
            </w:pPr>
            <w:r w:rsidRPr="0068039A">
              <w:rPr>
                <w:rFonts w:eastAsia="Times New Roman" w:cs="Arial"/>
                <w:szCs w:val="20"/>
              </w:rPr>
              <w:t xml:space="preserve">The priorities for the upcoming period are the following three objectives. The first objective is that the project team will focus on completing all on-site visits, with the island of Tilos representing the sole remaining location to be surveyed. The second objective is to confirm that EPCs have been obtained for all pilot buildings, as this is requirement for proceeding to the (EAR) phase. Once the (EAR) have </w:t>
            </w:r>
            <w:r w:rsidRPr="0068039A">
              <w:rPr>
                <w:rFonts w:eastAsia="Times New Roman" w:cs="Arial"/>
                <w:szCs w:val="20"/>
              </w:rPr>
              <w:lastRenderedPageBreak/>
              <w:t>been finalised, the team, as the third objective, will advance to the preparation of the tender document for the remaining buildings and the completing of this deliverable at the earliest possible opportunity.</w:t>
            </w:r>
          </w:p>
          <w:p w14:paraId="1855A5BA" w14:textId="4DCA209A" w:rsidR="0068039A" w:rsidRPr="0068039A" w:rsidRDefault="0068039A" w:rsidP="00980F10">
            <w:pPr>
              <w:spacing w:before="120" w:after="120"/>
              <w:jc w:val="both"/>
              <w:rPr>
                <w:rFonts w:eastAsia="Times New Roman" w:cs="Arial"/>
                <w:szCs w:val="20"/>
              </w:rPr>
            </w:pPr>
            <w:r w:rsidRPr="0068039A">
              <w:rPr>
                <w:rFonts w:eastAsia="Times New Roman" w:cs="Arial"/>
                <w:szCs w:val="20"/>
              </w:rPr>
              <w:t>The project team remains committed to minimising further delays and to ensuring that the quality and completeness of the tender document meet the standards required for the subsequent procurement and renovation phases</w:t>
            </w:r>
          </w:p>
          <w:p w14:paraId="1D812E89" w14:textId="78D264B7" w:rsidR="002656EF" w:rsidRDefault="002656EF" w:rsidP="00980F10">
            <w:pPr>
              <w:spacing w:before="120" w:after="120"/>
              <w:rPr>
                <w:rFonts w:eastAsia="Times New Roman" w:cs="Arial"/>
                <w:color w:val="C0504D" w:themeColor="accent2"/>
                <w:sz w:val="18"/>
                <w:szCs w:val="18"/>
              </w:rPr>
            </w:pPr>
            <w:r w:rsidRPr="007D500E">
              <w:rPr>
                <w:rFonts w:eastAsia="Times New Roman" w:cs="Arial"/>
                <w:color w:val="C0504D" w:themeColor="accent2"/>
                <w:sz w:val="18"/>
                <w:szCs w:val="18"/>
              </w:rPr>
              <w:t>T. 4.1.3 [List of Contractors, EnPC companies, Engineering design providers]</w:t>
            </w:r>
          </w:p>
          <w:p w14:paraId="4FCE8580" w14:textId="71DEC132" w:rsidR="00E62E90" w:rsidRPr="00E62E90" w:rsidRDefault="00E62E90" w:rsidP="00980F10">
            <w:pPr>
              <w:spacing w:before="120" w:after="120"/>
              <w:jc w:val="both"/>
              <w:rPr>
                <w:rFonts w:eastAsia="Times New Roman" w:cs="Arial"/>
                <w:szCs w:val="20"/>
              </w:rPr>
            </w:pPr>
            <w:r w:rsidRPr="00E62E90">
              <w:rPr>
                <w:rFonts w:eastAsia="Times New Roman" w:cs="Arial"/>
                <w:szCs w:val="20"/>
              </w:rPr>
              <w:t>During the reporting period, Task 4.1.3 was implemented through the preparation and delivery of D4.3, which established the procedural and operational basis for the RenoInGR List of Contractors and its future updates. In line with Annex 1, the task focused on setting up an open and transparent framework for identifying contractors, EnPC companies and engineering design providers that may participate in future design and implementation tenders related to the pilot building renovations. The overall objective was to strengthen procedural transparency, broaden market participation and reduce the risk of delays or appeals during later procurement stages.</w:t>
            </w:r>
          </w:p>
          <w:p w14:paraId="14BCBF57" w14:textId="09A69CCB" w:rsidR="00E62E90" w:rsidRPr="00E62E90" w:rsidRDefault="00E62E90" w:rsidP="00980F10">
            <w:pPr>
              <w:spacing w:before="120" w:after="120"/>
              <w:jc w:val="both"/>
              <w:rPr>
                <w:rFonts w:eastAsia="Times New Roman" w:cs="Arial"/>
                <w:szCs w:val="20"/>
              </w:rPr>
            </w:pPr>
            <w:r w:rsidRPr="00E62E90">
              <w:rPr>
                <w:rFonts w:eastAsia="Times New Roman" w:cs="Arial"/>
                <w:szCs w:val="20"/>
              </w:rPr>
              <w:t>The work was led by NTUA, with contributions from EUDITI, CRES and the project’s legal support team, as reflected in D4.3. During the first nine months of implementation, the consortium carried out a series of preparatory outreach and market consultation actions aimed at informing the design of the Call for Expression of Interest (CEI) mechanism. These included a structured stakeholder roundtable with technical, financial and institutional actors, an online market consultation questionnaire addressed to relevant service providers, direct expressions of interest and qualitative feedback from market participants, and the development of the associated digital infrastructure through the OSS website. These actions provided practical insight into contractor expectations, procurement barriers, financing concerns and the type of support expected from the OSS.</w:t>
            </w:r>
          </w:p>
          <w:p w14:paraId="6730FCDC" w14:textId="57D9D483" w:rsidR="00E62E90" w:rsidRPr="00E62E90" w:rsidRDefault="00E62E90" w:rsidP="00980F10">
            <w:pPr>
              <w:spacing w:before="120" w:after="120"/>
              <w:jc w:val="both"/>
              <w:rPr>
                <w:rFonts w:eastAsia="Times New Roman" w:cs="Arial"/>
                <w:szCs w:val="20"/>
              </w:rPr>
            </w:pPr>
            <w:r w:rsidRPr="00E62E90">
              <w:rPr>
                <w:rFonts w:eastAsia="Times New Roman" w:cs="Arial"/>
                <w:szCs w:val="20"/>
              </w:rPr>
              <w:t>In parallel, the task delivered the first formal design of the CEI framework and the selection logic for the future contractor registry. D4.3 describes the purpose and scope of the registry, the categories of eligible entities, the general eligibility conditions, the selection criteria, the submission requirements and the dissemination strategy. It also establishes the logic of a dynamic, periodically updated registry supported through the OSS platform, with recurring CEIs foreseen approximately every four months throughout the project duration. In this way, the task did not merely produce a static list, but put in place the system through which the list will be progressively built, updated and used as a transparent pre-selection mechanism for future tenders.</w:t>
            </w:r>
          </w:p>
          <w:p w14:paraId="7ED4CB4A" w14:textId="5ABA8B57" w:rsidR="00E62E90" w:rsidRPr="00E62E90" w:rsidRDefault="00E62E90" w:rsidP="00980F10">
            <w:pPr>
              <w:spacing w:before="120" w:after="120"/>
              <w:jc w:val="both"/>
              <w:rPr>
                <w:rFonts w:eastAsia="Times New Roman" w:cs="Arial"/>
                <w:szCs w:val="20"/>
              </w:rPr>
            </w:pPr>
            <w:r w:rsidRPr="00E62E90">
              <w:rPr>
                <w:rFonts w:eastAsia="Times New Roman" w:cs="Arial"/>
                <w:szCs w:val="20"/>
              </w:rPr>
              <w:t>At the same time, the deliverable makes clear that this first phase was primarily preparatory. Although preliminary interest from market actors had already been recorded, the report does not present a final or exhaustive registry of eligible providers at this stage. Instead, it establishes the methodological framework, communication channels, participation mechanisms and legal-technical structure required for the formal launch and ongoing operation of the CEI process. This phased approach is consistent with Annex 1, which foresees repeated CEIs and regular updates of the contractor list over the course of the project. Therefore, no major deviation from the planned implementation of the task is identified for the present reporting period.</w:t>
            </w:r>
          </w:p>
          <w:p w14:paraId="443D2A0F" w14:textId="4487C5FA" w:rsidR="00E62E90" w:rsidRPr="00E62E90" w:rsidRDefault="00E62E90" w:rsidP="00980F10">
            <w:pPr>
              <w:spacing w:before="120" w:after="120"/>
              <w:jc w:val="both"/>
              <w:rPr>
                <w:rFonts w:eastAsia="Times New Roman" w:cs="Arial"/>
                <w:szCs w:val="20"/>
              </w:rPr>
            </w:pPr>
            <w:r w:rsidRPr="00E62E90">
              <w:rPr>
                <w:rFonts w:eastAsia="Times New Roman" w:cs="Arial"/>
                <w:szCs w:val="20"/>
              </w:rPr>
              <w:t>Overall, Task 4.1.3 was implemented as planned for the current stage of the project. The main result of the reporting period was the establishment of the CEI-based framework and the supporting digital and organisational infrastructure needed for the progressive creation and updating of the contractor registry. The next phase of the task will focus on the continued publication of CEIs, the expansion and updating of the provider database, and the operational use of the list for the design and implementation tenders foreseen under WP4.</w:t>
            </w:r>
          </w:p>
          <w:p w14:paraId="49033861" w14:textId="450A6525" w:rsidR="00DF6085" w:rsidRPr="007D500E" w:rsidRDefault="00DF6085" w:rsidP="00980F10">
            <w:pPr>
              <w:spacing w:before="120" w:after="120"/>
              <w:rPr>
                <w:rFonts w:eastAsia="Times New Roman" w:cs="Arial"/>
                <w:b/>
                <w:bCs/>
                <w:color w:val="C0504D" w:themeColor="accent2"/>
                <w:sz w:val="18"/>
                <w:szCs w:val="18"/>
              </w:rPr>
            </w:pPr>
            <w:r w:rsidRPr="007D500E">
              <w:rPr>
                <w:rFonts w:eastAsia="Times New Roman" w:cs="Arial"/>
                <w:b/>
                <w:bCs/>
                <w:color w:val="C0504D" w:themeColor="accent2"/>
                <w:sz w:val="18"/>
                <w:szCs w:val="18"/>
              </w:rPr>
              <w:lastRenderedPageBreak/>
              <w:t>T</w:t>
            </w:r>
            <w:r w:rsidR="002656EF" w:rsidRPr="007D500E">
              <w:rPr>
                <w:rFonts w:eastAsia="Times New Roman" w:cs="Arial"/>
                <w:b/>
                <w:bCs/>
                <w:color w:val="C0504D" w:themeColor="accent2"/>
                <w:sz w:val="18"/>
                <w:szCs w:val="18"/>
              </w:rPr>
              <w:t>4</w:t>
            </w:r>
            <w:r w:rsidRPr="007D500E">
              <w:rPr>
                <w:rFonts w:eastAsia="Times New Roman" w:cs="Arial"/>
                <w:b/>
                <w:bCs/>
                <w:color w:val="C0504D" w:themeColor="accent2"/>
                <w:sz w:val="18"/>
                <w:szCs w:val="18"/>
              </w:rPr>
              <w:t>.2 [</w:t>
            </w:r>
            <w:r w:rsidR="002656EF" w:rsidRPr="007D500E">
              <w:rPr>
                <w:rFonts w:eastAsia="Times New Roman" w:cs="Arial"/>
                <w:b/>
                <w:bCs/>
                <w:color w:val="C0504D" w:themeColor="accent2"/>
                <w:sz w:val="18"/>
                <w:szCs w:val="18"/>
              </w:rPr>
              <w:t>Financing of the renovation works</w:t>
            </w:r>
            <w:r w:rsidRPr="007D500E">
              <w:rPr>
                <w:rFonts w:eastAsia="Times New Roman" w:cs="Arial"/>
                <w:b/>
                <w:bCs/>
                <w:color w:val="C0504D" w:themeColor="accent2"/>
                <w:sz w:val="18"/>
                <w:szCs w:val="18"/>
              </w:rPr>
              <w:t>] ([Implemented] [Not implemented] [Partially implemented])</w:t>
            </w:r>
          </w:p>
          <w:p w14:paraId="250E71B9" w14:textId="4AAC1AAC" w:rsidR="00E62E90" w:rsidRPr="00E62E90" w:rsidRDefault="00E62E90" w:rsidP="00980F10">
            <w:pPr>
              <w:spacing w:before="120" w:after="120"/>
              <w:jc w:val="both"/>
              <w:rPr>
                <w:rFonts w:eastAsia="Times New Roman" w:cs="Arial"/>
                <w:color w:val="31849B" w:themeColor="accent5" w:themeShade="BF"/>
                <w:szCs w:val="20"/>
                <w:lang w:val="el-GR"/>
              </w:rPr>
            </w:pPr>
            <w:r w:rsidRPr="00E62E90">
              <w:rPr>
                <w:rFonts w:eastAsia="Times New Roman" w:cs="Arial"/>
                <w:color w:val="31849B" w:themeColor="accent5" w:themeShade="BF"/>
                <w:szCs w:val="20"/>
                <w:lang w:val="el-GR"/>
              </w:rPr>
              <w:t>Σχόλιο προς ΚΑΠΕ</w:t>
            </w:r>
          </w:p>
          <w:p w14:paraId="362D7E67" w14:textId="4788037D" w:rsidR="00E62E90" w:rsidRPr="00E62E90" w:rsidRDefault="00E62E90" w:rsidP="00980F10">
            <w:pPr>
              <w:spacing w:before="120" w:after="120"/>
              <w:jc w:val="both"/>
              <w:rPr>
                <w:rFonts w:eastAsia="Times New Roman" w:cs="Arial"/>
                <w:color w:val="31849B" w:themeColor="accent5" w:themeShade="BF"/>
                <w:szCs w:val="20"/>
                <w:lang w:val="el-GR"/>
              </w:rPr>
            </w:pPr>
            <w:r w:rsidRPr="00E62E90">
              <w:rPr>
                <w:rFonts w:eastAsia="Times New Roman" w:cs="Arial"/>
                <w:color w:val="31849B" w:themeColor="accent5" w:themeShade="BF"/>
                <w:szCs w:val="20"/>
                <w:lang w:val="el-GR"/>
              </w:rPr>
              <w:t xml:space="preserve">Παρακαλούμε να συμπληρωθεί λαμβάνοντας υπόψη ότι το </w:t>
            </w:r>
            <w:r w:rsidRPr="00E62E90">
              <w:rPr>
                <w:rFonts w:eastAsia="Times New Roman" w:cs="Arial"/>
                <w:color w:val="31849B" w:themeColor="accent5" w:themeShade="BF"/>
                <w:szCs w:val="20"/>
              </w:rPr>
              <w:t>task</w:t>
            </w:r>
            <w:r w:rsidRPr="00E62E90">
              <w:rPr>
                <w:rFonts w:eastAsia="Times New Roman" w:cs="Arial"/>
                <w:color w:val="31849B" w:themeColor="accent5" w:themeShade="BF"/>
                <w:szCs w:val="20"/>
                <w:lang w:val="el-GR"/>
              </w:rPr>
              <w:t xml:space="preserve">, σύμφωνα με το </w:t>
            </w:r>
            <w:r w:rsidRPr="00E62E90">
              <w:rPr>
                <w:rFonts w:eastAsia="Times New Roman" w:cs="Arial"/>
                <w:color w:val="31849B" w:themeColor="accent5" w:themeShade="BF"/>
                <w:szCs w:val="20"/>
              </w:rPr>
              <w:t>Annex</w:t>
            </w:r>
            <w:r w:rsidRPr="00E62E90">
              <w:rPr>
                <w:rFonts w:eastAsia="Times New Roman" w:cs="Arial"/>
                <w:color w:val="31849B" w:themeColor="accent5" w:themeShade="BF"/>
                <w:szCs w:val="20"/>
                <w:lang w:val="el-GR"/>
              </w:rPr>
              <w:t xml:space="preserve"> 1, ακολουθεί το </w:t>
            </w:r>
            <w:r w:rsidRPr="00E62E90">
              <w:rPr>
                <w:rFonts w:eastAsia="Times New Roman" w:cs="Arial"/>
                <w:color w:val="31849B" w:themeColor="accent5" w:themeShade="BF"/>
                <w:szCs w:val="20"/>
              </w:rPr>
              <w:t>design</w:t>
            </w:r>
            <w:r w:rsidRPr="00E62E90">
              <w:rPr>
                <w:rFonts w:eastAsia="Times New Roman" w:cs="Arial"/>
                <w:color w:val="31849B" w:themeColor="accent5" w:themeShade="BF"/>
                <w:szCs w:val="20"/>
                <w:lang w:val="el-GR"/>
              </w:rPr>
              <w:t xml:space="preserve"> </w:t>
            </w:r>
            <w:r w:rsidRPr="00E62E90">
              <w:rPr>
                <w:rFonts w:eastAsia="Times New Roman" w:cs="Arial"/>
                <w:color w:val="31849B" w:themeColor="accent5" w:themeShade="BF"/>
                <w:szCs w:val="20"/>
              </w:rPr>
              <w:t>of</w:t>
            </w:r>
            <w:r w:rsidRPr="00E62E90">
              <w:rPr>
                <w:rFonts w:eastAsia="Times New Roman" w:cs="Arial"/>
                <w:color w:val="31849B" w:themeColor="accent5" w:themeShade="BF"/>
                <w:szCs w:val="20"/>
                <w:lang w:val="el-GR"/>
              </w:rPr>
              <w:t xml:space="preserve"> </w:t>
            </w:r>
            <w:r w:rsidRPr="00E62E90">
              <w:rPr>
                <w:rFonts w:eastAsia="Times New Roman" w:cs="Arial"/>
                <w:color w:val="31849B" w:themeColor="accent5" w:themeShade="BF"/>
                <w:szCs w:val="20"/>
              </w:rPr>
              <w:t>each</w:t>
            </w:r>
            <w:r w:rsidRPr="00E62E90">
              <w:rPr>
                <w:rFonts w:eastAsia="Times New Roman" w:cs="Arial"/>
                <w:color w:val="31849B" w:themeColor="accent5" w:themeShade="BF"/>
                <w:szCs w:val="20"/>
                <w:lang w:val="el-GR"/>
              </w:rPr>
              <w:t xml:space="preserve"> </w:t>
            </w:r>
            <w:r w:rsidRPr="00E62E90">
              <w:rPr>
                <w:rFonts w:eastAsia="Times New Roman" w:cs="Arial"/>
                <w:color w:val="31849B" w:themeColor="accent5" w:themeShade="BF"/>
                <w:szCs w:val="20"/>
              </w:rPr>
              <w:t>bundle</w:t>
            </w:r>
            <w:r w:rsidRPr="00E62E90">
              <w:rPr>
                <w:rFonts w:eastAsia="Times New Roman" w:cs="Arial"/>
                <w:color w:val="31849B" w:themeColor="accent5" w:themeShade="BF"/>
                <w:szCs w:val="20"/>
                <w:lang w:val="el-GR"/>
              </w:rPr>
              <w:t xml:space="preserve"> και συνδέεται με το </w:t>
            </w:r>
            <w:r w:rsidRPr="00E62E90">
              <w:rPr>
                <w:rFonts w:eastAsia="Times New Roman" w:cs="Arial"/>
                <w:color w:val="31849B" w:themeColor="accent5" w:themeShade="BF"/>
                <w:szCs w:val="20"/>
              </w:rPr>
              <w:t>D</w:t>
            </w:r>
            <w:r w:rsidRPr="00E62E90">
              <w:rPr>
                <w:rFonts w:eastAsia="Times New Roman" w:cs="Arial"/>
                <w:color w:val="31849B" w:themeColor="accent5" w:themeShade="BF"/>
                <w:szCs w:val="20"/>
                <w:lang w:val="el-GR"/>
              </w:rPr>
              <w:t xml:space="preserve">4.4, το οποίο είναι </w:t>
            </w:r>
            <w:r w:rsidRPr="00E62E90">
              <w:rPr>
                <w:rFonts w:eastAsia="Times New Roman" w:cs="Arial"/>
                <w:color w:val="31849B" w:themeColor="accent5" w:themeShade="BF"/>
                <w:szCs w:val="20"/>
              </w:rPr>
              <w:t>due</w:t>
            </w:r>
            <w:r w:rsidRPr="00E62E90">
              <w:rPr>
                <w:rFonts w:eastAsia="Times New Roman" w:cs="Arial"/>
                <w:color w:val="31849B" w:themeColor="accent5" w:themeShade="BF"/>
                <w:szCs w:val="20"/>
                <w:lang w:val="el-GR"/>
              </w:rPr>
              <w:t xml:space="preserve"> στο </w:t>
            </w:r>
            <w:r w:rsidRPr="00E62E90">
              <w:rPr>
                <w:rFonts w:eastAsia="Times New Roman" w:cs="Arial"/>
                <w:color w:val="31849B" w:themeColor="accent5" w:themeShade="BF"/>
                <w:szCs w:val="20"/>
              </w:rPr>
              <w:t>M</w:t>
            </w:r>
            <w:r w:rsidRPr="00E62E90">
              <w:rPr>
                <w:rFonts w:eastAsia="Times New Roman" w:cs="Arial"/>
                <w:color w:val="31849B" w:themeColor="accent5" w:themeShade="BF"/>
                <w:szCs w:val="20"/>
                <w:lang w:val="el-GR"/>
              </w:rPr>
              <w:t xml:space="preserve">28. Παρακαλούμε να διευκρινιστεί αν μέχρι το τέλος της πρώτης </w:t>
            </w:r>
            <w:r w:rsidRPr="00E62E90">
              <w:rPr>
                <w:rFonts w:eastAsia="Times New Roman" w:cs="Arial"/>
                <w:color w:val="31849B" w:themeColor="accent5" w:themeShade="BF"/>
                <w:szCs w:val="20"/>
              </w:rPr>
              <w:t>reporting</w:t>
            </w:r>
            <w:r w:rsidRPr="00E62E90">
              <w:rPr>
                <w:rFonts w:eastAsia="Times New Roman" w:cs="Arial"/>
                <w:color w:val="31849B" w:themeColor="accent5" w:themeShade="BF"/>
                <w:szCs w:val="20"/>
                <w:lang w:val="el-GR"/>
              </w:rPr>
              <w:t xml:space="preserve"> </w:t>
            </w:r>
            <w:r w:rsidRPr="00E62E90">
              <w:rPr>
                <w:rFonts w:eastAsia="Times New Roman" w:cs="Arial"/>
                <w:color w:val="31849B" w:themeColor="accent5" w:themeShade="BF"/>
                <w:szCs w:val="20"/>
              </w:rPr>
              <w:t>period</w:t>
            </w:r>
            <w:r w:rsidRPr="00E62E90">
              <w:rPr>
                <w:rFonts w:eastAsia="Times New Roman" w:cs="Arial"/>
                <w:color w:val="31849B" w:themeColor="accent5" w:themeShade="BF"/>
                <w:szCs w:val="20"/>
                <w:lang w:val="el-GR"/>
              </w:rPr>
              <w:t xml:space="preserve"> (</w:t>
            </w:r>
            <w:r w:rsidRPr="00E62E90">
              <w:rPr>
                <w:rFonts w:eastAsia="Times New Roman" w:cs="Arial"/>
                <w:color w:val="31849B" w:themeColor="accent5" w:themeShade="BF"/>
                <w:szCs w:val="20"/>
              </w:rPr>
              <w:t>M</w:t>
            </w:r>
            <w:r w:rsidRPr="00E62E90">
              <w:rPr>
                <w:rFonts w:eastAsia="Times New Roman" w:cs="Arial"/>
                <w:color w:val="31849B" w:themeColor="accent5" w:themeShade="BF"/>
                <w:szCs w:val="20"/>
                <w:lang w:val="el-GR"/>
              </w:rPr>
              <w:t xml:space="preserve">18) έχει υπάρξει κάποια ουσιαστική προπαρασκευαστική εργασία για τα </w:t>
            </w:r>
            <w:r w:rsidRPr="00E62E90">
              <w:rPr>
                <w:rFonts w:eastAsia="Times New Roman" w:cs="Arial"/>
                <w:color w:val="31849B" w:themeColor="accent5" w:themeShade="BF"/>
                <w:szCs w:val="20"/>
              </w:rPr>
              <w:t>financing</w:t>
            </w:r>
            <w:r w:rsidRPr="00E62E90">
              <w:rPr>
                <w:rFonts w:eastAsia="Times New Roman" w:cs="Arial"/>
                <w:color w:val="31849B" w:themeColor="accent5" w:themeShade="BF"/>
                <w:szCs w:val="20"/>
                <w:lang w:val="el-GR"/>
              </w:rPr>
              <w:t xml:space="preserve"> </w:t>
            </w:r>
            <w:r w:rsidRPr="00E62E90">
              <w:rPr>
                <w:rFonts w:eastAsia="Times New Roman" w:cs="Arial"/>
                <w:color w:val="31849B" w:themeColor="accent5" w:themeShade="BF"/>
                <w:szCs w:val="20"/>
              </w:rPr>
              <w:t>plans</w:t>
            </w:r>
            <w:r w:rsidRPr="00E62E90">
              <w:rPr>
                <w:rFonts w:eastAsia="Times New Roman" w:cs="Arial"/>
                <w:color w:val="31849B" w:themeColor="accent5" w:themeShade="BF"/>
                <w:szCs w:val="20"/>
                <w:lang w:val="el-GR"/>
              </w:rPr>
              <w:t xml:space="preserve"> (π.χ. αρχική εξέταση χρηματοδοτικών σχημάτων, χρήση </w:t>
            </w:r>
            <w:r w:rsidRPr="00E62E90">
              <w:rPr>
                <w:rFonts w:eastAsia="Times New Roman" w:cs="Arial"/>
                <w:color w:val="31849B" w:themeColor="accent5" w:themeShade="BF"/>
                <w:szCs w:val="20"/>
              </w:rPr>
              <w:t>outputs</w:t>
            </w:r>
            <w:r w:rsidRPr="00E62E90">
              <w:rPr>
                <w:rFonts w:eastAsia="Times New Roman" w:cs="Arial"/>
                <w:color w:val="31849B" w:themeColor="accent5" w:themeShade="BF"/>
                <w:szCs w:val="20"/>
                <w:lang w:val="el-GR"/>
              </w:rPr>
              <w:t xml:space="preserve"> </w:t>
            </w:r>
            <w:r w:rsidRPr="00E62E90">
              <w:rPr>
                <w:rFonts w:eastAsia="Times New Roman" w:cs="Arial"/>
                <w:color w:val="31849B" w:themeColor="accent5" w:themeShade="BF"/>
                <w:szCs w:val="20"/>
              </w:rPr>
              <w:t>from</w:t>
            </w:r>
            <w:r w:rsidRPr="00E62E90">
              <w:rPr>
                <w:rFonts w:eastAsia="Times New Roman" w:cs="Arial"/>
                <w:color w:val="31849B" w:themeColor="accent5" w:themeShade="BF"/>
                <w:szCs w:val="20"/>
                <w:lang w:val="el-GR"/>
              </w:rPr>
              <w:t xml:space="preserve"> </w:t>
            </w:r>
            <w:r w:rsidRPr="00E62E90">
              <w:rPr>
                <w:rFonts w:eastAsia="Times New Roman" w:cs="Arial"/>
                <w:color w:val="31849B" w:themeColor="accent5" w:themeShade="BF"/>
                <w:szCs w:val="20"/>
              </w:rPr>
              <w:t>WP</w:t>
            </w:r>
            <w:r w:rsidRPr="00E62E90">
              <w:rPr>
                <w:rFonts w:eastAsia="Times New Roman" w:cs="Arial"/>
                <w:color w:val="31849B" w:themeColor="accent5" w:themeShade="BF"/>
                <w:szCs w:val="20"/>
                <w:lang w:val="el-GR"/>
              </w:rPr>
              <w:t xml:space="preserve">3, </w:t>
            </w:r>
            <w:r w:rsidRPr="00E62E90">
              <w:rPr>
                <w:rFonts w:eastAsia="Times New Roman" w:cs="Arial"/>
                <w:color w:val="31849B" w:themeColor="accent5" w:themeShade="BF"/>
                <w:szCs w:val="20"/>
              </w:rPr>
              <w:t>preliminary</w:t>
            </w:r>
            <w:r w:rsidRPr="00E62E90">
              <w:rPr>
                <w:rFonts w:eastAsia="Times New Roman" w:cs="Arial"/>
                <w:color w:val="31849B" w:themeColor="accent5" w:themeShade="BF"/>
                <w:szCs w:val="20"/>
                <w:lang w:val="el-GR"/>
              </w:rPr>
              <w:t xml:space="preserve"> </w:t>
            </w:r>
            <w:r w:rsidRPr="00E62E90">
              <w:rPr>
                <w:rFonts w:eastAsia="Times New Roman" w:cs="Arial"/>
                <w:color w:val="31849B" w:themeColor="accent5" w:themeShade="BF"/>
                <w:szCs w:val="20"/>
              </w:rPr>
              <w:t>discussions</w:t>
            </w:r>
            <w:r w:rsidRPr="00E62E90">
              <w:rPr>
                <w:rFonts w:eastAsia="Times New Roman" w:cs="Arial"/>
                <w:color w:val="31849B" w:themeColor="accent5" w:themeShade="BF"/>
                <w:szCs w:val="20"/>
                <w:lang w:val="el-GR"/>
              </w:rPr>
              <w:t xml:space="preserve"> </w:t>
            </w:r>
            <w:r w:rsidRPr="00E62E90">
              <w:rPr>
                <w:rFonts w:eastAsia="Times New Roman" w:cs="Arial"/>
                <w:color w:val="31849B" w:themeColor="accent5" w:themeShade="BF"/>
                <w:szCs w:val="20"/>
              </w:rPr>
              <w:t>on</w:t>
            </w:r>
            <w:r w:rsidRPr="00E62E90">
              <w:rPr>
                <w:rFonts w:eastAsia="Times New Roman" w:cs="Arial"/>
                <w:color w:val="31849B" w:themeColor="accent5" w:themeShade="BF"/>
                <w:szCs w:val="20"/>
                <w:lang w:val="el-GR"/>
              </w:rPr>
              <w:t xml:space="preserve"> </w:t>
            </w:r>
            <w:r w:rsidRPr="00E62E90">
              <w:rPr>
                <w:rFonts w:eastAsia="Times New Roman" w:cs="Arial"/>
                <w:color w:val="31849B" w:themeColor="accent5" w:themeShade="BF"/>
                <w:szCs w:val="20"/>
              </w:rPr>
              <w:t>blended</w:t>
            </w:r>
            <w:r w:rsidRPr="00E62E90">
              <w:rPr>
                <w:rFonts w:eastAsia="Times New Roman" w:cs="Arial"/>
                <w:color w:val="31849B" w:themeColor="accent5" w:themeShade="BF"/>
                <w:szCs w:val="20"/>
                <w:lang w:val="el-GR"/>
              </w:rPr>
              <w:t xml:space="preserve"> </w:t>
            </w:r>
            <w:r w:rsidRPr="00E62E90">
              <w:rPr>
                <w:rFonts w:eastAsia="Times New Roman" w:cs="Arial"/>
                <w:color w:val="31849B" w:themeColor="accent5" w:themeShade="BF"/>
                <w:szCs w:val="20"/>
              </w:rPr>
              <w:t>financing</w:t>
            </w:r>
            <w:r w:rsidRPr="00E62E90">
              <w:rPr>
                <w:rFonts w:eastAsia="Times New Roman" w:cs="Arial"/>
                <w:color w:val="31849B" w:themeColor="accent5" w:themeShade="BF"/>
                <w:szCs w:val="20"/>
                <w:lang w:val="el-GR"/>
              </w:rPr>
              <w:t xml:space="preserve">), ή αν το </w:t>
            </w:r>
            <w:r w:rsidRPr="00E62E90">
              <w:rPr>
                <w:rFonts w:eastAsia="Times New Roman" w:cs="Arial"/>
                <w:color w:val="31849B" w:themeColor="accent5" w:themeShade="BF"/>
                <w:szCs w:val="20"/>
              </w:rPr>
              <w:t>task</w:t>
            </w:r>
            <w:r w:rsidRPr="00E62E90">
              <w:rPr>
                <w:rFonts w:eastAsia="Times New Roman" w:cs="Arial"/>
                <w:color w:val="31849B" w:themeColor="accent5" w:themeShade="BF"/>
                <w:szCs w:val="20"/>
                <w:lang w:val="el-GR"/>
              </w:rPr>
              <w:t xml:space="preserve"> δεν έχει ακόμη ξεκινήσει ουσιαστικά λόγω χρονοπρογραμματισμού. Με βάση αυτό, παρακαλούμε να προταθεί και το κατάλληλο </w:t>
            </w:r>
            <w:r w:rsidRPr="00E62E90">
              <w:rPr>
                <w:rFonts w:eastAsia="Times New Roman" w:cs="Arial"/>
                <w:color w:val="31849B" w:themeColor="accent5" w:themeShade="BF"/>
                <w:szCs w:val="20"/>
              </w:rPr>
              <w:t>status</w:t>
            </w:r>
            <w:r w:rsidRPr="00E62E90">
              <w:rPr>
                <w:rFonts w:eastAsia="Times New Roman" w:cs="Arial"/>
                <w:color w:val="31849B" w:themeColor="accent5" w:themeShade="BF"/>
                <w:szCs w:val="20"/>
                <w:lang w:val="el-GR"/>
              </w:rPr>
              <w:t>: [</w:t>
            </w:r>
            <w:r w:rsidRPr="00E62E90">
              <w:rPr>
                <w:rFonts w:eastAsia="Times New Roman" w:cs="Arial"/>
                <w:color w:val="31849B" w:themeColor="accent5" w:themeShade="BF"/>
                <w:szCs w:val="20"/>
              </w:rPr>
              <w:t>Not</w:t>
            </w:r>
            <w:r w:rsidRPr="00E62E90">
              <w:rPr>
                <w:rFonts w:eastAsia="Times New Roman" w:cs="Arial"/>
                <w:color w:val="31849B" w:themeColor="accent5" w:themeShade="BF"/>
                <w:szCs w:val="20"/>
                <w:lang w:val="el-GR"/>
              </w:rPr>
              <w:t xml:space="preserve"> </w:t>
            </w:r>
            <w:r w:rsidRPr="00E62E90">
              <w:rPr>
                <w:rFonts w:eastAsia="Times New Roman" w:cs="Arial"/>
                <w:color w:val="31849B" w:themeColor="accent5" w:themeShade="BF"/>
                <w:szCs w:val="20"/>
              </w:rPr>
              <w:t>implemented</w:t>
            </w:r>
            <w:r w:rsidRPr="00E62E90">
              <w:rPr>
                <w:rFonts w:eastAsia="Times New Roman" w:cs="Arial"/>
                <w:color w:val="31849B" w:themeColor="accent5" w:themeShade="BF"/>
                <w:szCs w:val="20"/>
                <w:lang w:val="el-GR"/>
              </w:rPr>
              <w:t>] ή [</w:t>
            </w:r>
            <w:r w:rsidRPr="00E62E90">
              <w:rPr>
                <w:rFonts w:eastAsia="Times New Roman" w:cs="Arial"/>
                <w:color w:val="31849B" w:themeColor="accent5" w:themeShade="BF"/>
                <w:szCs w:val="20"/>
              </w:rPr>
              <w:t>Partially</w:t>
            </w:r>
            <w:r w:rsidRPr="00E62E90">
              <w:rPr>
                <w:rFonts w:eastAsia="Times New Roman" w:cs="Arial"/>
                <w:color w:val="31849B" w:themeColor="accent5" w:themeShade="BF"/>
                <w:szCs w:val="20"/>
                <w:lang w:val="el-GR"/>
              </w:rPr>
              <w:t xml:space="preserve"> </w:t>
            </w:r>
            <w:r w:rsidRPr="00E62E90">
              <w:rPr>
                <w:rFonts w:eastAsia="Times New Roman" w:cs="Arial"/>
                <w:color w:val="31849B" w:themeColor="accent5" w:themeShade="BF"/>
                <w:szCs w:val="20"/>
              </w:rPr>
              <w:t>implemented</w:t>
            </w:r>
            <w:r w:rsidRPr="00E62E90">
              <w:rPr>
                <w:rFonts w:eastAsia="Times New Roman" w:cs="Arial"/>
                <w:color w:val="31849B" w:themeColor="accent5" w:themeShade="BF"/>
                <w:szCs w:val="20"/>
                <w:lang w:val="el-GR"/>
              </w:rPr>
              <w:t>].</w:t>
            </w:r>
          </w:p>
          <w:p w14:paraId="0A57181A" w14:textId="77777777" w:rsidR="00E62E90" w:rsidRPr="00E62E90" w:rsidRDefault="00E62E90" w:rsidP="00980F10">
            <w:pPr>
              <w:spacing w:before="120" w:after="120"/>
              <w:jc w:val="both"/>
              <w:rPr>
                <w:rFonts w:eastAsia="Times New Roman" w:cs="Arial"/>
                <w:color w:val="31849B" w:themeColor="accent5" w:themeShade="BF"/>
                <w:szCs w:val="20"/>
                <w:lang w:val="el-GR"/>
              </w:rPr>
            </w:pPr>
          </w:p>
          <w:p w14:paraId="3B2610CB" w14:textId="47FAA56E" w:rsidR="00E62E90" w:rsidRPr="00E62E90" w:rsidRDefault="00E62E90" w:rsidP="00980F10">
            <w:pPr>
              <w:spacing w:before="120" w:after="120"/>
              <w:jc w:val="both"/>
              <w:rPr>
                <w:rFonts w:eastAsia="Times New Roman" w:cs="Arial"/>
                <w:color w:val="31849B" w:themeColor="accent5" w:themeShade="BF"/>
                <w:szCs w:val="20"/>
                <w:lang w:val="el-GR"/>
              </w:rPr>
            </w:pPr>
            <w:r w:rsidRPr="00E62E90">
              <w:rPr>
                <w:rFonts w:eastAsia="Times New Roman" w:cs="Arial"/>
                <w:color w:val="31849B" w:themeColor="accent5" w:themeShade="BF"/>
                <w:szCs w:val="20"/>
                <w:lang w:val="el-GR"/>
              </w:rPr>
              <w:t>Σχόλιο προς Τράπεζα Ηπείρου</w:t>
            </w:r>
          </w:p>
          <w:p w14:paraId="2B93B7EB" w14:textId="77777777" w:rsidR="00E62E90" w:rsidRPr="00E62E90" w:rsidRDefault="00E62E90" w:rsidP="00980F10">
            <w:pPr>
              <w:spacing w:before="120" w:after="120"/>
              <w:jc w:val="both"/>
              <w:rPr>
                <w:rFonts w:eastAsia="Times New Roman" w:cs="Arial"/>
                <w:b/>
                <w:bCs/>
                <w:color w:val="31849B" w:themeColor="accent5" w:themeShade="BF"/>
                <w:szCs w:val="20"/>
                <w:lang w:val="el-GR"/>
              </w:rPr>
            </w:pPr>
            <w:r w:rsidRPr="00E62E90">
              <w:rPr>
                <w:rFonts w:eastAsia="Times New Roman" w:cs="Arial"/>
                <w:color w:val="31849B" w:themeColor="accent5" w:themeShade="BF"/>
                <w:szCs w:val="20"/>
                <w:lang w:val="el-GR"/>
              </w:rPr>
              <w:t xml:space="preserve">Παρακαλούμε να συνεισφέρετε, εφόσον υπάρχει ήδη σχετική πρόοδος, σε ό,τι αφορά την προκαταρκτική διερεύνηση των διαθέσιμων χρηματοδοτικών σχημάτων, του </w:t>
            </w:r>
            <w:r w:rsidRPr="00E62E90">
              <w:rPr>
                <w:rFonts w:eastAsia="Times New Roman" w:cs="Arial"/>
                <w:color w:val="31849B" w:themeColor="accent5" w:themeShade="BF"/>
                <w:szCs w:val="20"/>
              </w:rPr>
              <w:t>blended</w:t>
            </w:r>
            <w:r w:rsidRPr="00E62E90">
              <w:rPr>
                <w:rFonts w:eastAsia="Times New Roman" w:cs="Arial"/>
                <w:color w:val="31849B" w:themeColor="accent5" w:themeShade="BF"/>
                <w:szCs w:val="20"/>
                <w:lang w:val="el-GR"/>
              </w:rPr>
              <w:t xml:space="preserve"> </w:t>
            </w:r>
            <w:r w:rsidRPr="00E62E90">
              <w:rPr>
                <w:rFonts w:eastAsia="Times New Roman" w:cs="Arial"/>
                <w:color w:val="31849B" w:themeColor="accent5" w:themeShade="BF"/>
                <w:szCs w:val="20"/>
              </w:rPr>
              <w:t>financing</w:t>
            </w:r>
            <w:r w:rsidRPr="00E62E90">
              <w:rPr>
                <w:rFonts w:eastAsia="Times New Roman" w:cs="Arial"/>
                <w:color w:val="31849B" w:themeColor="accent5" w:themeShade="BF"/>
                <w:szCs w:val="20"/>
                <w:lang w:val="el-GR"/>
              </w:rPr>
              <w:t xml:space="preserve"> </w:t>
            </w:r>
            <w:r w:rsidRPr="00E62E90">
              <w:rPr>
                <w:rFonts w:eastAsia="Times New Roman" w:cs="Arial"/>
                <w:color w:val="31849B" w:themeColor="accent5" w:themeShade="BF"/>
                <w:szCs w:val="20"/>
              </w:rPr>
              <w:t>logic</w:t>
            </w:r>
            <w:r w:rsidRPr="00E62E90">
              <w:rPr>
                <w:rFonts w:eastAsia="Times New Roman" w:cs="Arial"/>
                <w:color w:val="31849B" w:themeColor="accent5" w:themeShade="BF"/>
                <w:szCs w:val="20"/>
                <w:lang w:val="el-GR"/>
              </w:rPr>
              <w:t xml:space="preserve"> και της πιθανής σύνδεσης του </w:t>
            </w:r>
            <w:r w:rsidRPr="00E62E90">
              <w:rPr>
                <w:rFonts w:eastAsia="Times New Roman" w:cs="Arial"/>
                <w:color w:val="31849B" w:themeColor="accent5" w:themeShade="BF"/>
                <w:szCs w:val="20"/>
              </w:rPr>
              <w:t>T</w:t>
            </w:r>
            <w:r w:rsidRPr="00E62E90">
              <w:rPr>
                <w:rFonts w:eastAsia="Times New Roman" w:cs="Arial"/>
                <w:color w:val="31849B" w:themeColor="accent5" w:themeShade="BF"/>
                <w:szCs w:val="20"/>
                <w:lang w:val="el-GR"/>
              </w:rPr>
              <w:t xml:space="preserve">4.2 με τα </w:t>
            </w:r>
            <w:r w:rsidRPr="00E62E90">
              <w:rPr>
                <w:rFonts w:eastAsia="Times New Roman" w:cs="Arial"/>
                <w:color w:val="31849B" w:themeColor="accent5" w:themeShade="BF"/>
                <w:szCs w:val="20"/>
              </w:rPr>
              <w:t>outputs</w:t>
            </w:r>
            <w:r w:rsidRPr="00E62E90">
              <w:rPr>
                <w:rFonts w:eastAsia="Times New Roman" w:cs="Arial"/>
                <w:color w:val="31849B" w:themeColor="accent5" w:themeShade="BF"/>
                <w:szCs w:val="20"/>
                <w:lang w:val="el-GR"/>
              </w:rPr>
              <w:t xml:space="preserve"> των </w:t>
            </w:r>
            <w:r w:rsidRPr="00E62E90">
              <w:rPr>
                <w:rFonts w:eastAsia="Times New Roman" w:cs="Arial"/>
                <w:color w:val="31849B" w:themeColor="accent5" w:themeShade="BF"/>
                <w:szCs w:val="20"/>
              </w:rPr>
              <w:t>Tasks</w:t>
            </w:r>
            <w:r w:rsidRPr="00E62E90">
              <w:rPr>
                <w:rFonts w:eastAsia="Times New Roman" w:cs="Arial"/>
                <w:color w:val="31849B" w:themeColor="accent5" w:themeShade="BF"/>
                <w:szCs w:val="20"/>
                <w:lang w:val="el-GR"/>
              </w:rPr>
              <w:t xml:space="preserve"> 3.3 / 3.4.</w:t>
            </w:r>
            <w:r w:rsidRPr="00E62E90">
              <w:rPr>
                <w:rFonts w:eastAsia="Times New Roman" w:cs="Arial"/>
                <w:b/>
                <w:bCs/>
                <w:color w:val="31849B" w:themeColor="accent5" w:themeShade="BF"/>
                <w:szCs w:val="20"/>
                <w:lang w:val="el-GR"/>
              </w:rPr>
              <w:t xml:space="preserve"> </w:t>
            </w:r>
          </w:p>
          <w:p w14:paraId="017115FC" w14:textId="5F286411" w:rsidR="00DF6085" w:rsidRPr="007D500E" w:rsidRDefault="00DF6085" w:rsidP="00980F10">
            <w:pPr>
              <w:spacing w:before="120" w:after="120"/>
              <w:rPr>
                <w:rFonts w:eastAsia="Times New Roman" w:cs="Arial"/>
                <w:b/>
                <w:bCs/>
                <w:color w:val="C0504D" w:themeColor="accent2"/>
                <w:sz w:val="18"/>
                <w:szCs w:val="18"/>
              </w:rPr>
            </w:pPr>
            <w:r w:rsidRPr="007D500E">
              <w:rPr>
                <w:rFonts w:eastAsia="Times New Roman" w:cs="Arial"/>
                <w:b/>
                <w:bCs/>
                <w:color w:val="C0504D" w:themeColor="accent2"/>
                <w:sz w:val="18"/>
                <w:szCs w:val="18"/>
              </w:rPr>
              <w:t>T</w:t>
            </w:r>
            <w:r w:rsidR="002656EF" w:rsidRPr="007D500E">
              <w:rPr>
                <w:rFonts w:eastAsia="Times New Roman" w:cs="Arial"/>
                <w:b/>
                <w:bCs/>
                <w:color w:val="C0504D" w:themeColor="accent2"/>
                <w:sz w:val="18"/>
                <w:szCs w:val="18"/>
              </w:rPr>
              <w:t>4</w:t>
            </w:r>
            <w:r w:rsidRPr="007D500E">
              <w:rPr>
                <w:rFonts w:eastAsia="Times New Roman" w:cs="Arial"/>
                <w:b/>
                <w:bCs/>
                <w:color w:val="C0504D" w:themeColor="accent2"/>
                <w:sz w:val="18"/>
                <w:szCs w:val="18"/>
              </w:rPr>
              <w:t>.3 [</w:t>
            </w:r>
            <w:r w:rsidR="002656EF" w:rsidRPr="007D500E">
              <w:rPr>
                <w:rFonts w:eastAsia="Times New Roman" w:cs="Arial"/>
                <w:b/>
                <w:bCs/>
                <w:color w:val="C0504D" w:themeColor="accent2"/>
                <w:sz w:val="18"/>
                <w:szCs w:val="18"/>
              </w:rPr>
              <w:t>Procurement of implementation of renovations</w:t>
            </w:r>
            <w:r w:rsidRPr="007D500E">
              <w:rPr>
                <w:rFonts w:eastAsia="Times New Roman" w:cs="Arial"/>
                <w:b/>
                <w:bCs/>
                <w:color w:val="C0504D" w:themeColor="accent2"/>
                <w:sz w:val="18"/>
                <w:szCs w:val="18"/>
              </w:rPr>
              <w:t>] ([Implemented] [Not implemented] [Partially implemented])</w:t>
            </w:r>
          </w:p>
          <w:p w14:paraId="55F3FD2B" w14:textId="77777777" w:rsidR="00A64382" w:rsidRPr="00A64382" w:rsidRDefault="00A64382" w:rsidP="00980F10">
            <w:pPr>
              <w:spacing w:before="120" w:after="120"/>
              <w:jc w:val="both"/>
              <w:rPr>
                <w:rFonts w:eastAsia="Times New Roman" w:cs="Arial"/>
                <w:color w:val="31849B" w:themeColor="accent5" w:themeShade="BF"/>
                <w:szCs w:val="20"/>
                <w:lang w:val="el-GR"/>
              </w:rPr>
            </w:pPr>
            <w:r w:rsidRPr="00A64382">
              <w:rPr>
                <w:rFonts w:eastAsia="Times New Roman" w:cs="Arial"/>
                <w:color w:val="31849B" w:themeColor="accent5" w:themeShade="BF"/>
                <w:szCs w:val="20"/>
                <w:lang w:val="el-GR"/>
              </w:rPr>
              <w:t>Σχόλιο προς ΚΑΠΕ</w:t>
            </w:r>
          </w:p>
          <w:p w14:paraId="0C4431B1" w14:textId="01FA1B95" w:rsidR="00A64382" w:rsidRPr="00A64382" w:rsidRDefault="00A64382" w:rsidP="00980F10">
            <w:pPr>
              <w:spacing w:before="120" w:after="120"/>
              <w:jc w:val="both"/>
              <w:rPr>
                <w:rFonts w:eastAsia="Times New Roman" w:cs="Arial"/>
                <w:color w:val="31849B" w:themeColor="accent5" w:themeShade="BF"/>
                <w:szCs w:val="20"/>
                <w:lang w:val="el-GR"/>
              </w:rPr>
            </w:pPr>
            <w:r w:rsidRPr="00A64382">
              <w:rPr>
                <w:rFonts w:eastAsia="Times New Roman" w:cs="Arial"/>
                <w:color w:val="31849B" w:themeColor="accent5" w:themeShade="BF"/>
                <w:szCs w:val="20"/>
                <w:lang w:val="el-GR"/>
              </w:rPr>
              <w:t xml:space="preserve">Παρακαλούμε να συμπληρωθεί, λαμβάνοντας υπόψη ότι το </w:t>
            </w:r>
            <w:r w:rsidRPr="00A64382">
              <w:rPr>
                <w:rFonts w:eastAsia="Times New Roman" w:cs="Arial"/>
                <w:color w:val="31849B" w:themeColor="accent5" w:themeShade="BF"/>
                <w:szCs w:val="20"/>
              </w:rPr>
              <w:t>task</w:t>
            </w:r>
            <w:r w:rsidRPr="00A64382">
              <w:rPr>
                <w:rFonts w:eastAsia="Times New Roman" w:cs="Arial"/>
                <w:color w:val="31849B" w:themeColor="accent5" w:themeShade="BF"/>
                <w:szCs w:val="20"/>
                <w:lang w:val="el-GR"/>
              </w:rPr>
              <w:t xml:space="preserve"> συνδέεται με το </w:t>
            </w:r>
            <w:r w:rsidRPr="00A64382">
              <w:rPr>
                <w:rFonts w:eastAsia="Times New Roman" w:cs="Arial"/>
                <w:color w:val="31849B" w:themeColor="accent5" w:themeShade="BF"/>
                <w:szCs w:val="20"/>
              </w:rPr>
              <w:t>D</w:t>
            </w:r>
            <w:r w:rsidRPr="00A64382">
              <w:rPr>
                <w:rFonts w:eastAsia="Times New Roman" w:cs="Arial"/>
                <w:color w:val="31849B" w:themeColor="accent5" w:themeShade="BF"/>
                <w:szCs w:val="20"/>
                <w:lang w:val="el-GR"/>
              </w:rPr>
              <w:t xml:space="preserve">4.5, το οποίο είναι </w:t>
            </w:r>
            <w:r w:rsidRPr="00A64382">
              <w:rPr>
                <w:rFonts w:eastAsia="Times New Roman" w:cs="Arial"/>
                <w:color w:val="31849B" w:themeColor="accent5" w:themeShade="BF"/>
                <w:szCs w:val="20"/>
              </w:rPr>
              <w:t>due</w:t>
            </w:r>
            <w:r w:rsidRPr="00A64382">
              <w:rPr>
                <w:rFonts w:eastAsia="Times New Roman" w:cs="Arial"/>
                <w:color w:val="31849B" w:themeColor="accent5" w:themeShade="BF"/>
                <w:szCs w:val="20"/>
                <w:lang w:val="el-GR"/>
              </w:rPr>
              <w:t xml:space="preserve"> στο </w:t>
            </w:r>
            <w:r w:rsidRPr="00A64382">
              <w:rPr>
                <w:rFonts w:eastAsia="Times New Roman" w:cs="Arial"/>
                <w:color w:val="31849B" w:themeColor="accent5" w:themeShade="BF"/>
                <w:szCs w:val="20"/>
              </w:rPr>
              <w:t>M</w:t>
            </w:r>
            <w:r w:rsidRPr="00A64382">
              <w:rPr>
                <w:rFonts w:eastAsia="Times New Roman" w:cs="Arial"/>
                <w:color w:val="31849B" w:themeColor="accent5" w:themeShade="BF"/>
                <w:szCs w:val="20"/>
                <w:lang w:val="el-GR"/>
              </w:rPr>
              <w:t xml:space="preserve">37, και ακολουθεί τα στάδια του </w:t>
            </w:r>
            <w:r w:rsidRPr="00A64382">
              <w:rPr>
                <w:rFonts w:eastAsia="Times New Roman" w:cs="Arial"/>
                <w:color w:val="31849B" w:themeColor="accent5" w:themeShade="BF"/>
                <w:szCs w:val="20"/>
              </w:rPr>
              <w:t>renovation</w:t>
            </w:r>
            <w:r w:rsidRPr="00A64382">
              <w:rPr>
                <w:rFonts w:eastAsia="Times New Roman" w:cs="Arial"/>
                <w:color w:val="31849B" w:themeColor="accent5" w:themeShade="BF"/>
                <w:szCs w:val="20"/>
                <w:lang w:val="el-GR"/>
              </w:rPr>
              <w:t xml:space="preserve"> </w:t>
            </w:r>
            <w:r w:rsidRPr="00A64382">
              <w:rPr>
                <w:rFonts w:eastAsia="Times New Roman" w:cs="Arial"/>
                <w:color w:val="31849B" w:themeColor="accent5" w:themeShade="BF"/>
                <w:szCs w:val="20"/>
              </w:rPr>
              <w:t>design</w:t>
            </w:r>
            <w:r w:rsidRPr="00A64382">
              <w:rPr>
                <w:rFonts w:eastAsia="Times New Roman" w:cs="Arial"/>
                <w:color w:val="31849B" w:themeColor="accent5" w:themeShade="BF"/>
                <w:szCs w:val="20"/>
                <w:lang w:val="el-GR"/>
              </w:rPr>
              <w:t xml:space="preserve"> και της χρηματοδότησης των έργων. Παρακαλούμε να διευκρινιστεί αν μέχρι το τέλος της πρώτης </w:t>
            </w:r>
            <w:r w:rsidRPr="00A64382">
              <w:rPr>
                <w:rFonts w:eastAsia="Times New Roman" w:cs="Arial"/>
                <w:color w:val="31849B" w:themeColor="accent5" w:themeShade="BF"/>
                <w:szCs w:val="20"/>
              </w:rPr>
              <w:t>reporting</w:t>
            </w:r>
            <w:r w:rsidRPr="00A64382">
              <w:rPr>
                <w:rFonts w:eastAsia="Times New Roman" w:cs="Arial"/>
                <w:color w:val="31849B" w:themeColor="accent5" w:themeShade="BF"/>
                <w:szCs w:val="20"/>
                <w:lang w:val="el-GR"/>
              </w:rPr>
              <w:t xml:space="preserve"> </w:t>
            </w:r>
            <w:r w:rsidRPr="00A64382">
              <w:rPr>
                <w:rFonts w:eastAsia="Times New Roman" w:cs="Arial"/>
                <w:color w:val="31849B" w:themeColor="accent5" w:themeShade="BF"/>
                <w:szCs w:val="20"/>
              </w:rPr>
              <w:t>period</w:t>
            </w:r>
            <w:r w:rsidRPr="00A64382">
              <w:rPr>
                <w:rFonts w:eastAsia="Times New Roman" w:cs="Arial"/>
                <w:color w:val="31849B" w:themeColor="accent5" w:themeShade="BF"/>
                <w:szCs w:val="20"/>
                <w:lang w:val="el-GR"/>
              </w:rPr>
              <w:t xml:space="preserve"> (</w:t>
            </w:r>
            <w:r w:rsidRPr="00A64382">
              <w:rPr>
                <w:rFonts w:eastAsia="Times New Roman" w:cs="Arial"/>
                <w:color w:val="31849B" w:themeColor="accent5" w:themeShade="BF"/>
                <w:szCs w:val="20"/>
              </w:rPr>
              <w:t>M</w:t>
            </w:r>
            <w:r w:rsidRPr="00A64382">
              <w:rPr>
                <w:rFonts w:eastAsia="Times New Roman" w:cs="Arial"/>
                <w:color w:val="31849B" w:themeColor="accent5" w:themeShade="BF"/>
                <w:szCs w:val="20"/>
                <w:lang w:val="el-GR"/>
              </w:rPr>
              <w:t xml:space="preserve">18) έχει υπάρξει κάποια ουσιαστική προπαρασκευαστική εργασία για τα </w:t>
            </w:r>
            <w:r w:rsidRPr="00A64382">
              <w:rPr>
                <w:rFonts w:eastAsia="Times New Roman" w:cs="Arial"/>
                <w:color w:val="31849B" w:themeColor="accent5" w:themeShade="BF"/>
                <w:szCs w:val="20"/>
              </w:rPr>
              <w:t>implementation</w:t>
            </w:r>
            <w:r w:rsidRPr="00A64382">
              <w:rPr>
                <w:rFonts w:eastAsia="Times New Roman" w:cs="Arial"/>
                <w:color w:val="31849B" w:themeColor="accent5" w:themeShade="BF"/>
                <w:szCs w:val="20"/>
                <w:lang w:val="el-GR"/>
              </w:rPr>
              <w:t xml:space="preserve"> </w:t>
            </w:r>
            <w:r w:rsidRPr="00A64382">
              <w:rPr>
                <w:rFonts w:eastAsia="Times New Roman" w:cs="Arial"/>
                <w:color w:val="31849B" w:themeColor="accent5" w:themeShade="BF"/>
                <w:szCs w:val="20"/>
              </w:rPr>
              <w:t>tenders</w:t>
            </w:r>
            <w:r w:rsidRPr="00A64382">
              <w:rPr>
                <w:rFonts w:eastAsia="Times New Roman" w:cs="Arial"/>
                <w:color w:val="31849B" w:themeColor="accent5" w:themeShade="BF"/>
                <w:szCs w:val="20"/>
                <w:lang w:val="el-GR"/>
              </w:rPr>
              <w:t xml:space="preserve"> (π.χ. αρχική επεξεργασία </w:t>
            </w:r>
            <w:r w:rsidRPr="00A64382">
              <w:rPr>
                <w:rFonts w:eastAsia="Times New Roman" w:cs="Arial"/>
                <w:color w:val="31849B" w:themeColor="accent5" w:themeShade="BF"/>
                <w:szCs w:val="20"/>
              </w:rPr>
              <w:t>procurement</w:t>
            </w:r>
            <w:r w:rsidRPr="00A64382">
              <w:rPr>
                <w:rFonts w:eastAsia="Times New Roman" w:cs="Arial"/>
                <w:color w:val="31849B" w:themeColor="accent5" w:themeShade="BF"/>
                <w:szCs w:val="20"/>
                <w:lang w:val="el-GR"/>
              </w:rPr>
              <w:t xml:space="preserve"> </w:t>
            </w:r>
            <w:r w:rsidRPr="00A64382">
              <w:rPr>
                <w:rFonts w:eastAsia="Times New Roman" w:cs="Arial"/>
                <w:color w:val="31849B" w:themeColor="accent5" w:themeShade="BF"/>
                <w:szCs w:val="20"/>
              </w:rPr>
              <w:t>logic</w:t>
            </w:r>
            <w:r w:rsidRPr="00A64382">
              <w:rPr>
                <w:rFonts w:eastAsia="Times New Roman" w:cs="Arial"/>
                <w:color w:val="31849B" w:themeColor="accent5" w:themeShade="BF"/>
                <w:szCs w:val="20"/>
                <w:lang w:val="el-GR"/>
              </w:rPr>
              <w:t xml:space="preserve">, </w:t>
            </w:r>
            <w:r w:rsidRPr="00A64382">
              <w:rPr>
                <w:rFonts w:eastAsia="Times New Roman" w:cs="Arial"/>
                <w:color w:val="31849B" w:themeColor="accent5" w:themeShade="BF"/>
                <w:szCs w:val="20"/>
              </w:rPr>
              <w:t>M</w:t>
            </w:r>
            <w:r w:rsidRPr="00A64382">
              <w:rPr>
                <w:rFonts w:eastAsia="Times New Roman" w:cs="Arial"/>
                <w:color w:val="31849B" w:themeColor="accent5" w:themeShade="BF"/>
                <w:szCs w:val="20"/>
                <w:lang w:val="el-GR"/>
              </w:rPr>
              <w:t>&amp;</w:t>
            </w:r>
            <w:r w:rsidRPr="00A64382">
              <w:rPr>
                <w:rFonts w:eastAsia="Times New Roman" w:cs="Arial"/>
                <w:color w:val="31849B" w:themeColor="accent5" w:themeShade="BF"/>
                <w:szCs w:val="20"/>
              </w:rPr>
              <w:t>V</w:t>
            </w:r>
            <w:r w:rsidRPr="00A64382">
              <w:rPr>
                <w:rFonts w:eastAsia="Times New Roman" w:cs="Arial"/>
                <w:color w:val="31849B" w:themeColor="accent5" w:themeShade="BF"/>
                <w:szCs w:val="20"/>
                <w:lang w:val="el-GR"/>
              </w:rPr>
              <w:t xml:space="preserve"> </w:t>
            </w:r>
            <w:r w:rsidRPr="00A64382">
              <w:rPr>
                <w:rFonts w:eastAsia="Times New Roman" w:cs="Arial"/>
                <w:color w:val="31849B" w:themeColor="accent5" w:themeShade="BF"/>
                <w:szCs w:val="20"/>
              </w:rPr>
              <w:t>requirements</w:t>
            </w:r>
            <w:r w:rsidRPr="00A64382">
              <w:rPr>
                <w:rFonts w:eastAsia="Times New Roman" w:cs="Arial"/>
                <w:color w:val="31849B" w:themeColor="accent5" w:themeShade="BF"/>
                <w:szCs w:val="20"/>
                <w:lang w:val="el-GR"/>
              </w:rPr>
              <w:t xml:space="preserve">, </w:t>
            </w:r>
            <w:r w:rsidRPr="00A64382">
              <w:rPr>
                <w:rFonts w:eastAsia="Times New Roman" w:cs="Arial"/>
                <w:color w:val="31849B" w:themeColor="accent5" w:themeShade="BF"/>
                <w:szCs w:val="20"/>
              </w:rPr>
              <w:t>contract</w:t>
            </w:r>
            <w:r w:rsidRPr="00A64382">
              <w:rPr>
                <w:rFonts w:eastAsia="Times New Roman" w:cs="Arial"/>
                <w:color w:val="31849B" w:themeColor="accent5" w:themeShade="BF"/>
                <w:szCs w:val="20"/>
                <w:lang w:val="el-GR"/>
              </w:rPr>
              <w:t xml:space="preserve"> </w:t>
            </w:r>
            <w:r w:rsidRPr="00A64382">
              <w:rPr>
                <w:rFonts w:eastAsia="Times New Roman" w:cs="Arial"/>
                <w:color w:val="31849B" w:themeColor="accent5" w:themeShade="BF"/>
                <w:szCs w:val="20"/>
              </w:rPr>
              <w:t>structure</w:t>
            </w:r>
            <w:r w:rsidRPr="00A64382">
              <w:rPr>
                <w:rFonts w:eastAsia="Times New Roman" w:cs="Arial"/>
                <w:color w:val="31849B" w:themeColor="accent5" w:themeShade="BF"/>
                <w:szCs w:val="20"/>
                <w:lang w:val="el-GR"/>
              </w:rPr>
              <w:t xml:space="preserve">, </w:t>
            </w:r>
            <w:r w:rsidRPr="00A64382">
              <w:rPr>
                <w:rFonts w:eastAsia="Times New Roman" w:cs="Arial"/>
                <w:color w:val="31849B" w:themeColor="accent5" w:themeShade="BF"/>
                <w:szCs w:val="20"/>
              </w:rPr>
              <w:t>coordination</w:t>
            </w:r>
            <w:r w:rsidRPr="00A64382">
              <w:rPr>
                <w:rFonts w:eastAsia="Times New Roman" w:cs="Arial"/>
                <w:color w:val="31849B" w:themeColor="accent5" w:themeShade="BF"/>
                <w:szCs w:val="20"/>
                <w:lang w:val="el-GR"/>
              </w:rPr>
              <w:t xml:space="preserve"> </w:t>
            </w:r>
            <w:r w:rsidRPr="00A64382">
              <w:rPr>
                <w:rFonts w:eastAsia="Times New Roman" w:cs="Arial"/>
                <w:color w:val="31849B" w:themeColor="accent5" w:themeShade="BF"/>
                <w:szCs w:val="20"/>
              </w:rPr>
              <w:t>with</w:t>
            </w:r>
            <w:r w:rsidRPr="00A64382">
              <w:rPr>
                <w:rFonts w:eastAsia="Times New Roman" w:cs="Arial"/>
                <w:color w:val="31849B" w:themeColor="accent5" w:themeShade="BF"/>
                <w:szCs w:val="20"/>
                <w:lang w:val="el-GR"/>
              </w:rPr>
              <w:t xml:space="preserve"> </w:t>
            </w:r>
            <w:r w:rsidRPr="00A64382">
              <w:rPr>
                <w:rFonts w:eastAsia="Times New Roman" w:cs="Arial"/>
                <w:color w:val="31849B" w:themeColor="accent5" w:themeShade="BF"/>
                <w:szCs w:val="20"/>
              </w:rPr>
              <w:t>municipalities</w:t>
            </w:r>
            <w:r w:rsidRPr="00A64382">
              <w:rPr>
                <w:rFonts w:eastAsia="Times New Roman" w:cs="Arial"/>
                <w:color w:val="31849B" w:themeColor="accent5" w:themeShade="BF"/>
                <w:szCs w:val="20"/>
                <w:lang w:val="el-GR"/>
              </w:rPr>
              <w:t xml:space="preserve">), ή αν το </w:t>
            </w:r>
            <w:r w:rsidRPr="00A64382">
              <w:rPr>
                <w:rFonts w:eastAsia="Times New Roman" w:cs="Arial"/>
                <w:color w:val="31849B" w:themeColor="accent5" w:themeShade="BF"/>
                <w:szCs w:val="20"/>
              </w:rPr>
              <w:t>task</w:t>
            </w:r>
            <w:r w:rsidRPr="00A64382">
              <w:rPr>
                <w:rFonts w:eastAsia="Times New Roman" w:cs="Arial"/>
                <w:color w:val="31849B" w:themeColor="accent5" w:themeShade="BF"/>
                <w:szCs w:val="20"/>
                <w:lang w:val="el-GR"/>
              </w:rPr>
              <w:t xml:space="preserve"> δεν έχει ακόμη ξεκινήσει ουσιαστικά λόγω χρονοπρογραμματισμού. Με βάση αυτό, παρακαλούμε να προταθεί και το κατάλληλο </w:t>
            </w:r>
            <w:r w:rsidRPr="00A64382">
              <w:rPr>
                <w:rFonts w:eastAsia="Times New Roman" w:cs="Arial"/>
                <w:color w:val="31849B" w:themeColor="accent5" w:themeShade="BF"/>
                <w:szCs w:val="20"/>
              </w:rPr>
              <w:t>status</w:t>
            </w:r>
            <w:r w:rsidRPr="00A64382">
              <w:rPr>
                <w:rFonts w:eastAsia="Times New Roman" w:cs="Arial"/>
                <w:color w:val="31849B" w:themeColor="accent5" w:themeShade="BF"/>
                <w:szCs w:val="20"/>
                <w:lang w:val="el-GR"/>
              </w:rPr>
              <w:t>: [</w:t>
            </w:r>
            <w:r w:rsidRPr="00A64382">
              <w:rPr>
                <w:rFonts w:eastAsia="Times New Roman" w:cs="Arial"/>
                <w:color w:val="31849B" w:themeColor="accent5" w:themeShade="BF"/>
                <w:szCs w:val="20"/>
              </w:rPr>
              <w:t>Not</w:t>
            </w:r>
            <w:r w:rsidRPr="00A64382">
              <w:rPr>
                <w:rFonts w:eastAsia="Times New Roman" w:cs="Arial"/>
                <w:color w:val="31849B" w:themeColor="accent5" w:themeShade="BF"/>
                <w:szCs w:val="20"/>
                <w:lang w:val="el-GR"/>
              </w:rPr>
              <w:t xml:space="preserve"> </w:t>
            </w:r>
            <w:r w:rsidRPr="00A64382">
              <w:rPr>
                <w:rFonts w:eastAsia="Times New Roman" w:cs="Arial"/>
                <w:color w:val="31849B" w:themeColor="accent5" w:themeShade="BF"/>
                <w:szCs w:val="20"/>
              </w:rPr>
              <w:t>implemented</w:t>
            </w:r>
            <w:r w:rsidRPr="00A64382">
              <w:rPr>
                <w:rFonts w:eastAsia="Times New Roman" w:cs="Arial"/>
                <w:color w:val="31849B" w:themeColor="accent5" w:themeShade="BF"/>
                <w:szCs w:val="20"/>
                <w:lang w:val="el-GR"/>
              </w:rPr>
              <w:t>] ή [</w:t>
            </w:r>
            <w:r w:rsidRPr="00A64382">
              <w:rPr>
                <w:rFonts w:eastAsia="Times New Roman" w:cs="Arial"/>
                <w:color w:val="31849B" w:themeColor="accent5" w:themeShade="BF"/>
                <w:szCs w:val="20"/>
              </w:rPr>
              <w:t>Partially</w:t>
            </w:r>
            <w:r w:rsidRPr="00A64382">
              <w:rPr>
                <w:rFonts w:eastAsia="Times New Roman" w:cs="Arial"/>
                <w:color w:val="31849B" w:themeColor="accent5" w:themeShade="BF"/>
                <w:szCs w:val="20"/>
                <w:lang w:val="el-GR"/>
              </w:rPr>
              <w:t xml:space="preserve"> </w:t>
            </w:r>
            <w:r w:rsidRPr="00A64382">
              <w:rPr>
                <w:rFonts w:eastAsia="Times New Roman" w:cs="Arial"/>
                <w:color w:val="31849B" w:themeColor="accent5" w:themeShade="BF"/>
                <w:szCs w:val="20"/>
              </w:rPr>
              <w:t>implemented</w:t>
            </w:r>
            <w:r w:rsidRPr="00A64382">
              <w:rPr>
                <w:rFonts w:eastAsia="Times New Roman" w:cs="Arial"/>
                <w:color w:val="31849B" w:themeColor="accent5" w:themeShade="BF"/>
                <w:szCs w:val="20"/>
                <w:lang w:val="el-GR"/>
              </w:rPr>
              <w:t>].</w:t>
            </w:r>
          </w:p>
          <w:p w14:paraId="2F330953" w14:textId="77777777" w:rsidR="00A64382" w:rsidRPr="00A64382" w:rsidRDefault="00A64382" w:rsidP="00980F10">
            <w:pPr>
              <w:spacing w:before="120" w:after="120"/>
              <w:jc w:val="both"/>
              <w:rPr>
                <w:rFonts w:eastAsia="Times New Roman" w:cs="Arial"/>
                <w:color w:val="31849B" w:themeColor="accent5" w:themeShade="BF"/>
                <w:szCs w:val="20"/>
                <w:lang w:val="el-GR"/>
              </w:rPr>
            </w:pPr>
          </w:p>
          <w:p w14:paraId="27B8DA67" w14:textId="7300E3F0" w:rsidR="00A64382" w:rsidRPr="00A64382" w:rsidRDefault="00A64382" w:rsidP="00980F10">
            <w:pPr>
              <w:spacing w:before="120" w:after="120"/>
              <w:jc w:val="both"/>
              <w:rPr>
                <w:rFonts w:eastAsia="Times New Roman" w:cs="Arial"/>
                <w:color w:val="31849B" w:themeColor="accent5" w:themeShade="BF"/>
                <w:szCs w:val="20"/>
                <w:lang w:val="el-GR"/>
              </w:rPr>
            </w:pPr>
            <w:r w:rsidRPr="00A64382">
              <w:rPr>
                <w:rFonts w:eastAsia="Times New Roman" w:cs="Arial"/>
                <w:color w:val="31849B" w:themeColor="accent5" w:themeShade="BF"/>
                <w:szCs w:val="20"/>
                <w:lang w:val="el-GR"/>
              </w:rPr>
              <w:t xml:space="preserve">Προαιρετικό σχόλιο προς </w:t>
            </w:r>
            <w:r w:rsidRPr="00A64382">
              <w:rPr>
                <w:rFonts w:eastAsia="Times New Roman" w:cs="Arial"/>
                <w:color w:val="31849B" w:themeColor="accent5" w:themeShade="BF"/>
                <w:szCs w:val="20"/>
              </w:rPr>
              <w:t>Kelemenis</w:t>
            </w:r>
          </w:p>
          <w:p w14:paraId="486A4221" w14:textId="77777777" w:rsidR="00A64382" w:rsidRPr="00A64382" w:rsidRDefault="00A64382" w:rsidP="00980F10">
            <w:pPr>
              <w:spacing w:before="120" w:after="120"/>
              <w:jc w:val="both"/>
              <w:rPr>
                <w:rFonts w:eastAsia="Times New Roman" w:cs="Arial"/>
                <w:color w:val="31849B" w:themeColor="accent5" w:themeShade="BF"/>
                <w:szCs w:val="20"/>
                <w:lang w:val="el-GR"/>
              </w:rPr>
            </w:pPr>
            <w:r w:rsidRPr="00A64382">
              <w:rPr>
                <w:rFonts w:eastAsia="Times New Roman" w:cs="Arial"/>
                <w:color w:val="31849B" w:themeColor="accent5" w:themeShade="BF"/>
                <w:szCs w:val="20"/>
                <w:lang w:val="el-GR"/>
              </w:rPr>
              <w:t xml:space="preserve">Παρακαλούμε να επιβεβαιώσετε αν υπάρχει ήδη κάποια πρόοδος ή προκαταρκτική εργασία που σχετίζεται με τη νομική/διαδικαστική δομή των </w:t>
            </w:r>
            <w:r w:rsidRPr="00A64382">
              <w:rPr>
                <w:rFonts w:eastAsia="Times New Roman" w:cs="Arial"/>
                <w:color w:val="31849B" w:themeColor="accent5" w:themeShade="BF"/>
                <w:szCs w:val="20"/>
              </w:rPr>
              <w:t>implementation</w:t>
            </w:r>
            <w:r w:rsidRPr="00A64382">
              <w:rPr>
                <w:rFonts w:eastAsia="Times New Roman" w:cs="Arial"/>
                <w:color w:val="31849B" w:themeColor="accent5" w:themeShade="BF"/>
                <w:szCs w:val="20"/>
                <w:lang w:val="el-GR"/>
              </w:rPr>
              <w:t xml:space="preserve"> </w:t>
            </w:r>
            <w:r w:rsidRPr="00A64382">
              <w:rPr>
                <w:rFonts w:eastAsia="Times New Roman" w:cs="Arial"/>
                <w:color w:val="31849B" w:themeColor="accent5" w:themeShade="BF"/>
                <w:szCs w:val="20"/>
              </w:rPr>
              <w:t>tenders</w:t>
            </w:r>
            <w:r w:rsidRPr="00A64382">
              <w:rPr>
                <w:rFonts w:eastAsia="Times New Roman" w:cs="Arial"/>
                <w:color w:val="31849B" w:themeColor="accent5" w:themeShade="BF"/>
                <w:szCs w:val="20"/>
                <w:lang w:val="el-GR"/>
              </w:rPr>
              <w:t xml:space="preserve"> ή των </w:t>
            </w:r>
            <w:r w:rsidRPr="00A64382">
              <w:rPr>
                <w:rFonts w:eastAsia="Times New Roman" w:cs="Arial"/>
                <w:color w:val="31849B" w:themeColor="accent5" w:themeShade="BF"/>
                <w:szCs w:val="20"/>
              </w:rPr>
              <w:t>contract</w:t>
            </w:r>
            <w:r w:rsidRPr="00A64382">
              <w:rPr>
                <w:rFonts w:eastAsia="Times New Roman" w:cs="Arial"/>
                <w:color w:val="31849B" w:themeColor="accent5" w:themeShade="BF"/>
                <w:szCs w:val="20"/>
                <w:lang w:val="el-GR"/>
              </w:rPr>
              <w:t xml:space="preserve"> </w:t>
            </w:r>
            <w:r w:rsidRPr="00A64382">
              <w:rPr>
                <w:rFonts w:eastAsia="Times New Roman" w:cs="Arial"/>
                <w:color w:val="31849B" w:themeColor="accent5" w:themeShade="BF"/>
                <w:szCs w:val="20"/>
              </w:rPr>
              <w:t>templates</w:t>
            </w:r>
            <w:r w:rsidRPr="00A64382">
              <w:rPr>
                <w:rFonts w:eastAsia="Times New Roman" w:cs="Arial"/>
                <w:color w:val="31849B" w:themeColor="accent5" w:themeShade="BF"/>
                <w:szCs w:val="20"/>
                <w:lang w:val="el-GR"/>
              </w:rPr>
              <w:t xml:space="preserve"> για το </w:t>
            </w:r>
            <w:r w:rsidRPr="00A64382">
              <w:rPr>
                <w:rFonts w:eastAsia="Times New Roman" w:cs="Arial"/>
                <w:color w:val="31849B" w:themeColor="accent5" w:themeShade="BF"/>
                <w:szCs w:val="20"/>
              </w:rPr>
              <w:t>T</w:t>
            </w:r>
            <w:r w:rsidRPr="00A64382">
              <w:rPr>
                <w:rFonts w:eastAsia="Times New Roman" w:cs="Arial"/>
                <w:color w:val="31849B" w:themeColor="accent5" w:themeShade="BF"/>
                <w:szCs w:val="20"/>
                <w:lang w:val="el-GR"/>
              </w:rPr>
              <w:t xml:space="preserve">4.3 και αν αυτό πρέπει να αναφερθεί στην πρώτη </w:t>
            </w:r>
            <w:r w:rsidRPr="00A64382">
              <w:rPr>
                <w:rFonts w:eastAsia="Times New Roman" w:cs="Arial"/>
                <w:color w:val="31849B" w:themeColor="accent5" w:themeShade="BF"/>
                <w:szCs w:val="20"/>
              </w:rPr>
              <w:t>reporting</w:t>
            </w:r>
            <w:r w:rsidRPr="00A64382">
              <w:rPr>
                <w:rFonts w:eastAsia="Times New Roman" w:cs="Arial"/>
                <w:color w:val="31849B" w:themeColor="accent5" w:themeShade="BF"/>
                <w:szCs w:val="20"/>
                <w:lang w:val="el-GR"/>
              </w:rPr>
              <w:t xml:space="preserve"> </w:t>
            </w:r>
            <w:r w:rsidRPr="00A64382">
              <w:rPr>
                <w:rFonts w:eastAsia="Times New Roman" w:cs="Arial"/>
                <w:color w:val="31849B" w:themeColor="accent5" w:themeShade="BF"/>
                <w:szCs w:val="20"/>
              </w:rPr>
              <w:t>period</w:t>
            </w:r>
            <w:r w:rsidRPr="00A64382">
              <w:rPr>
                <w:rFonts w:eastAsia="Times New Roman" w:cs="Arial"/>
                <w:color w:val="31849B" w:themeColor="accent5" w:themeShade="BF"/>
                <w:szCs w:val="20"/>
                <w:lang w:val="el-GR"/>
              </w:rPr>
              <w:t>.</w:t>
            </w:r>
          </w:p>
          <w:p w14:paraId="6442A25D" w14:textId="767382B5" w:rsidR="00DF6085" w:rsidRPr="00A64382" w:rsidRDefault="00DF6085" w:rsidP="00980F10">
            <w:pPr>
              <w:spacing w:before="120" w:after="120"/>
              <w:rPr>
                <w:rFonts w:eastAsia="Times New Roman" w:cs="Arial"/>
                <w:b/>
                <w:bCs/>
                <w:color w:val="C0504D" w:themeColor="accent2"/>
                <w:sz w:val="18"/>
                <w:szCs w:val="18"/>
                <w:lang w:val="en-US"/>
              </w:rPr>
            </w:pPr>
            <w:r w:rsidRPr="007D500E">
              <w:rPr>
                <w:rFonts w:eastAsia="Times New Roman" w:cs="Arial"/>
                <w:b/>
                <w:bCs/>
                <w:color w:val="C0504D" w:themeColor="accent2"/>
                <w:sz w:val="18"/>
                <w:szCs w:val="18"/>
              </w:rPr>
              <w:t>T</w:t>
            </w:r>
            <w:r w:rsidR="002656EF" w:rsidRPr="00A64382">
              <w:rPr>
                <w:rFonts w:eastAsia="Times New Roman" w:cs="Arial"/>
                <w:b/>
                <w:bCs/>
                <w:color w:val="C0504D" w:themeColor="accent2"/>
                <w:sz w:val="18"/>
                <w:szCs w:val="18"/>
                <w:lang w:val="en-US"/>
              </w:rPr>
              <w:t>4</w:t>
            </w:r>
            <w:r w:rsidRPr="00A64382">
              <w:rPr>
                <w:rFonts w:eastAsia="Times New Roman" w:cs="Arial"/>
                <w:b/>
                <w:bCs/>
                <w:color w:val="C0504D" w:themeColor="accent2"/>
                <w:sz w:val="18"/>
                <w:szCs w:val="18"/>
                <w:lang w:val="en-US"/>
              </w:rPr>
              <w:t>.4 [</w:t>
            </w:r>
            <w:r w:rsidR="002656EF" w:rsidRPr="007D500E">
              <w:rPr>
                <w:rFonts w:eastAsia="Times New Roman" w:cs="Arial"/>
                <w:b/>
                <w:bCs/>
                <w:color w:val="C0504D" w:themeColor="accent2"/>
                <w:sz w:val="18"/>
                <w:szCs w:val="18"/>
              </w:rPr>
              <w:t>Quality</w:t>
            </w:r>
            <w:r w:rsidR="002656EF" w:rsidRPr="00A64382">
              <w:rPr>
                <w:rFonts w:eastAsia="Times New Roman" w:cs="Arial"/>
                <w:b/>
                <w:bCs/>
                <w:color w:val="C0504D" w:themeColor="accent2"/>
                <w:sz w:val="18"/>
                <w:szCs w:val="18"/>
                <w:lang w:val="en-US"/>
              </w:rPr>
              <w:t xml:space="preserve"> </w:t>
            </w:r>
            <w:r w:rsidR="002656EF" w:rsidRPr="007D500E">
              <w:rPr>
                <w:rFonts w:eastAsia="Times New Roman" w:cs="Arial"/>
                <w:b/>
                <w:bCs/>
                <w:color w:val="C0504D" w:themeColor="accent2"/>
                <w:sz w:val="18"/>
                <w:szCs w:val="18"/>
              </w:rPr>
              <w:t>of</w:t>
            </w:r>
            <w:r w:rsidR="002656EF" w:rsidRPr="00A64382">
              <w:rPr>
                <w:rFonts w:eastAsia="Times New Roman" w:cs="Arial"/>
                <w:b/>
                <w:bCs/>
                <w:color w:val="C0504D" w:themeColor="accent2"/>
                <w:sz w:val="18"/>
                <w:szCs w:val="18"/>
                <w:lang w:val="en-US"/>
              </w:rPr>
              <w:t xml:space="preserve"> </w:t>
            </w:r>
            <w:r w:rsidR="002656EF" w:rsidRPr="007D500E">
              <w:rPr>
                <w:rFonts w:eastAsia="Times New Roman" w:cs="Arial"/>
                <w:b/>
                <w:bCs/>
                <w:color w:val="C0504D" w:themeColor="accent2"/>
                <w:sz w:val="18"/>
                <w:szCs w:val="18"/>
              </w:rPr>
              <w:t>the</w:t>
            </w:r>
            <w:r w:rsidR="002656EF" w:rsidRPr="00A64382">
              <w:rPr>
                <w:rFonts w:eastAsia="Times New Roman" w:cs="Arial"/>
                <w:b/>
                <w:bCs/>
                <w:color w:val="C0504D" w:themeColor="accent2"/>
                <w:sz w:val="18"/>
                <w:szCs w:val="18"/>
                <w:lang w:val="en-US"/>
              </w:rPr>
              <w:t xml:space="preserve"> </w:t>
            </w:r>
            <w:r w:rsidR="002656EF" w:rsidRPr="007D500E">
              <w:rPr>
                <w:rFonts w:eastAsia="Times New Roman" w:cs="Arial"/>
                <w:b/>
                <w:bCs/>
                <w:color w:val="C0504D" w:themeColor="accent2"/>
                <w:sz w:val="18"/>
                <w:szCs w:val="18"/>
              </w:rPr>
              <w:t>services</w:t>
            </w:r>
            <w:r w:rsidRPr="00A64382">
              <w:rPr>
                <w:rFonts w:eastAsia="Times New Roman" w:cs="Arial"/>
                <w:b/>
                <w:bCs/>
                <w:color w:val="C0504D" w:themeColor="accent2"/>
                <w:sz w:val="18"/>
                <w:szCs w:val="18"/>
                <w:lang w:val="en-US"/>
              </w:rPr>
              <w:t>] ([</w:t>
            </w:r>
            <w:r w:rsidRPr="007D500E">
              <w:rPr>
                <w:rFonts w:eastAsia="Times New Roman" w:cs="Arial"/>
                <w:b/>
                <w:bCs/>
                <w:color w:val="C0504D" w:themeColor="accent2"/>
                <w:sz w:val="18"/>
                <w:szCs w:val="18"/>
              </w:rPr>
              <w:t>Implemented</w:t>
            </w:r>
            <w:r w:rsidRPr="00A64382">
              <w:rPr>
                <w:rFonts w:eastAsia="Times New Roman" w:cs="Arial"/>
                <w:b/>
                <w:bCs/>
                <w:color w:val="C0504D" w:themeColor="accent2"/>
                <w:sz w:val="18"/>
                <w:szCs w:val="18"/>
                <w:lang w:val="en-US"/>
              </w:rPr>
              <w:t>] [</w:t>
            </w:r>
            <w:r w:rsidRPr="007D500E">
              <w:rPr>
                <w:rFonts w:eastAsia="Times New Roman" w:cs="Arial"/>
                <w:b/>
                <w:bCs/>
                <w:color w:val="C0504D" w:themeColor="accent2"/>
                <w:sz w:val="18"/>
                <w:szCs w:val="18"/>
              </w:rPr>
              <w:t>Not</w:t>
            </w:r>
            <w:r w:rsidRPr="00A64382">
              <w:rPr>
                <w:rFonts w:eastAsia="Times New Roman" w:cs="Arial"/>
                <w:b/>
                <w:bCs/>
                <w:color w:val="C0504D" w:themeColor="accent2"/>
                <w:sz w:val="18"/>
                <w:szCs w:val="18"/>
                <w:lang w:val="en-US"/>
              </w:rPr>
              <w:t xml:space="preserve"> </w:t>
            </w:r>
            <w:r w:rsidRPr="007D500E">
              <w:rPr>
                <w:rFonts w:eastAsia="Times New Roman" w:cs="Arial"/>
                <w:b/>
                <w:bCs/>
                <w:color w:val="C0504D" w:themeColor="accent2"/>
                <w:sz w:val="18"/>
                <w:szCs w:val="18"/>
              </w:rPr>
              <w:t>implemented</w:t>
            </w:r>
            <w:r w:rsidRPr="00A64382">
              <w:rPr>
                <w:rFonts w:eastAsia="Times New Roman" w:cs="Arial"/>
                <w:b/>
                <w:bCs/>
                <w:color w:val="C0504D" w:themeColor="accent2"/>
                <w:sz w:val="18"/>
                <w:szCs w:val="18"/>
                <w:lang w:val="en-US"/>
              </w:rPr>
              <w:t>] [</w:t>
            </w:r>
            <w:r w:rsidRPr="007D500E">
              <w:rPr>
                <w:rFonts w:eastAsia="Times New Roman" w:cs="Arial"/>
                <w:b/>
                <w:bCs/>
                <w:color w:val="C0504D" w:themeColor="accent2"/>
                <w:sz w:val="18"/>
                <w:szCs w:val="18"/>
              </w:rPr>
              <w:t>Partially</w:t>
            </w:r>
            <w:r w:rsidRPr="00A64382">
              <w:rPr>
                <w:rFonts w:eastAsia="Times New Roman" w:cs="Arial"/>
                <w:b/>
                <w:bCs/>
                <w:color w:val="C0504D" w:themeColor="accent2"/>
                <w:sz w:val="18"/>
                <w:szCs w:val="18"/>
                <w:lang w:val="en-US"/>
              </w:rPr>
              <w:t xml:space="preserve"> </w:t>
            </w:r>
            <w:r w:rsidRPr="007D500E">
              <w:rPr>
                <w:rFonts w:eastAsia="Times New Roman" w:cs="Arial"/>
                <w:b/>
                <w:bCs/>
                <w:color w:val="C0504D" w:themeColor="accent2"/>
                <w:sz w:val="18"/>
                <w:szCs w:val="18"/>
              </w:rPr>
              <w:t>implemented</w:t>
            </w:r>
            <w:r w:rsidRPr="00A64382">
              <w:rPr>
                <w:rFonts w:eastAsia="Times New Roman" w:cs="Arial"/>
                <w:b/>
                <w:bCs/>
                <w:color w:val="C0504D" w:themeColor="accent2"/>
                <w:sz w:val="18"/>
                <w:szCs w:val="18"/>
                <w:lang w:val="en-US"/>
              </w:rPr>
              <w:t>])</w:t>
            </w:r>
          </w:p>
          <w:p w14:paraId="124E5D7D" w14:textId="3F6B16A0" w:rsidR="00A64382" w:rsidRPr="002E0D16" w:rsidRDefault="00A64382" w:rsidP="00980F10">
            <w:pPr>
              <w:spacing w:before="120" w:after="120"/>
              <w:jc w:val="both"/>
              <w:rPr>
                <w:rFonts w:eastAsia="Times New Roman" w:cs="Arial"/>
                <w:color w:val="31849B" w:themeColor="accent5" w:themeShade="BF"/>
                <w:szCs w:val="20"/>
                <w:lang w:val="el-GR"/>
              </w:rPr>
            </w:pPr>
            <w:r w:rsidRPr="002E0D16">
              <w:rPr>
                <w:rFonts w:eastAsia="Times New Roman" w:cs="Arial"/>
                <w:color w:val="31849B" w:themeColor="accent5" w:themeShade="BF"/>
                <w:szCs w:val="20"/>
                <w:lang w:val="el-GR"/>
              </w:rPr>
              <w:t xml:space="preserve">Σχόλιο προς ΚΑΠΕ </w:t>
            </w:r>
          </w:p>
          <w:p w14:paraId="2C2F4438" w14:textId="0D19F634" w:rsidR="00DF6085" w:rsidRPr="00A64382" w:rsidRDefault="00A64382" w:rsidP="00980F10">
            <w:pPr>
              <w:spacing w:before="120" w:after="120"/>
              <w:jc w:val="both"/>
              <w:rPr>
                <w:rFonts w:eastAsia="Times New Roman" w:cs="Arial"/>
                <w:color w:val="C0504D" w:themeColor="accent2"/>
                <w:sz w:val="18"/>
                <w:szCs w:val="18"/>
                <w:lang w:val="el-GR"/>
              </w:rPr>
            </w:pPr>
            <w:r w:rsidRPr="00A64382">
              <w:rPr>
                <w:rFonts w:eastAsia="Times New Roman" w:cs="Arial"/>
                <w:color w:val="31849B" w:themeColor="accent5" w:themeShade="BF"/>
                <w:szCs w:val="20"/>
                <w:lang w:val="el-GR"/>
              </w:rPr>
              <w:t xml:space="preserve">Παρακαλούμε να συμπληρωθεί και να διευκρινιστεί ποια μέρη του </w:t>
            </w:r>
            <w:r w:rsidRPr="00A64382">
              <w:rPr>
                <w:rFonts w:eastAsia="Times New Roman" w:cs="Arial"/>
                <w:color w:val="31849B" w:themeColor="accent5" w:themeShade="BF"/>
                <w:szCs w:val="20"/>
              </w:rPr>
              <w:t>task</w:t>
            </w:r>
            <w:r w:rsidRPr="00A64382">
              <w:rPr>
                <w:rFonts w:eastAsia="Times New Roman" w:cs="Arial"/>
                <w:color w:val="31849B" w:themeColor="accent5" w:themeShade="BF"/>
                <w:szCs w:val="20"/>
                <w:lang w:val="el-GR"/>
              </w:rPr>
              <w:t xml:space="preserve"> δεν έχουν ακόμη ενεργοποιηθεί, όπως το </w:t>
            </w:r>
            <w:r w:rsidRPr="00A64382">
              <w:rPr>
                <w:rFonts w:eastAsia="Times New Roman" w:cs="Arial"/>
                <w:color w:val="31849B" w:themeColor="accent5" w:themeShade="BF"/>
                <w:szCs w:val="20"/>
              </w:rPr>
              <w:t>follow</w:t>
            </w:r>
            <w:r w:rsidRPr="00A64382">
              <w:rPr>
                <w:rFonts w:eastAsia="Times New Roman" w:cs="Arial"/>
                <w:color w:val="31849B" w:themeColor="accent5" w:themeShade="BF"/>
                <w:szCs w:val="20"/>
                <w:lang w:val="el-GR"/>
              </w:rPr>
              <w:t>-</w:t>
            </w:r>
            <w:r w:rsidRPr="00A64382">
              <w:rPr>
                <w:rFonts w:eastAsia="Times New Roman" w:cs="Arial"/>
                <w:color w:val="31849B" w:themeColor="accent5" w:themeShade="BF"/>
                <w:szCs w:val="20"/>
              </w:rPr>
              <w:t>up</w:t>
            </w:r>
            <w:r w:rsidRPr="00A64382">
              <w:rPr>
                <w:rFonts w:eastAsia="Times New Roman" w:cs="Arial"/>
                <w:color w:val="31849B" w:themeColor="accent5" w:themeShade="BF"/>
                <w:szCs w:val="20"/>
                <w:lang w:val="el-GR"/>
              </w:rPr>
              <w:t xml:space="preserve"> </w:t>
            </w:r>
            <w:r w:rsidRPr="00A64382">
              <w:rPr>
                <w:rFonts w:eastAsia="Times New Roman" w:cs="Arial"/>
                <w:color w:val="31849B" w:themeColor="accent5" w:themeShade="BF"/>
                <w:szCs w:val="20"/>
              </w:rPr>
              <w:t>of</w:t>
            </w:r>
            <w:r w:rsidRPr="00A64382">
              <w:rPr>
                <w:rFonts w:eastAsia="Times New Roman" w:cs="Arial"/>
                <w:color w:val="31849B" w:themeColor="accent5" w:themeShade="BF"/>
                <w:szCs w:val="20"/>
                <w:lang w:val="el-GR"/>
              </w:rPr>
              <w:t xml:space="preserve"> </w:t>
            </w:r>
            <w:r w:rsidRPr="00A64382">
              <w:rPr>
                <w:rFonts w:eastAsia="Times New Roman" w:cs="Arial"/>
                <w:color w:val="31849B" w:themeColor="accent5" w:themeShade="BF"/>
                <w:szCs w:val="20"/>
              </w:rPr>
              <w:t>renovation</w:t>
            </w:r>
            <w:r w:rsidRPr="00A64382">
              <w:rPr>
                <w:rFonts w:eastAsia="Times New Roman" w:cs="Arial"/>
                <w:color w:val="31849B" w:themeColor="accent5" w:themeShade="BF"/>
                <w:szCs w:val="20"/>
                <w:lang w:val="el-GR"/>
              </w:rPr>
              <w:t xml:space="preserve"> </w:t>
            </w:r>
            <w:r w:rsidRPr="00A64382">
              <w:rPr>
                <w:rFonts w:eastAsia="Times New Roman" w:cs="Arial"/>
                <w:color w:val="31849B" w:themeColor="accent5" w:themeShade="BF"/>
                <w:szCs w:val="20"/>
              </w:rPr>
              <w:t>works</w:t>
            </w:r>
            <w:r w:rsidRPr="00A64382">
              <w:rPr>
                <w:rFonts w:eastAsia="Times New Roman" w:cs="Arial"/>
                <w:color w:val="31849B" w:themeColor="accent5" w:themeShade="BF"/>
                <w:szCs w:val="20"/>
                <w:lang w:val="el-GR"/>
              </w:rPr>
              <w:t xml:space="preserve"> και το </w:t>
            </w:r>
            <w:r w:rsidRPr="00A64382">
              <w:rPr>
                <w:rFonts w:eastAsia="Times New Roman" w:cs="Arial"/>
                <w:color w:val="31849B" w:themeColor="accent5" w:themeShade="BF"/>
                <w:szCs w:val="20"/>
              </w:rPr>
              <w:t>post</w:t>
            </w:r>
            <w:r w:rsidRPr="00A64382">
              <w:rPr>
                <w:rFonts w:eastAsia="Times New Roman" w:cs="Arial"/>
                <w:color w:val="31849B" w:themeColor="accent5" w:themeShade="BF"/>
                <w:szCs w:val="20"/>
                <w:lang w:val="el-GR"/>
              </w:rPr>
              <w:t>-</w:t>
            </w:r>
            <w:r w:rsidRPr="00A64382">
              <w:rPr>
                <w:rFonts w:eastAsia="Times New Roman" w:cs="Arial"/>
                <w:color w:val="31849B" w:themeColor="accent5" w:themeShade="BF"/>
                <w:szCs w:val="20"/>
              </w:rPr>
              <w:t>renovation</w:t>
            </w:r>
            <w:r w:rsidRPr="00A64382">
              <w:rPr>
                <w:rFonts w:eastAsia="Times New Roman" w:cs="Arial"/>
                <w:color w:val="31849B" w:themeColor="accent5" w:themeShade="BF"/>
                <w:szCs w:val="20"/>
                <w:lang w:val="el-GR"/>
              </w:rPr>
              <w:t xml:space="preserve"> </w:t>
            </w:r>
            <w:r w:rsidRPr="00A64382">
              <w:rPr>
                <w:rFonts w:eastAsia="Times New Roman" w:cs="Arial"/>
                <w:color w:val="31849B" w:themeColor="accent5" w:themeShade="BF"/>
                <w:szCs w:val="20"/>
              </w:rPr>
              <w:t>support</w:t>
            </w:r>
            <w:r w:rsidRPr="00A64382">
              <w:rPr>
                <w:rFonts w:eastAsia="Times New Roman" w:cs="Arial"/>
                <w:color w:val="31849B" w:themeColor="accent5" w:themeShade="BF"/>
                <w:szCs w:val="20"/>
                <w:lang w:val="el-GR"/>
              </w:rPr>
              <w:t xml:space="preserve">, καθώς αυτά φαίνεται να ανήκουν σε μεταγενέστερο στάδιο. Με βάση αυτό, παρακαλούμε να επιβεβαιωθεί και το κατάλληλο </w:t>
            </w:r>
            <w:r w:rsidRPr="00A64382">
              <w:rPr>
                <w:rFonts w:eastAsia="Times New Roman" w:cs="Arial"/>
                <w:color w:val="31849B" w:themeColor="accent5" w:themeShade="BF"/>
                <w:szCs w:val="20"/>
              </w:rPr>
              <w:t>status</w:t>
            </w:r>
            <w:r w:rsidRPr="00A64382">
              <w:rPr>
                <w:rFonts w:eastAsia="Times New Roman" w:cs="Arial"/>
                <w:color w:val="31849B" w:themeColor="accent5" w:themeShade="BF"/>
                <w:szCs w:val="20"/>
                <w:lang w:val="el-GR"/>
              </w:rPr>
              <w:t>, πιθανότατα [</w:t>
            </w:r>
            <w:r w:rsidRPr="00A64382">
              <w:rPr>
                <w:rFonts w:eastAsia="Times New Roman" w:cs="Arial"/>
                <w:color w:val="31849B" w:themeColor="accent5" w:themeShade="BF"/>
                <w:szCs w:val="20"/>
              </w:rPr>
              <w:t>Partially</w:t>
            </w:r>
            <w:r w:rsidRPr="00A64382">
              <w:rPr>
                <w:rFonts w:eastAsia="Times New Roman" w:cs="Arial"/>
                <w:color w:val="31849B" w:themeColor="accent5" w:themeShade="BF"/>
                <w:szCs w:val="20"/>
                <w:lang w:val="el-GR"/>
              </w:rPr>
              <w:t xml:space="preserve"> </w:t>
            </w:r>
            <w:r w:rsidRPr="00A64382">
              <w:rPr>
                <w:rFonts w:eastAsia="Times New Roman" w:cs="Arial"/>
                <w:color w:val="31849B" w:themeColor="accent5" w:themeShade="BF"/>
                <w:szCs w:val="20"/>
              </w:rPr>
              <w:t>implemented</w:t>
            </w:r>
            <w:r w:rsidRPr="00A64382">
              <w:rPr>
                <w:rFonts w:eastAsia="Times New Roman" w:cs="Arial"/>
                <w:color w:val="31849B" w:themeColor="accent5" w:themeShade="BF"/>
                <w:szCs w:val="20"/>
                <w:lang w:val="el-GR"/>
              </w:rPr>
              <w:t>]</w:t>
            </w:r>
          </w:p>
        </w:tc>
      </w:tr>
      <w:tr w:rsidR="00DF6085" w:rsidRPr="00200D1C" w14:paraId="3F0097BB" w14:textId="77777777" w:rsidTr="00881652">
        <w:tc>
          <w:tcPr>
            <w:tcW w:w="1659" w:type="pct"/>
            <w:shd w:val="clear" w:color="auto" w:fill="E6E6E6"/>
          </w:tcPr>
          <w:p w14:paraId="693EDE8A" w14:textId="77777777" w:rsidR="00DF6085" w:rsidRPr="00502422" w:rsidRDefault="00DF6085" w:rsidP="00881652">
            <w:pPr>
              <w:spacing w:before="120" w:after="120" w:line="240" w:lineRule="auto"/>
              <w:rPr>
                <w:rFonts w:eastAsia="Times New Roman" w:cs="Arial"/>
                <w:color w:val="595959"/>
                <w:sz w:val="18"/>
                <w:szCs w:val="18"/>
              </w:rPr>
            </w:pPr>
            <w:r>
              <w:rPr>
                <w:rFonts w:eastAsia="Times New Roman" w:cs="Arial"/>
                <w:color w:val="595959"/>
                <w:sz w:val="18"/>
                <w:szCs w:val="18"/>
              </w:rPr>
              <w:lastRenderedPageBreak/>
              <w:t>Other issues</w:t>
            </w:r>
            <w:r w:rsidRPr="00502422">
              <w:rPr>
                <w:rFonts w:eastAsia="Times New Roman" w:cs="Arial"/>
                <w:color w:val="595959"/>
                <w:sz w:val="18"/>
                <w:szCs w:val="18"/>
              </w:rPr>
              <w:t xml:space="preserve"> </w:t>
            </w:r>
          </w:p>
          <w:p w14:paraId="2BEC4AE5" w14:textId="77777777" w:rsidR="00DF6085" w:rsidRDefault="00DF6085" w:rsidP="00881652">
            <w:pPr>
              <w:spacing w:before="120" w:after="120" w:line="240" w:lineRule="auto"/>
              <w:rPr>
                <w:rFonts w:eastAsia="Times New Roman" w:cs="Arial"/>
                <w:b/>
                <w:bCs/>
                <w:color w:val="595959"/>
                <w:sz w:val="18"/>
                <w:szCs w:val="18"/>
              </w:rPr>
            </w:pPr>
            <w:r w:rsidRPr="51F6A2C3">
              <w:rPr>
                <w:rFonts w:eastAsia="Times New Roman" w:cs="Arial"/>
                <w:i/>
                <w:iCs/>
                <w:color w:val="595959"/>
                <w:sz w:val="16"/>
                <w:szCs w:val="16"/>
              </w:rPr>
              <w:t xml:space="preserve">Mention and explain unexpected events and adjustments that had to be made. Explain impact on other </w:t>
            </w:r>
            <w:r w:rsidRPr="00AF2ECC">
              <w:rPr>
                <w:rFonts w:eastAsia="Times New Roman" w:cs="Arial"/>
                <w:i/>
                <w:iCs/>
                <w:color w:val="595959"/>
                <w:sz w:val="16"/>
                <w:szCs w:val="16"/>
              </w:rPr>
              <w:t xml:space="preserve">tasks, available resources and </w:t>
            </w:r>
            <w:r w:rsidRPr="00AF2ECC">
              <w:rPr>
                <w:rFonts w:eastAsia="Times New Roman" w:cs="Arial"/>
                <w:i/>
                <w:iCs/>
                <w:color w:val="595959"/>
                <w:sz w:val="16"/>
                <w:szCs w:val="16"/>
              </w:rPr>
              <w:lastRenderedPageBreak/>
              <w:t xml:space="preserve">planning/timing. </w:t>
            </w:r>
            <w:r w:rsidRPr="00AF2ECC">
              <w:rPr>
                <w:rFonts w:cs="Arial"/>
                <w:i/>
                <w:iCs/>
                <w:sz w:val="16"/>
                <w:szCs w:val="16"/>
              </w:rPr>
              <w:t>In case of major deviations from the planned budget, please refer to section 4.3.</w:t>
            </w:r>
          </w:p>
        </w:tc>
        <w:tc>
          <w:tcPr>
            <w:tcW w:w="3341" w:type="pct"/>
            <w:shd w:val="clear" w:color="auto" w:fill="FFFFFF" w:themeFill="background1"/>
          </w:tcPr>
          <w:p w14:paraId="23020936" w14:textId="77777777" w:rsidR="00DF6085" w:rsidRPr="00B41F58" w:rsidRDefault="00DF6085" w:rsidP="00881652">
            <w:pPr>
              <w:spacing w:before="120" w:after="120" w:line="240" w:lineRule="auto"/>
              <w:ind w:right="4"/>
              <w:jc w:val="both"/>
              <w:rPr>
                <w:rFonts w:eastAsia="Calibri" w:cs="Arial"/>
                <w:color w:val="595959"/>
                <w:sz w:val="18"/>
                <w:szCs w:val="18"/>
              </w:rPr>
            </w:pPr>
            <w:r w:rsidRPr="00B41F58">
              <w:rPr>
                <w:rFonts w:eastAsia="Calibri" w:cs="Arial"/>
                <w:color w:val="595959"/>
                <w:sz w:val="18"/>
                <w:szCs w:val="18"/>
              </w:rPr>
              <w:lastRenderedPageBreak/>
              <w:t>Insert text</w:t>
            </w:r>
          </w:p>
          <w:p w14:paraId="2028242D" w14:textId="77777777" w:rsidR="00DF6085" w:rsidRPr="00B41F58" w:rsidRDefault="00DF6085" w:rsidP="00881652">
            <w:pPr>
              <w:spacing w:before="120" w:after="120" w:line="240" w:lineRule="auto"/>
              <w:rPr>
                <w:rFonts w:eastAsia="Times New Roman" w:cs="Arial"/>
                <w:color w:val="595959"/>
                <w:sz w:val="18"/>
                <w:szCs w:val="20"/>
              </w:rPr>
            </w:pPr>
          </w:p>
        </w:tc>
      </w:tr>
      <w:tr w:rsidR="00DF6085" w:rsidRPr="00200D1C" w14:paraId="1B34426A" w14:textId="77777777" w:rsidTr="00881652">
        <w:tc>
          <w:tcPr>
            <w:tcW w:w="5000" w:type="pct"/>
            <w:gridSpan w:val="2"/>
            <w:shd w:val="clear" w:color="auto" w:fill="D9D9D9" w:themeFill="background1" w:themeFillShade="D9"/>
          </w:tcPr>
          <w:p w14:paraId="14C9C26B" w14:textId="77777777" w:rsidR="00DF6085" w:rsidRPr="00C93CB0" w:rsidRDefault="00DF6085" w:rsidP="00881652">
            <w:pPr>
              <w:spacing w:before="120" w:after="120" w:line="240" w:lineRule="auto"/>
              <w:rPr>
                <w:rFonts w:eastAsia="Times New Roman" w:cs="Arial"/>
                <w:b/>
                <w:bCs/>
                <w:color w:val="595959"/>
                <w:sz w:val="18"/>
                <w:szCs w:val="18"/>
              </w:rPr>
            </w:pPr>
            <w:r w:rsidRPr="51F6A2C3">
              <w:rPr>
                <w:rFonts w:eastAsia="Times New Roman" w:cs="Arial"/>
                <w:b/>
                <w:bCs/>
                <w:color w:val="595959"/>
                <w:sz w:val="18"/>
                <w:szCs w:val="18"/>
              </w:rPr>
              <w:t xml:space="preserve">Milestones and deliverables </w:t>
            </w:r>
            <w:r w:rsidRPr="51F6A2C3">
              <w:rPr>
                <w:rFonts w:cs="Arial"/>
                <w:b/>
                <w:bCs/>
                <w:sz w:val="18"/>
                <w:szCs w:val="18"/>
              </w:rPr>
              <w:t>(outputs/outcomes)</w:t>
            </w:r>
          </w:p>
        </w:tc>
      </w:tr>
      <w:tr w:rsidR="00DF6085" w:rsidRPr="00BC0C16" w14:paraId="61A28626" w14:textId="77777777" w:rsidTr="00881652">
        <w:trPr>
          <w:trHeight w:val="37"/>
        </w:trPr>
        <w:tc>
          <w:tcPr>
            <w:tcW w:w="5000" w:type="pct"/>
            <w:gridSpan w:val="2"/>
            <w:shd w:val="clear" w:color="auto" w:fill="F2F2F2" w:themeFill="background1" w:themeFillShade="F2"/>
          </w:tcPr>
          <w:p w14:paraId="3EE4912F" w14:textId="77777777" w:rsidR="00DF6085" w:rsidRPr="00C93CB0" w:rsidRDefault="00DF6085" w:rsidP="00881652">
            <w:pPr>
              <w:spacing w:before="120" w:after="120" w:line="240" w:lineRule="auto"/>
              <w:rPr>
                <w:rFonts w:cs="Arial"/>
                <w:sz w:val="16"/>
                <w:szCs w:val="16"/>
              </w:rPr>
            </w:pPr>
            <w:r w:rsidRPr="00C93CB0">
              <w:rPr>
                <w:rFonts w:cs="Arial"/>
                <w:sz w:val="18"/>
                <w:szCs w:val="18"/>
              </w:rPr>
              <w:t>See Technical Report (Part A).</w:t>
            </w:r>
          </w:p>
        </w:tc>
      </w:tr>
      <w:bookmarkEnd w:id="52"/>
    </w:tbl>
    <w:p w14:paraId="1EC6EE8A" w14:textId="03FCC54A" w:rsidR="00DF6085" w:rsidRDefault="00DF6085" w:rsidP="00DF6085">
      <w:pPr>
        <w:tabs>
          <w:tab w:val="left" w:pos="795"/>
        </w:tabs>
        <w:rPr>
          <w:rFonts w:eastAsia="Times New Roman" w:cs="Arial"/>
          <w:sz w:val="18"/>
          <w:szCs w:val="18"/>
          <w:lang w:eastAsia="en-GB"/>
        </w:rPr>
      </w:pPr>
    </w:p>
    <w:p w14:paraId="35DCD767" w14:textId="3EFA0481" w:rsidR="002656EF" w:rsidRPr="00110BC6" w:rsidRDefault="002656EF" w:rsidP="002656EF">
      <w:pPr>
        <w:pStyle w:val="Heading4"/>
        <w:rPr>
          <w:sz w:val="18"/>
          <w:szCs w:val="18"/>
        </w:rPr>
      </w:pPr>
      <w:bookmarkStart w:id="56" w:name="_Toc227846973"/>
      <w:bookmarkStart w:id="57" w:name="_Hlk227425218"/>
      <w:r w:rsidRPr="00110BC6">
        <w:t xml:space="preserve">Work </w:t>
      </w:r>
      <w:r>
        <w:t>P</w:t>
      </w:r>
      <w:r w:rsidRPr="00A32534">
        <w:t>ackage</w:t>
      </w:r>
      <w:r w:rsidRPr="51F6A2C3">
        <w:t xml:space="preserve"> </w:t>
      </w:r>
      <w:r>
        <w:t>5</w:t>
      </w:r>
      <w:bookmarkEnd w:id="56"/>
    </w:p>
    <w:tbl>
      <w:tblPr>
        <w:tblW w:w="4842" w:type="pct"/>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3012"/>
        <w:gridCol w:w="6066"/>
      </w:tblGrid>
      <w:tr w:rsidR="002656EF" w:rsidRPr="00200D1C" w14:paraId="63C93B5D" w14:textId="77777777" w:rsidTr="00881652">
        <w:trPr>
          <w:trHeight w:val="417"/>
        </w:trPr>
        <w:tc>
          <w:tcPr>
            <w:tcW w:w="5000" w:type="pct"/>
            <w:gridSpan w:val="2"/>
            <w:tcBorders>
              <w:bottom w:val="single" w:sz="12" w:space="0" w:color="A6A6A6" w:themeColor="background1" w:themeShade="A6"/>
            </w:tcBorders>
            <w:shd w:val="clear" w:color="auto" w:fill="D9D9D9" w:themeFill="background1" w:themeFillShade="D9"/>
          </w:tcPr>
          <w:p w14:paraId="744059FD" w14:textId="5AD2B1B3" w:rsidR="002656EF" w:rsidRPr="00420A4A" w:rsidRDefault="002656EF" w:rsidP="00881652">
            <w:pPr>
              <w:spacing w:before="240" w:after="240" w:line="240" w:lineRule="auto"/>
              <w:rPr>
                <w:rFonts w:eastAsia="Times New Roman" w:cs="Arial"/>
                <w:b/>
                <w:bCs/>
                <w:color w:val="595959"/>
              </w:rPr>
            </w:pPr>
            <w:r w:rsidRPr="51F6A2C3">
              <w:rPr>
                <w:rFonts w:eastAsia="Times New Roman" w:cs="Arial"/>
                <w:b/>
                <w:bCs/>
                <w:color w:val="595959"/>
              </w:rPr>
              <w:t xml:space="preserve">Work Package </w:t>
            </w:r>
            <w:r>
              <w:rPr>
                <w:rFonts w:eastAsia="Times New Roman" w:cs="Arial"/>
                <w:b/>
                <w:bCs/>
                <w:color w:val="595959"/>
              </w:rPr>
              <w:t>5</w:t>
            </w:r>
            <w:r w:rsidRPr="51F6A2C3">
              <w:rPr>
                <w:rFonts w:eastAsia="Times New Roman" w:cs="Arial"/>
                <w:b/>
                <w:bCs/>
                <w:color w:val="595959"/>
              </w:rPr>
              <w:t>: [</w:t>
            </w:r>
            <w:r w:rsidRPr="002656EF">
              <w:rPr>
                <w:rFonts w:eastAsia="Times New Roman" w:cs="Arial"/>
                <w:b/>
                <w:bCs/>
                <w:color w:val="595959"/>
              </w:rPr>
              <w:t>Capacity building - upscaling</w:t>
            </w:r>
            <w:r w:rsidRPr="51F6A2C3">
              <w:rPr>
                <w:rFonts w:eastAsia="Times New Roman" w:cs="Arial"/>
                <w:b/>
                <w:bCs/>
                <w:color w:val="595959"/>
              </w:rPr>
              <w:t>]</w:t>
            </w:r>
          </w:p>
        </w:tc>
      </w:tr>
      <w:tr w:rsidR="002656EF" w:rsidRPr="00200D1C" w14:paraId="297427A8" w14:textId="77777777" w:rsidTr="00881652">
        <w:tc>
          <w:tcPr>
            <w:tcW w:w="5000" w:type="pct"/>
            <w:gridSpan w:val="2"/>
            <w:shd w:val="clear" w:color="auto" w:fill="D9D9D9" w:themeFill="background1" w:themeFillShade="D9"/>
          </w:tcPr>
          <w:p w14:paraId="39F753C0" w14:textId="77777777" w:rsidR="002656EF" w:rsidRPr="00D14AA2" w:rsidRDefault="002656EF" w:rsidP="00881652">
            <w:pPr>
              <w:spacing w:before="120" w:after="120" w:line="240" w:lineRule="auto"/>
              <w:rPr>
                <w:rFonts w:eastAsia="Times New Roman" w:cs="Arial"/>
                <w:b/>
                <w:bCs/>
                <w:color w:val="595959"/>
                <w:sz w:val="18"/>
                <w:szCs w:val="18"/>
              </w:rPr>
            </w:pPr>
            <w:r w:rsidRPr="51F6A2C3">
              <w:rPr>
                <w:rFonts w:eastAsia="Times New Roman" w:cs="Arial"/>
                <w:b/>
                <w:bCs/>
                <w:color w:val="595959"/>
                <w:sz w:val="18"/>
                <w:szCs w:val="18"/>
              </w:rPr>
              <w:t xml:space="preserve">Activities </w:t>
            </w:r>
          </w:p>
          <w:p w14:paraId="6054B4FB" w14:textId="77777777" w:rsidR="002656EF" w:rsidRPr="003A659F" w:rsidRDefault="002656EF" w:rsidP="00881652">
            <w:pPr>
              <w:spacing w:before="120" w:after="60" w:line="240" w:lineRule="auto"/>
              <w:jc w:val="both"/>
              <w:rPr>
                <w:rFonts w:eastAsia="Times New Roman" w:cs="Arial"/>
                <w:i/>
                <w:iCs/>
                <w:sz w:val="16"/>
                <w:szCs w:val="16"/>
                <w:lang w:eastAsia="en-GB"/>
              </w:rPr>
            </w:pPr>
            <w:r w:rsidRPr="51F6A2C3">
              <w:rPr>
                <w:rFonts w:eastAsia="Times New Roman" w:cs="Arial"/>
                <w:i/>
                <w:iCs/>
                <w:kern w:val="32"/>
                <w:sz w:val="16"/>
                <w:szCs w:val="16"/>
                <w:lang w:eastAsia="en-GB"/>
              </w:rPr>
              <w:t xml:space="preserve">Explain the work carried out for each work package during the reporting period, giving details of the work carried out by each participant </w:t>
            </w:r>
            <w:r w:rsidRPr="00AF2ECC">
              <w:rPr>
                <w:rFonts w:eastAsia="Times New Roman" w:cs="Arial"/>
                <w:i/>
                <w:iCs/>
                <w:kern w:val="32"/>
                <w:sz w:val="16"/>
                <w:szCs w:val="16"/>
                <w:lang w:eastAsia="en-GB"/>
              </w:rPr>
              <w:t>involved. Please summarise in a few sentences what was done in the previous period, when applicable.</w:t>
            </w:r>
          </w:p>
          <w:p w14:paraId="2CAFDEEC" w14:textId="77777777" w:rsidR="002656EF" w:rsidRPr="003A659F" w:rsidRDefault="002656EF" w:rsidP="00881652">
            <w:pPr>
              <w:spacing w:after="60" w:line="240" w:lineRule="auto"/>
              <w:jc w:val="both"/>
              <w:rPr>
                <w:rFonts w:eastAsia="Times New Roman" w:cs="Arial"/>
                <w:i/>
                <w:iCs/>
                <w:sz w:val="16"/>
                <w:szCs w:val="16"/>
                <w:lang w:eastAsia="en-GB"/>
              </w:rPr>
            </w:pPr>
            <w:r w:rsidRPr="51F6A2C3">
              <w:rPr>
                <w:rFonts w:cs="Arial"/>
                <w:i/>
                <w:iCs/>
                <w:sz w:val="16"/>
                <w:szCs w:val="16"/>
              </w:rPr>
              <w:t xml:space="preserve">Explain the reasons for </w:t>
            </w:r>
            <w:r w:rsidRPr="51F6A2C3">
              <w:rPr>
                <w:rFonts w:cs="Arial"/>
                <w:i/>
                <w:iCs/>
                <w:sz w:val="16"/>
                <w:szCs w:val="16"/>
                <w:u w:val="single"/>
              </w:rPr>
              <w:t>deviations</w:t>
            </w:r>
            <w:r w:rsidRPr="51F6A2C3">
              <w:rPr>
                <w:rFonts w:cs="Arial"/>
                <w:i/>
                <w:iCs/>
                <w:sz w:val="16"/>
                <w:szCs w:val="16"/>
              </w:rPr>
              <w:t xml:space="preserve"> from </w:t>
            </w:r>
            <w:r w:rsidRPr="51F6A2C3">
              <w:rPr>
                <w:rFonts w:eastAsia="Times New Roman" w:cs="Arial"/>
                <w:i/>
                <w:iCs/>
                <w:color w:val="595959"/>
                <w:sz w:val="16"/>
                <w:szCs w:val="16"/>
              </w:rPr>
              <w:t>Annex 1 of the Grant Agreement</w:t>
            </w:r>
            <w:r w:rsidRPr="51F6A2C3">
              <w:rPr>
                <w:rFonts w:cs="Arial"/>
                <w:i/>
                <w:iCs/>
                <w:sz w:val="16"/>
                <w:szCs w:val="16"/>
              </w:rPr>
              <w:t>, the consequences and the proposed corrective actions.</w:t>
            </w:r>
          </w:p>
          <w:p w14:paraId="7207C020" w14:textId="77777777" w:rsidR="002656EF" w:rsidRPr="003A659F" w:rsidRDefault="002656EF" w:rsidP="00881652">
            <w:pPr>
              <w:spacing w:after="60" w:line="240" w:lineRule="auto"/>
              <w:jc w:val="both"/>
              <w:rPr>
                <w:rFonts w:cs="Arial"/>
                <w:i/>
                <w:iCs/>
                <w:sz w:val="16"/>
                <w:szCs w:val="16"/>
              </w:rPr>
            </w:pPr>
            <w:r w:rsidRPr="51F6A2C3">
              <w:rPr>
                <w:rFonts w:cs="Arial"/>
                <w:i/>
                <w:iCs/>
                <w:sz w:val="16"/>
                <w:szCs w:val="16"/>
              </w:rPr>
              <w:t xml:space="preserve">Include explanations for tasks not fully implemented, critical objectives not fully achieved and/or not being on schedule. Explain also the impact on other tasks, on the available resources and the planning. Where necessary, make reference to the deliverables in the report text. </w:t>
            </w:r>
            <w:r w:rsidRPr="00AF2ECC">
              <w:rPr>
                <w:rFonts w:cs="Arial"/>
                <w:i/>
                <w:iCs/>
                <w:sz w:val="16"/>
                <w:szCs w:val="16"/>
              </w:rPr>
              <w:t>In case of major deviations from on the planned budget, please refer to section 4.3.</w:t>
            </w:r>
          </w:p>
          <w:p w14:paraId="2E6274E7" w14:textId="77777777" w:rsidR="002656EF" w:rsidRDefault="002656EF" w:rsidP="00881652">
            <w:pPr>
              <w:spacing w:after="60" w:line="240" w:lineRule="auto"/>
              <w:jc w:val="both"/>
              <w:rPr>
                <w:i/>
                <w:iCs/>
                <w:sz w:val="16"/>
                <w:szCs w:val="16"/>
              </w:rPr>
            </w:pPr>
            <w:r w:rsidRPr="003F4E7A">
              <w:rPr>
                <w:i/>
                <w:iCs/>
                <w:sz w:val="16"/>
                <w:szCs w:val="16"/>
              </w:rPr>
              <w:t xml:space="preserve">Focus only on the </w:t>
            </w:r>
            <w:r w:rsidRPr="003F4E7A">
              <w:rPr>
                <w:b/>
                <w:bCs/>
                <w:i/>
                <w:iCs/>
                <w:sz w:val="16"/>
                <w:szCs w:val="16"/>
              </w:rPr>
              <w:t>main</w:t>
            </w:r>
            <w:r w:rsidRPr="003F4E7A">
              <w:rPr>
                <w:i/>
                <w:iCs/>
                <w:sz w:val="16"/>
                <w:szCs w:val="16"/>
              </w:rPr>
              <w:t xml:space="preserve"> </w:t>
            </w:r>
            <w:r w:rsidRPr="003F4E7A">
              <w:rPr>
                <w:b/>
                <w:bCs/>
                <w:i/>
                <w:iCs/>
                <w:sz w:val="16"/>
                <w:szCs w:val="16"/>
              </w:rPr>
              <w:t xml:space="preserve">results </w:t>
            </w:r>
            <w:r w:rsidRPr="003F4E7A">
              <w:rPr>
                <w:i/>
                <w:iCs/>
                <w:sz w:val="16"/>
                <w:szCs w:val="16"/>
              </w:rPr>
              <w:t xml:space="preserve">as well as important </w:t>
            </w:r>
            <w:r w:rsidRPr="003F4E7A">
              <w:rPr>
                <w:b/>
                <w:bCs/>
                <w:i/>
                <w:iCs/>
                <w:sz w:val="16"/>
                <w:szCs w:val="16"/>
              </w:rPr>
              <w:t>lessons learned</w:t>
            </w:r>
            <w:r w:rsidRPr="003F4E7A">
              <w:rPr>
                <w:i/>
                <w:iCs/>
                <w:sz w:val="16"/>
                <w:szCs w:val="16"/>
              </w:rPr>
              <w:t>. The technical details should be provided in the deliverables.</w:t>
            </w:r>
          </w:p>
          <w:p w14:paraId="122B7D57" w14:textId="77777777" w:rsidR="002656EF" w:rsidRPr="00C4658D" w:rsidRDefault="002656EF" w:rsidP="00881652">
            <w:pPr>
              <w:spacing w:after="120" w:line="240" w:lineRule="auto"/>
              <w:jc w:val="both"/>
              <w:rPr>
                <w:rFonts w:eastAsia="Times New Roman" w:cs="Arial"/>
                <w:i/>
                <w:iCs/>
                <w:color w:val="595959"/>
                <w:sz w:val="16"/>
                <w:szCs w:val="16"/>
                <w:lang w:eastAsia="en-GB"/>
              </w:rPr>
            </w:pPr>
            <w:r w:rsidRPr="003F4E7A">
              <w:rPr>
                <w:i/>
                <w:iCs/>
                <w:sz w:val="16"/>
                <w:szCs w:val="16"/>
              </w:rPr>
              <w:t>Additionally, for Operating Grants</w:t>
            </w:r>
            <w:r>
              <w:rPr>
                <w:i/>
                <w:iCs/>
                <w:sz w:val="16"/>
                <w:szCs w:val="16"/>
              </w:rPr>
              <w:t xml:space="preserve">, </w:t>
            </w:r>
            <w:r w:rsidRPr="003F4E7A">
              <w:rPr>
                <w:rFonts w:eastAsia="Times New Roman" w:cs="Arial"/>
                <w:i/>
                <w:iCs/>
                <w:color w:val="595959"/>
                <w:sz w:val="16"/>
                <w:szCs w:val="16"/>
                <w:lang w:eastAsia="en-GB"/>
              </w:rPr>
              <w:t>report</w:t>
            </w:r>
            <w:r w:rsidRPr="51F6A2C3">
              <w:rPr>
                <w:rFonts w:eastAsia="Times New Roman" w:cs="Arial"/>
                <w:i/>
                <w:iCs/>
                <w:color w:val="595959"/>
                <w:sz w:val="16"/>
                <w:szCs w:val="16"/>
                <w:lang w:eastAsia="en-GB"/>
              </w:rPr>
              <w:t xml:space="preserve"> </w:t>
            </w:r>
            <w:r>
              <w:rPr>
                <w:rFonts w:eastAsia="Times New Roman" w:cs="Arial"/>
                <w:i/>
                <w:iCs/>
                <w:color w:val="595959"/>
                <w:sz w:val="16"/>
                <w:szCs w:val="16"/>
                <w:lang w:eastAsia="en-GB"/>
              </w:rPr>
              <w:t>u</w:t>
            </w:r>
            <w:r w:rsidRPr="003F4E7A">
              <w:rPr>
                <w:rFonts w:eastAsia="Times New Roman" w:cs="Arial"/>
                <w:i/>
                <w:iCs/>
                <w:color w:val="595959"/>
                <w:sz w:val="16"/>
                <w:szCs w:val="16"/>
                <w:lang w:eastAsia="en-GB"/>
              </w:rPr>
              <w:t>nder Work Package 1</w:t>
            </w:r>
            <w:r>
              <w:rPr>
                <w:rFonts w:eastAsia="Times New Roman" w:cs="Arial"/>
                <w:i/>
                <w:iCs/>
                <w:color w:val="595959"/>
                <w:sz w:val="16"/>
                <w:szCs w:val="16"/>
                <w:lang w:eastAsia="en-GB"/>
              </w:rPr>
              <w:t xml:space="preserve"> </w:t>
            </w:r>
            <w:r w:rsidRPr="51F6A2C3">
              <w:rPr>
                <w:rFonts w:eastAsia="Times New Roman" w:cs="Arial"/>
                <w:i/>
                <w:iCs/>
                <w:color w:val="595959"/>
                <w:sz w:val="16"/>
                <w:szCs w:val="16"/>
                <w:lang w:eastAsia="en-GB"/>
              </w:rPr>
              <w:t xml:space="preserve">on </w:t>
            </w:r>
            <w:r w:rsidRPr="51F6A2C3">
              <w:rPr>
                <w:rFonts w:eastAsia="Times New Roman" w:cs="Arial"/>
                <w:i/>
                <w:iCs/>
                <w:color w:val="595959"/>
                <w:sz w:val="16"/>
                <w:szCs w:val="16"/>
                <w:u w:val="single"/>
                <w:lang w:eastAsia="en-GB"/>
              </w:rPr>
              <w:t>changes</w:t>
            </w:r>
            <w:r w:rsidRPr="51F6A2C3">
              <w:rPr>
                <w:rFonts w:eastAsia="Times New Roman" w:cs="Arial"/>
                <w:i/>
                <w:iCs/>
                <w:color w:val="595959"/>
                <w:sz w:val="16"/>
                <w:szCs w:val="16"/>
                <w:lang w:eastAsia="en-GB"/>
              </w:rPr>
              <w:t xml:space="preserve"> in your organisation’s capacity (if any) to become a more efficient stakeholder in the </w:t>
            </w:r>
            <w:r>
              <w:rPr>
                <w:rFonts w:eastAsia="Times New Roman" w:cs="Arial"/>
                <w:i/>
                <w:iCs/>
                <w:color w:val="595959"/>
                <w:sz w:val="16"/>
                <w:szCs w:val="16"/>
                <w:lang w:eastAsia="en-GB"/>
              </w:rPr>
              <w:t>EU</w:t>
            </w:r>
            <w:r w:rsidRPr="51F6A2C3">
              <w:rPr>
                <w:rFonts w:eastAsia="Times New Roman" w:cs="Arial"/>
                <w:i/>
                <w:iCs/>
                <w:color w:val="595959"/>
                <w:sz w:val="16"/>
                <w:szCs w:val="16"/>
                <w:lang w:eastAsia="en-GB"/>
              </w:rPr>
              <w:t>’s policy process. Report on the proposed actions and their status to develop the organisation, widen the grassroots or members base, diversify and sustain the organisation's fundraising strategy and the strategy to reduce your dependence on LIFE operating grants.</w:t>
            </w:r>
          </w:p>
        </w:tc>
      </w:tr>
      <w:tr w:rsidR="002656EF" w:rsidRPr="00200D1C" w14:paraId="37072806" w14:textId="77777777" w:rsidTr="00881652">
        <w:trPr>
          <w:trHeight w:val="37"/>
        </w:trPr>
        <w:tc>
          <w:tcPr>
            <w:tcW w:w="5000" w:type="pct"/>
            <w:gridSpan w:val="2"/>
          </w:tcPr>
          <w:p w14:paraId="68222295" w14:textId="49907E67" w:rsidR="002656EF" w:rsidRPr="007D500E" w:rsidRDefault="002656EF" w:rsidP="00980F10">
            <w:pPr>
              <w:spacing w:before="120" w:after="120"/>
              <w:rPr>
                <w:rFonts w:eastAsia="Times New Roman" w:cs="Arial"/>
                <w:b/>
                <w:bCs/>
                <w:color w:val="C0504D" w:themeColor="accent2"/>
                <w:sz w:val="18"/>
                <w:szCs w:val="18"/>
              </w:rPr>
            </w:pPr>
            <w:r w:rsidRPr="007D500E">
              <w:rPr>
                <w:rFonts w:eastAsia="Times New Roman" w:cs="Arial"/>
                <w:b/>
                <w:bCs/>
                <w:color w:val="C0504D" w:themeColor="accent2"/>
                <w:sz w:val="18"/>
                <w:szCs w:val="18"/>
              </w:rPr>
              <w:t>T5.1 [A mechanism to attract municipalities for the OSS services] ([Partially implemented])</w:t>
            </w:r>
          </w:p>
          <w:p w14:paraId="6140C47D" w14:textId="446DD66E" w:rsidR="004443CA" w:rsidRPr="004443CA" w:rsidRDefault="004443CA" w:rsidP="00980F10">
            <w:pPr>
              <w:spacing w:before="120" w:after="120"/>
              <w:jc w:val="both"/>
              <w:rPr>
                <w:rFonts w:eastAsia="Times New Roman" w:cs="Arial"/>
                <w:szCs w:val="20"/>
              </w:rPr>
            </w:pPr>
            <w:r w:rsidRPr="004443CA">
              <w:rPr>
                <w:rFonts w:eastAsia="Times New Roman" w:cs="Arial"/>
                <w:szCs w:val="20"/>
              </w:rPr>
              <w:t>According to Annex 1, Task 5.1 aims at developing a mechanism to attract municipalities to the OSS services through a co-creation approach among the consortium partners, combining campaign actions, capacity-building elements and pipeline development. During the present reporting period, this mechanism was only partially implemented. While the full attraction mechanism had not yet been launched in its complete form, initial preparatory steps were taken in order to support future municipal outreach and onboarding.</w:t>
            </w:r>
          </w:p>
          <w:p w14:paraId="1004795D" w14:textId="0CA8C1D4" w:rsidR="004443CA" w:rsidRPr="004443CA" w:rsidRDefault="004443CA" w:rsidP="00980F10">
            <w:pPr>
              <w:spacing w:before="120" w:after="120"/>
              <w:jc w:val="both"/>
              <w:rPr>
                <w:rFonts w:eastAsia="Times New Roman" w:cs="Arial"/>
                <w:szCs w:val="20"/>
              </w:rPr>
            </w:pPr>
            <w:r w:rsidRPr="004443CA">
              <w:rPr>
                <w:rFonts w:eastAsia="Times New Roman" w:cs="Arial"/>
                <w:szCs w:val="20"/>
              </w:rPr>
              <w:t xml:space="preserve">In particular, first internal discussions took place within the project regarding the way municipalities could be attracted to the RenoInGR OSS services and how the relevant outreach process could be structured. These discussions did not yet result in a full campaign or in the complete activation of the attraction mechanism described in Annex 1, but they helped shape the initial logic of municipal engagement. </w:t>
            </w:r>
            <w:r>
              <w:rPr>
                <w:rFonts w:eastAsia="Times New Roman" w:cs="Arial"/>
                <w:szCs w:val="20"/>
                <w:lang w:val="en-US"/>
              </w:rPr>
              <w:t>Moreover</w:t>
            </w:r>
            <w:r w:rsidRPr="004443CA">
              <w:rPr>
                <w:rFonts w:eastAsia="Times New Roman" w:cs="Arial"/>
                <w:szCs w:val="20"/>
              </w:rPr>
              <w:t>, the OSS platform was prepared to support this function, including an expression-of-interest form through which municipalities may indicate their interest in the services, as well as explanatory material presenting what the OSS offers, how it operates and what kind of support can be provided. The platform also includes structured guidance material intended to facilitate understanding of the OSS approach by potential users.</w:t>
            </w:r>
          </w:p>
          <w:p w14:paraId="0F46FA18" w14:textId="32DC07F5" w:rsidR="004443CA" w:rsidRPr="004443CA" w:rsidRDefault="004443CA" w:rsidP="00980F10">
            <w:pPr>
              <w:spacing w:before="120" w:after="120"/>
              <w:jc w:val="both"/>
              <w:rPr>
                <w:rFonts w:eastAsia="Times New Roman" w:cs="Arial"/>
                <w:szCs w:val="20"/>
              </w:rPr>
            </w:pPr>
            <w:r w:rsidRPr="004443CA">
              <w:rPr>
                <w:rFonts w:eastAsia="Times New Roman" w:cs="Arial"/>
                <w:szCs w:val="20"/>
              </w:rPr>
              <w:t xml:space="preserve">At the end of the reporting period, the platform was </w:t>
            </w:r>
            <w:r w:rsidR="00AE7D7A">
              <w:rPr>
                <w:rFonts w:eastAsia="Times New Roman" w:cs="Arial"/>
                <w:szCs w:val="20"/>
              </w:rPr>
              <w:t>just</w:t>
            </w:r>
            <w:r w:rsidRPr="004443CA">
              <w:rPr>
                <w:rFonts w:eastAsia="Times New Roman" w:cs="Arial"/>
                <w:szCs w:val="20"/>
              </w:rPr>
              <w:t xml:space="preserve"> fully launched for broad public operation, as this was expected to take place after the project progress meeting. For this reason, the task had not yet reached the stage of full outward implementation foreseen in Annex 1, such as a broader campaign, systematic invitations to municipalities or the activation of a large-scale ambassador </w:t>
            </w:r>
            <w:r w:rsidRPr="004443CA">
              <w:rPr>
                <w:rFonts w:eastAsia="Times New Roman" w:cs="Arial"/>
                <w:szCs w:val="20"/>
              </w:rPr>
              <w:lastRenderedPageBreak/>
              <w:t>mechanism. Similarly, the capacity-building component related to the local Energy &amp; Environmental Advocates had not yet been developed in substantive terms during this phase.</w:t>
            </w:r>
          </w:p>
          <w:p w14:paraId="6E1C080D" w14:textId="323D8B6D" w:rsidR="004443CA" w:rsidRPr="004443CA" w:rsidRDefault="00AE7D7A" w:rsidP="00980F10">
            <w:pPr>
              <w:spacing w:before="120" w:after="120"/>
              <w:jc w:val="both"/>
              <w:rPr>
                <w:rFonts w:eastAsia="Times New Roman" w:cs="Arial"/>
                <w:szCs w:val="20"/>
              </w:rPr>
            </w:pPr>
            <w:r>
              <w:rPr>
                <w:rFonts w:eastAsia="Times New Roman" w:cs="Arial"/>
                <w:szCs w:val="20"/>
              </w:rPr>
              <w:t>So</w:t>
            </w:r>
            <w:r w:rsidR="004443CA" w:rsidRPr="004443CA">
              <w:rPr>
                <w:rFonts w:eastAsia="Times New Roman" w:cs="Arial"/>
                <w:szCs w:val="20"/>
              </w:rPr>
              <w:t>, Task 5.1 was partially implemented during the reporting period. The work carried out so far has laid an initial basis for the future attraction of municipalities, mainly through the conceptual preparation of the mechanism and the creation of supporting platform features and guidance material. However, the broader campaign, the more structured outreach actions and the full operationalisation of the mechanism are expected to take place in the subsequent phases of the project, once the platform becomes fully active and the related support processes are further consolidated.</w:t>
            </w:r>
          </w:p>
          <w:p w14:paraId="3671CFB0" w14:textId="46CAD361" w:rsidR="002656EF" w:rsidRPr="007D500E" w:rsidRDefault="002656EF" w:rsidP="00980F10">
            <w:pPr>
              <w:spacing w:before="120" w:after="120"/>
              <w:rPr>
                <w:rFonts w:eastAsia="Times New Roman" w:cs="Arial"/>
                <w:b/>
                <w:bCs/>
                <w:color w:val="C0504D" w:themeColor="accent2"/>
                <w:sz w:val="18"/>
                <w:szCs w:val="18"/>
              </w:rPr>
            </w:pPr>
            <w:r w:rsidRPr="007D500E">
              <w:rPr>
                <w:rFonts w:eastAsia="Times New Roman" w:cs="Arial"/>
                <w:b/>
                <w:bCs/>
                <w:color w:val="C0504D" w:themeColor="accent2"/>
                <w:sz w:val="18"/>
                <w:szCs w:val="18"/>
              </w:rPr>
              <w:t>T5.2 [Building up a pipeline of building renovation projects]  [</w:t>
            </w:r>
            <w:r w:rsidRPr="00332708">
              <w:rPr>
                <w:rFonts w:eastAsia="Times New Roman" w:cs="Arial"/>
                <w:b/>
                <w:bCs/>
                <w:color w:val="C0504D" w:themeColor="accent2"/>
                <w:sz w:val="18"/>
                <w:szCs w:val="18"/>
                <w:u w:val="single"/>
              </w:rPr>
              <w:t>Not implemented</w:t>
            </w:r>
            <w:r w:rsidRPr="007D500E">
              <w:rPr>
                <w:rFonts w:eastAsia="Times New Roman" w:cs="Arial"/>
                <w:b/>
                <w:bCs/>
                <w:color w:val="C0504D" w:themeColor="accent2"/>
                <w:sz w:val="18"/>
                <w:szCs w:val="18"/>
              </w:rPr>
              <w:t>])</w:t>
            </w:r>
          </w:p>
          <w:p w14:paraId="176A4FAC" w14:textId="05C42DED" w:rsidR="004443CA" w:rsidRPr="004443CA" w:rsidRDefault="004443CA" w:rsidP="00980F10">
            <w:pPr>
              <w:spacing w:before="120" w:after="120"/>
              <w:jc w:val="both"/>
              <w:rPr>
                <w:rFonts w:eastAsia="Times New Roman" w:cs="Arial"/>
                <w:szCs w:val="20"/>
              </w:rPr>
            </w:pPr>
            <w:r w:rsidRPr="004443CA">
              <w:rPr>
                <w:rFonts w:eastAsia="Times New Roman" w:cs="Arial"/>
                <w:szCs w:val="20"/>
              </w:rPr>
              <w:t>According to Annex 1, Task 5.2 is expected to start building the project pipeline once the core OSS services are completed, i.e. from around month 18 onwards. During the present reporting period, the task did not yet reach the stage of full structured implementation as originally envisaged, since no formal announcement for the pipeline had yet been launched, no service agreements had yet been signed for additional pipeline municipalities or buildings, and the detailed operational logic foreseen for this task</w:t>
            </w:r>
            <w:r w:rsidRPr="004443CA">
              <w:rPr>
                <w:rFonts w:eastAsia="Times New Roman" w:cs="Arial"/>
                <w:szCs w:val="20"/>
                <w:lang w:val="en-US"/>
              </w:rPr>
              <w:t>,</w:t>
            </w:r>
            <w:r w:rsidRPr="004443CA">
              <w:rPr>
                <w:rFonts w:eastAsia="Times New Roman" w:cs="Arial"/>
                <w:szCs w:val="20"/>
              </w:rPr>
              <w:t xml:space="preserve"> including service-depth categorisation, cut-off periods and structured onboarding</w:t>
            </w:r>
            <w:r w:rsidRPr="004443CA">
              <w:rPr>
                <w:rFonts w:eastAsia="Times New Roman" w:cs="Arial"/>
                <w:szCs w:val="20"/>
                <w:lang w:val="en-US"/>
              </w:rPr>
              <w:t>,</w:t>
            </w:r>
            <w:r w:rsidRPr="004443CA">
              <w:rPr>
                <w:rFonts w:eastAsia="Times New Roman" w:cs="Arial"/>
                <w:szCs w:val="20"/>
              </w:rPr>
              <w:t xml:space="preserve"> had not yet been fully activated. In this sense, the task remained at an early preparatory stage at the end of the reporting period.</w:t>
            </w:r>
          </w:p>
          <w:p w14:paraId="7D6B50DB" w14:textId="5222A0C2" w:rsidR="004443CA" w:rsidRPr="004443CA" w:rsidRDefault="004443CA" w:rsidP="00980F10">
            <w:pPr>
              <w:spacing w:before="120" w:after="120"/>
              <w:jc w:val="both"/>
              <w:rPr>
                <w:rFonts w:eastAsia="Times New Roman" w:cs="Arial"/>
                <w:szCs w:val="20"/>
              </w:rPr>
            </w:pPr>
            <w:r w:rsidRPr="004443CA">
              <w:rPr>
                <w:rFonts w:eastAsia="Times New Roman" w:cs="Arial"/>
                <w:szCs w:val="20"/>
              </w:rPr>
              <w:t>At the same time, some initial indications of external interest in the future OSS services have already emerged. During the reporting period, a small number of municipalities outside the pilot group approached the project team through direct contact and email communication, expressing interest in the RenoInGR support approach. Although these expressions of interest were still informal and did not yet lead to a formal onboarding process, they provide an early indication that there is demand for the type of services that the OSS is expected to offer under WP5. This emerging interest can be considered a first signal of future pipeline potential, even though the structured pipeline mechanism has not yet been fully launched.</w:t>
            </w:r>
          </w:p>
          <w:p w14:paraId="37DBAEF4" w14:textId="77777777" w:rsidR="001B4D63" w:rsidRDefault="004443CA" w:rsidP="00980F10">
            <w:pPr>
              <w:spacing w:before="120" w:after="120"/>
              <w:jc w:val="both"/>
              <w:rPr>
                <w:rFonts w:eastAsia="Times New Roman" w:cs="Arial"/>
                <w:szCs w:val="20"/>
                <w:lang w:val="en-US"/>
              </w:rPr>
            </w:pPr>
            <w:r w:rsidRPr="004443CA">
              <w:rPr>
                <w:rFonts w:eastAsia="Times New Roman" w:cs="Arial"/>
                <w:szCs w:val="20"/>
              </w:rPr>
              <w:t>In addition, broader outreach actions undertaken within the project created a favourable basis for future pipeline development. In particular, the online roundtable organised by KEDE, which involved representatives from 95 municipalities that had expressed interest in the initiative, contributed to increasing visibility and awareness of the RenoInGR support model among local authorities. While this activity does not in itself constitute implementation of the pipeline mechanism, it can be regarded as a useful preparatory step for future mobilisation and engagement of municipalities that may wish to use OSS services in the next project phases.</w:t>
            </w:r>
          </w:p>
          <w:p w14:paraId="5C71A69E" w14:textId="777DFFD0" w:rsidR="001B4D63" w:rsidRPr="001B4D63" w:rsidRDefault="001B4D63" w:rsidP="00980F10">
            <w:pPr>
              <w:spacing w:before="120" w:after="120"/>
              <w:jc w:val="both"/>
              <w:rPr>
                <w:rFonts w:eastAsia="Times New Roman" w:cs="Arial"/>
                <w:color w:val="4BACC6" w:themeColor="accent5"/>
                <w:szCs w:val="20"/>
              </w:rPr>
            </w:pPr>
            <w:r w:rsidRPr="001B4D63">
              <w:rPr>
                <w:rFonts w:eastAsia="Times New Roman" w:cs="Arial"/>
                <w:color w:val="4BACC6" w:themeColor="accent5"/>
                <w:szCs w:val="20"/>
                <w:lang w:val="en-US"/>
              </w:rPr>
              <w:t xml:space="preserve">Epirus </w:t>
            </w:r>
            <w:r w:rsidRPr="001B4D63">
              <w:rPr>
                <w:rFonts w:eastAsia="Times New Roman" w:cs="Arial"/>
                <w:color w:val="4BACC6" w:themeColor="accent5"/>
                <w:szCs w:val="20"/>
              </w:rPr>
              <w:t>Bank has already engaged with its partners regarding the organisation of informational workshops addressed to small and mountainous municipalities in the Region of Epirus. It is estimated that these initiatives can be implemented by the end of the current year, with a preference for scheduling during the summer period.</w:t>
            </w:r>
          </w:p>
          <w:p w14:paraId="00652B94" w14:textId="0F11E56D" w:rsidR="001B4D63" w:rsidRPr="001B4D63" w:rsidRDefault="001B4D63" w:rsidP="00980F10">
            <w:pPr>
              <w:spacing w:before="120" w:after="120"/>
              <w:jc w:val="both"/>
              <w:rPr>
                <w:rFonts w:eastAsia="Times New Roman" w:cs="Arial"/>
                <w:color w:val="4BACC6" w:themeColor="accent5"/>
                <w:szCs w:val="20"/>
              </w:rPr>
            </w:pPr>
            <w:r w:rsidRPr="001B4D63">
              <w:rPr>
                <w:rFonts w:eastAsia="Times New Roman" w:cs="Arial"/>
                <w:color w:val="4BACC6" w:themeColor="accent5"/>
                <w:szCs w:val="20"/>
              </w:rPr>
              <w:t>During this period, mountainous municipalities typically experience increased presence of local visitors and non-resident citizens (heterodimotes), who may be better positioned to understand the importance and added value of the green transition and, where appropriate, contribute to fostering local support and momentum for decision-making processes</w:t>
            </w:r>
          </w:p>
          <w:p w14:paraId="0266608D" w14:textId="35B91C7D" w:rsidR="002656EF" w:rsidRPr="007D500E" w:rsidRDefault="002656EF" w:rsidP="00980F10">
            <w:pPr>
              <w:spacing w:before="120" w:after="120"/>
              <w:rPr>
                <w:rFonts w:eastAsia="Times New Roman" w:cs="Arial"/>
                <w:b/>
                <w:bCs/>
                <w:color w:val="C0504D" w:themeColor="accent2"/>
                <w:sz w:val="18"/>
                <w:szCs w:val="18"/>
              </w:rPr>
            </w:pPr>
            <w:r w:rsidRPr="007D500E">
              <w:rPr>
                <w:rFonts w:eastAsia="Times New Roman" w:cs="Arial"/>
                <w:b/>
                <w:bCs/>
                <w:color w:val="C0504D" w:themeColor="accent2"/>
                <w:sz w:val="18"/>
                <w:szCs w:val="18"/>
              </w:rPr>
              <w:t>T5.3 [Capacity building activities] ([</w:t>
            </w:r>
            <w:r w:rsidRPr="00332708">
              <w:rPr>
                <w:rFonts w:eastAsia="Times New Roman" w:cs="Arial"/>
                <w:b/>
                <w:bCs/>
                <w:color w:val="C0504D" w:themeColor="accent2"/>
                <w:sz w:val="18"/>
                <w:szCs w:val="18"/>
                <w:u w:val="single"/>
              </w:rPr>
              <w:t>Not implemented</w:t>
            </w:r>
            <w:r w:rsidRPr="007D500E">
              <w:rPr>
                <w:rFonts w:eastAsia="Times New Roman" w:cs="Arial"/>
                <w:b/>
                <w:bCs/>
                <w:color w:val="C0504D" w:themeColor="accent2"/>
                <w:sz w:val="18"/>
                <w:szCs w:val="18"/>
              </w:rPr>
              <w:t>])</w:t>
            </w:r>
          </w:p>
          <w:p w14:paraId="2C92BDFE" w14:textId="234A6F52" w:rsidR="002656EF" w:rsidRPr="00B61A2F" w:rsidRDefault="00B61A2F" w:rsidP="00980F10">
            <w:pPr>
              <w:spacing w:before="120" w:after="120"/>
              <w:jc w:val="both"/>
              <w:rPr>
                <w:rFonts w:eastAsia="Times New Roman" w:cs="Arial"/>
                <w:b/>
                <w:bCs/>
                <w:color w:val="4F81BD" w:themeColor="accent1"/>
                <w:szCs w:val="20"/>
                <w:lang w:val="el-GR"/>
              </w:rPr>
            </w:pPr>
            <w:r w:rsidRPr="00B61A2F">
              <w:rPr>
                <w:rFonts w:eastAsia="Times New Roman" w:cs="Arial"/>
                <w:b/>
                <w:bCs/>
                <w:color w:val="4F81BD" w:themeColor="accent1"/>
                <w:szCs w:val="20"/>
                <w:lang w:val="el-GR"/>
              </w:rPr>
              <w:t>ΕΥΔΙΤΗ</w:t>
            </w:r>
          </w:p>
          <w:p w14:paraId="4228EC89" w14:textId="77777777" w:rsidR="002656EF" w:rsidRPr="007D500E" w:rsidRDefault="002656EF" w:rsidP="00980F10">
            <w:pPr>
              <w:spacing w:before="120" w:after="120"/>
              <w:rPr>
                <w:rFonts w:eastAsia="Times New Roman" w:cs="Arial"/>
                <w:color w:val="C0504D" w:themeColor="accent2"/>
                <w:sz w:val="18"/>
                <w:szCs w:val="18"/>
              </w:rPr>
            </w:pPr>
            <w:r w:rsidRPr="007D500E">
              <w:rPr>
                <w:rFonts w:eastAsia="Times New Roman" w:cs="Arial"/>
                <w:color w:val="C0504D" w:themeColor="accent2"/>
                <w:sz w:val="18"/>
                <w:szCs w:val="18"/>
              </w:rPr>
              <w:lastRenderedPageBreak/>
              <w:t>…</w:t>
            </w:r>
          </w:p>
        </w:tc>
      </w:tr>
      <w:tr w:rsidR="002656EF" w:rsidRPr="00200D1C" w14:paraId="143F4293" w14:textId="77777777" w:rsidTr="00881652">
        <w:tc>
          <w:tcPr>
            <w:tcW w:w="1659" w:type="pct"/>
            <w:shd w:val="clear" w:color="auto" w:fill="E6E6E6"/>
          </w:tcPr>
          <w:p w14:paraId="2897495F" w14:textId="77777777" w:rsidR="002656EF" w:rsidRPr="00502422" w:rsidRDefault="002656EF" w:rsidP="00881652">
            <w:pPr>
              <w:spacing w:before="120" w:after="120" w:line="240" w:lineRule="auto"/>
              <w:rPr>
                <w:rFonts w:eastAsia="Times New Roman" w:cs="Arial"/>
                <w:color w:val="595959"/>
                <w:sz w:val="18"/>
                <w:szCs w:val="18"/>
              </w:rPr>
            </w:pPr>
            <w:r>
              <w:rPr>
                <w:rFonts w:eastAsia="Times New Roman" w:cs="Arial"/>
                <w:color w:val="595959"/>
                <w:sz w:val="18"/>
                <w:szCs w:val="18"/>
              </w:rPr>
              <w:lastRenderedPageBreak/>
              <w:t>Other issues</w:t>
            </w:r>
            <w:r w:rsidRPr="00502422">
              <w:rPr>
                <w:rFonts w:eastAsia="Times New Roman" w:cs="Arial"/>
                <w:color w:val="595959"/>
                <w:sz w:val="18"/>
                <w:szCs w:val="18"/>
              </w:rPr>
              <w:t xml:space="preserve"> </w:t>
            </w:r>
          </w:p>
          <w:p w14:paraId="4EE67729" w14:textId="77777777" w:rsidR="002656EF" w:rsidRDefault="002656EF" w:rsidP="00881652">
            <w:pPr>
              <w:spacing w:before="120" w:after="120" w:line="240" w:lineRule="auto"/>
              <w:rPr>
                <w:rFonts w:eastAsia="Times New Roman" w:cs="Arial"/>
                <w:b/>
                <w:bCs/>
                <w:color w:val="595959"/>
                <w:sz w:val="18"/>
                <w:szCs w:val="18"/>
              </w:rPr>
            </w:pPr>
            <w:r w:rsidRPr="51F6A2C3">
              <w:rPr>
                <w:rFonts w:eastAsia="Times New Roman" w:cs="Arial"/>
                <w:i/>
                <w:iCs/>
                <w:color w:val="595959"/>
                <w:sz w:val="16"/>
                <w:szCs w:val="16"/>
              </w:rPr>
              <w:t xml:space="preserve">Mention and explain unexpected events and adjustments that had to be made. Explain impact on other </w:t>
            </w:r>
            <w:r w:rsidRPr="00AF2ECC">
              <w:rPr>
                <w:rFonts w:eastAsia="Times New Roman" w:cs="Arial"/>
                <w:i/>
                <w:iCs/>
                <w:color w:val="595959"/>
                <w:sz w:val="16"/>
                <w:szCs w:val="16"/>
              </w:rPr>
              <w:t xml:space="preserve">tasks, available resources and planning/timing. </w:t>
            </w:r>
            <w:r w:rsidRPr="00AF2ECC">
              <w:rPr>
                <w:rFonts w:cs="Arial"/>
                <w:i/>
                <w:iCs/>
                <w:sz w:val="16"/>
                <w:szCs w:val="16"/>
              </w:rPr>
              <w:t>In case of major deviations from the planned budget, please refer to section 4.3.</w:t>
            </w:r>
          </w:p>
        </w:tc>
        <w:tc>
          <w:tcPr>
            <w:tcW w:w="3341" w:type="pct"/>
            <w:shd w:val="clear" w:color="auto" w:fill="FFFFFF" w:themeFill="background1"/>
          </w:tcPr>
          <w:p w14:paraId="7A763BD4" w14:textId="77777777" w:rsidR="002656EF" w:rsidRPr="00B41F58" w:rsidRDefault="002656EF" w:rsidP="00881652">
            <w:pPr>
              <w:spacing w:before="120" w:after="120" w:line="240" w:lineRule="auto"/>
              <w:ind w:right="4"/>
              <w:jc w:val="both"/>
              <w:rPr>
                <w:rFonts w:eastAsia="Calibri" w:cs="Arial"/>
                <w:color w:val="595959"/>
                <w:sz w:val="18"/>
                <w:szCs w:val="18"/>
              </w:rPr>
            </w:pPr>
            <w:r w:rsidRPr="00B41F58">
              <w:rPr>
                <w:rFonts w:eastAsia="Calibri" w:cs="Arial"/>
                <w:color w:val="595959"/>
                <w:sz w:val="18"/>
                <w:szCs w:val="18"/>
              </w:rPr>
              <w:t>Insert text</w:t>
            </w:r>
          </w:p>
          <w:p w14:paraId="24E22F59" w14:textId="77777777" w:rsidR="002656EF" w:rsidRPr="00B41F58" w:rsidRDefault="002656EF" w:rsidP="00881652">
            <w:pPr>
              <w:spacing w:before="120" w:after="120" w:line="240" w:lineRule="auto"/>
              <w:rPr>
                <w:rFonts w:eastAsia="Times New Roman" w:cs="Arial"/>
                <w:color w:val="595959"/>
                <w:sz w:val="18"/>
                <w:szCs w:val="20"/>
              </w:rPr>
            </w:pPr>
          </w:p>
        </w:tc>
      </w:tr>
      <w:tr w:rsidR="002656EF" w:rsidRPr="00200D1C" w14:paraId="77B8774B" w14:textId="77777777" w:rsidTr="00881652">
        <w:tc>
          <w:tcPr>
            <w:tcW w:w="5000" w:type="pct"/>
            <w:gridSpan w:val="2"/>
            <w:shd w:val="clear" w:color="auto" w:fill="D9D9D9" w:themeFill="background1" w:themeFillShade="D9"/>
          </w:tcPr>
          <w:p w14:paraId="59E9C1B1" w14:textId="77777777" w:rsidR="002656EF" w:rsidRPr="00C93CB0" w:rsidRDefault="002656EF" w:rsidP="00881652">
            <w:pPr>
              <w:spacing w:before="120" w:after="120" w:line="240" w:lineRule="auto"/>
              <w:rPr>
                <w:rFonts w:eastAsia="Times New Roman" w:cs="Arial"/>
                <w:b/>
                <w:bCs/>
                <w:color w:val="595959"/>
                <w:sz w:val="18"/>
                <w:szCs w:val="18"/>
              </w:rPr>
            </w:pPr>
            <w:r w:rsidRPr="51F6A2C3">
              <w:rPr>
                <w:rFonts w:eastAsia="Times New Roman" w:cs="Arial"/>
                <w:b/>
                <w:bCs/>
                <w:color w:val="595959"/>
                <w:sz w:val="18"/>
                <w:szCs w:val="18"/>
              </w:rPr>
              <w:t xml:space="preserve">Milestones and deliverables </w:t>
            </w:r>
            <w:r w:rsidRPr="51F6A2C3">
              <w:rPr>
                <w:rFonts w:cs="Arial"/>
                <w:b/>
                <w:bCs/>
                <w:sz w:val="18"/>
                <w:szCs w:val="18"/>
              </w:rPr>
              <w:t>(outputs/outcomes)</w:t>
            </w:r>
          </w:p>
        </w:tc>
      </w:tr>
      <w:tr w:rsidR="002656EF" w:rsidRPr="00BC0C16" w14:paraId="027A1EAC" w14:textId="77777777" w:rsidTr="00881652">
        <w:trPr>
          <w:trHeight w:val="37"/>
        </w:trPr>
        <w:tc>
          <w:tcPr>
            <w:tcW w:w="5000" w:type="pct"/>
            <w:gridSpan w:val="2"/>
            <w:shd w:val="clear" w:color="auto" w:fill="F2F2F2" w:themeFill="background1" w:themeFillShade="F2"/>
          </w:tcPr>
          <w:p w14:paraId="7AC569D6" w14:textId="77777777" w:rsidR="002656EF" w:rsidRPr="00C93CB0" w:rsidRDefault="002656EF" w:rsidP="00881652">
            <w:pPr>
              <w:spacing w:before="120" w:after="120" w:line="240" w:lineRule="auto"/>
              <w:rPr>
                <w:rFonts w:cs="Arial"/>
                <w:sz w:val="16"/>
                <w:szCs w:val="16"/>
              </w:rPr>
            </w:pPr>
            <w:r w:rsidRPr="00C93CB0">
              <w:rPr>
                <w:rFonts w:cs="Arial"/>
                <w:sz w:val="18"/>
                <w:szCs w:val="18"/>
              </w:rPr>
              <w:t>See Technical Report (Part A).</w:t>
            </w:r>
          </w:p>
        </w:tc>
      </w:tr>
    </w:tbl>
    <w:p w14:paraId="21F75D91" w14:textId="77777777" w:rsidR="002656EF" w:rsidRDefault="002656EF" w:rsidP="002656EF">
      <w:pPr>
        <w:tabs>
          <w:tab w:val="left" w:pos="795"/>
        </w:tabs>
        <w:rPr>
          <w:rFonts w:eastAsia="Times New Roman" w:cs="Arial"/>
          <w:sz w:val="18"/>
          <w:szCs w:val="18"/>
          <w:lang w:eastAsia="en-GB"/>
        </w:rPr>
      </w:pPr>
    </w:p>
    <w:p w14:paraId="56CCF4A2" w14:textId="11FAD135" w:rsidR="002656EF" w:rsidRPr="00110BC6" w:rsidRDefault="002656EF" w:rsidP="002656EF">
      <w:pPr>
        <w:pStyle w:val="Heading4"/>
        <w:rPr>
          <w:sz w:val="18"/>
          <w:szCs w:val="18"/>
        </w:rPr>
      </w:pPr>
      <w:bookmarkStart w:id="58" w:name="_Toc227846974"/>
      <w:bookmarkStart w:id="59" w:name="_Hlk227092130"/>
      <w:bookmarkEnd w:id="57"/>
      <w:r w:rsidRPr="00110BC6">
        <w:t xml:space="preserve">Work </w:t>
      </w:r>
      <w:r>
        <w:t>P</w:t>
      </w:r>
      <w:r w:rsidRPr="00A32534">
        <w:t>ackage</w:t>
      </w:r>
      <w:r w:rsidRPr="51F6A2C3">
        <w:t xml:space="preserve"> </w:t>
      </w:r>
      <w:r>
        <w:t>6</w:t>
      </w:r>
      <w:bookmarkEnd w:id="58"/>
    </w:p>
    <w:tbl>
      <w:tblPr>
        <w:tblW w:w="4842" w:type="pct"/>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3012"/>
        <w:gridCol w:w="6066"/>
      </w:tblGrid>
      <w:tr w:rsidR="002656EF" w:rsidRPr="00200D1C" w14:paraId="005EEA5A" w14:textId="77777777" w:rsidTr="00881652">
        <w:trPr>
          <w:trHeight w:val="417"/>
        </w:trPr>
        <w:tc>
          <w:tcPr>
            <w:tcW w:w="5000" w:type="pct"/>
            <w:gridSpan w:val="2"/>
            <w:tcBorders>
              <w:bottom w:val="single" w:sz="12" w:space="0" w:color="A6A6A6" w:themeColor="background1" w:themeShade="A6"/>
            </w:tcBorders>
            <w:shd w:val="clear" w:color="auto" w:fill="D9D9D9" w:themeFill="background1" w:themeFillShade="D9"/>
          </w:tcPr>
          <w:p w14:paraId="0FD1D82D" w14:textId="0EAA823A" w:rsidR="002656EF" w:rsidRPr="00420A4A" w:rsidRDefault="002656EF" w:rsidP="00881652">
            <w:pPr>
              <w:spacing w:before="240" w:after="240" w:line="240" w:lineRule="auto"/>
              <w:rPr>
                <w:rFonts w:eastAsia="Times New Roman" w:cs="Arial"/>
                <w:b/>
                <w:bCs/>
                <w:color w:val="595959"/>
              </w:rPr>
            </w:pPr>
            <w:r w:rsidRPr="51F6A2C3">
              <w:rPr>
                <w:rFonts w:eastAsia="Times New Roman" w:cs="Arial"/>
                <w:b/>
                <w:bCs/>
                <w:color w:val="595959"/>
              </w:rPr>
              <w:t xml:space="preserve">Work Package </w:t>
            </w:r>
            <w:r>
              <w:rPr>
                <w:rFonts w:eastAsia="Times New Roman" w:cs="Arial"/>
                <w:b/>
                <w:bCs/>
                <w:color w:val="595959"/>
              </w:rPr>
              <w:t>6</w:t>
            </w:r>
            <w:r w:rsidRPr="51F6A2C3">
              <w:rPr>
                <w:rFonts w:eastAsia="Times New Roman" w:cs="Arial"/>
                <w:b/>
                <w:bCs/>
                <w:color w:val="595959"/>
              </w:rPr>
              <w:t>: [</w:t>
            </w:r>
            <w:r w:rsidRPr="002656EF">
              <w:rPr>
                <w:rFonts w:eastAsia="Times New Roman" w:cs="Arial"/>
                <w:b/>
                <w:bCs/>
                <w:color w:val="595959"/>
              </w:rPr>
              <w:t>Sustainability, Replication, Exploitation</w:t>
            </w:r>
            <w:r w:rsidRPr="51F6A2C3">
              <w:rPr>
                <w:rFonts w:eastAsia="Times New Roman" w:cs="Arial"/>
                <w:b/>
                <w:bCs/>
                <w:color w:val="595959"/>
              </w:rPr>
              <w:t>]</w:t>
            </w:r>
          </w:p>
        </w:tc>
      </w:tr>
      <w:tr w:rsidR="002656EF" w:rsidRPr="00200D1C" w14:paraId="6670BA05" w14:textId="77777777" w:rsidTr="00881652">
        <w:tc>
          <w:tcPr>
            <w:tcW w:w="5000" w:type="pct"/>
            <w:gridSpan w:val="2"/>
            <w:shd w:val="clear" w:color="auto" w:fill="D9D9D9" w:themeFill="background1" w:themeFillShade="D9"/>
          </w:tcPr>
          <w:p w14:paraId="5451346B" w14:textId="77777777" w:rsidR="002656EF" w:rsidRPr="00D14AA2" w:rsidRDefault="002656EF" w:rsidP="00881652">
            <w:pPr>
              <w:spacing w:before="120" w:after="120" w:line="240" w:lineRule="auto"/>
              <w:rPr>
                <w:rFonts w:eastAsia="Times New Roman" w:cs="Arial"/>
                <w:b/>
                <w:bCs/>
                <w:color w:val="595959"/>
                <w:sz w:val="18"/>
                <w:szCs w:val="18"/>
              </w:rPr>
            </w:pPr>
            <w:r w:rsidRPr="51F6A2C3">
              <w:rPr>
                <w:rFonts w:eastAsia="Times New Roman" w:cs="Arial"/>
                <w:b/>
                <w:bCs/>
                <w:color w:val="595959"/>
                <w:sz w:val="18"/>
                <w:szCs w:val="18"/>
              </w:rPr>
              <w:t xml:space="preserve">Activities </w:t>
            </w:r>
          </w:p>
          <w:p w14:paraId="4A54CFC7" w14:textId="77777777" w:rsidR="002656EF" w:rsidRPr="003A659F" w:rsidRDefault="002656EF" w:rsidP="00881652">
            <w:pPr>
              <w:spacing w:before="120" w:after="60" w:line="240" w:lineRule="auto"/>
              <w:jc w:val="both"/>
              <w:rPr>
                <w:rFonts w:eastAsia="Times New Roman" w:cs="Arial"/>
                <w:i/>
                <w:iCs/>
                <w:sz w:val="16"/>
                <w:szCs w:val="16"/>
                <w:lang w:eastAsia="en-GB"/>
              </w:rPr>
            </w:pPr>
            <w:r w:rsidRPr="51F6A2C3">
              <w:rPr>
                <w:rFonts w:eastAsia="Times New Roman" w:cs="Arial"/>
                <w:i/>
                <w:iCs/>
                <w:kern w:val="32"/>
                <w:sz w:val="16"/>
                <w:szCs w:val="16"/>
                <w:lang w:eastAsia="en-GB"/>
              </w:rPr>
              <w:t xml:space="preserve">Explain the work carried out for each work package during the reporting period, giving details of the work carried out by each participant </w:t>
            </w:r>
            <w:r w:rsidRPr="00AF2ECC">
              <w:rPr>
                <w:rFonts w:eastAsia="Times New Roman" w:cs="Arial"/>
                <w:i/>
                <w:iCs/>
                <w:kern w:val="32"/>
                <w:sz w:val="16"/>
                <w:szCs w:val="16"/>
                <w:lang w:eastAsia="en-GB"/>
              </w:rPr>
              <w:t>involved. Please summarise in a few sentences what was done in the previous period, when applicable.</w:t>
            </w:r>
          </w:p>
          <w:p w14:paraId="32B3E487" w14:textId="77777777" w:rsidR="002656EF" w:rsidRPr="003A659F" w:rsidRDefault="002656EF" w:rsidP="00881652">
            <w:pPr>
              <w:spacing w:after="60" w:line="240" w:lineRule="auto"/>
              <w:jc w:val="both"/>
              <w:rPr>
                <w:rFonts w:eastAsia="Times New Roman" w:cs="Arial"/>
                <w:i/>
                <w:iCs/>
                <w:sz w:val="16"/>
                <w:szCs w:val="16"/>
                <w:lang w:eastAsia="en-GB"/>
              </w:rPr>
            </w:pPr>
            <w:r w:rsidRPr="51F6A2C3">
              <w:rPr>
                <w:rFonts w:cs="Arial"/>
                <w:i/>
                <w:iCs/>
                <w:sz w:val="16"/>
                <w:szCs w:val="16"/>
              </w:rPr>
              <w:t xml:space="preserve">Explain the reasons for </w:t>
            </w:r>
            <w:r w:rsidRPr="51F6A2C3">
              <w:rPr>
                <w:rFonts w:cs="Arial"/>
                <w:i/>
                <w:iCs/>
                <w:sz w:val="16"/>
                <w:szCs w:val="16"/>
                <w:u w:val="single"/>
              </w:rPr>
              <w:t>deviations</w:t>
            </w:r>
            <w:r w:rsidRPr="51F6A2C3">
              <w:rPr>
                <w:rFonts w:cs="Arial"/>
                <w:i/>
                <w:iCs/>
                <w:sz w:val="16"/>
                <w:szCs w:val="16"/>
              </w:rPr>
              <w:t xml:space="preserve"> from </w:t>
            </w:r>
            <w:r w:rsidRPr="51F6A2C3">
              <w:rPr>
                <w:rFonts w:eastAsia="Times New Roman" w:cs="Arial"/>
                <w:i/>
                <w:iCs/>
                <w:color w:val="595959"/>
                <w:sz w:val="16"/>
                <w:szCs w:val="16"/>
              </w:rPr>
              <w:t>Annex 1 of the Grant Agreement</w:t>
            </w:r>
            <w:r w:rsidRPr="51F6A2C3">
              <w:rPr>
                <w:rFonts w:cs="Arial"/>
                <w:i/>
                <w:iCs/>
                <w:sz w:val="16"/>
                <w:szCs w:val="16"/>
              </w:rPr>
              <w:t>, the consequences and the proposed corrective actions.</w:t>
            </w:r>
          </w:p>
          <w:p w14:paraId="3A52E3B6" w14:textId="77777777" w:rsidR="002656EF" w:rsidRPr="003A659F" w:rsidRDefault="002656EF" w:rsidP="00881652">
            <w:pPr>
              <w:spacing w:after="60" w:line="240" w:lineRule="auto"/>
              <w:jc w:val="both"/>
              <w:rPr>
                <w:rFonts w:cs="Arial"/>
                <w:i/>
                <w:iCs/>
                <w:sz w:val="16"/>
                <w:szCs w:val="16"/>
              </w:rPr>
            </w:pPr>
            <w:r w:rsidRPr="51F6A2C3">
              <w:rPr>
                <w:rFonts w:cs="Arial"/>
                <w:i/>
                <w:iCs/>
                <w:sz w:val="16"/>
                <w:szCs w:val="16"/>
              </w:rPr>
              <w:t xml:space="preserve">Include explanations for tasks not fully implemented, critical objectives not fully achieved and/or not being on schedule. Explain also the impact on other tasks, on the available resources and the planning. Where necessary, make reference to the deliverables in the report text. </w:t>
            </w:r>
            <w:r w:rsidRPr="00AF2ECC">
              <w:rPr>
                <w:rFonts w:cs="Arial"/>
                <w:i/>
                <w:iCs/>
                <w:sz w:val="16"/>
                <w:szCs w:val="16"/>
              </w:rPr>
              <w:t>In case of major deviations from on the planned budget, please refer to section 4.3.</w:t>
            </w:r>
          </w:p>
          <w:p w14:paraId="18F6A0B3" w14:textId="77777777" w:rsidR="002656EF" w:rsidRDefault="002656EF" w:rsidP="00881652">
            <w:pPr>
              <w:spacing w:after="60" w:line="240" w:lineRule="auto"/>
              <w:jc w:val="both"/>
              <w:rPr>
                <w:i/>
                <w:iCs/>
                <w:sz w:val="16"/>
                <w:szCs w:val="16"/>
              </w:rPr>
            </w:pPr>
            <w:r w:rsidRPr="003F4E7A">
              <w:rPr>
                <w:i/>
                <w:iCs/>
                <w:sz w:val="16"/>
                <w:szCs w:val="16"/>
              </w:rPr>
              <w:t xml:space="preserve">Focus only on the </w:t>
            </w:r>
            <w:r w:rsidRPr="003F4E7A">
              <w:rPr>
                <w:b/>
                <w:bCs/>
                <w:i/>
                <w:iCs/>
                <w:sz w:val="16"/>
                <w:szCs w:val="16"/>
              </w:rPr>
              <w:t>main</w:t>
            </w:r>
            <w:r w:rsidRPr="003F4E7A">
              <w:rPr>
                <w:i/>
                <w:iCs/>
                <w:sz w:val="16"/>
                <w:szCs w:val="16"/>
              </w:rPr>
              <w:t xml:space="preserve"> </w:t>
            </w:r>
            <w:r w:rsidRPr="003F4E7A">
              <w:rPr>
                <w:b/>
                <w:bCs/>
                <w:i/>
                <w:iCs/>
                <w:sz w:val="16"/>
                <w:szCs w:val="16"/>
              </w:rPr>
              <w:t xml:space="preserve">results </w:t>
            </w:r>
            <w:r w:rsidRPr="003F4E7A">
              <w:rPr>
                <w:i/>
                <w:iCs/>
                <w:sz w:val="16"/>
                <w:szCs w:val="16"/>
              </w:rPr>
              <w:t xml:space="preserve">as well as important </w:t>
            </w:r>
            <w:r w:rsidRPr="003F4E7A">
              <w:rPr>
                <w:b/>
                <w:bCs/>
                <w:i/>
                <w:iCs/>
                <w:sz w:val="16"/>
                <w:szCs w:val="16"/>
              </w:rPr>
              <w:t>lessons learned</w:t>
            </w:r>
            <w:r w:rsidRPr="003F4E7A">
              <w:rPr>
                <w:i/>
                <w:iCs/>
                <w:sz w:val="16"/>
                <w:szCs w:val="16"/>
              </w:rPr>
              <w:t>. The technical details should be provided in the deliverables.</w:t>
            </w:r>
          </w:p>
          <w:p w14:paraId="487FB5DD" w14:textId="77777777" w:rsidR="002656EF" w:rsidRPr="00C4658D" w:rsidRDefault="002656EF" w:rsidP="00881652">
            <w:pPr>
              <w:spacing w:after="120" w:line="240" w:lineRule="auto"/>
              <w:jc w:val="both"/>
              <w:rPr>
                <w:rFonts w:eastAsia="Times New Roman" w:cs="Arial"/>
                <w:i/>
                <w:iCs/>
                <w:color w:val="595959"/>
                <w:sz w:val="16"/>
                <w:szCs w:val="16"/>
                <w:lang w:eastAsia="en-GB"/>
              </w:rPr>
            </w:pPr>
            <w:r w:rsidRPr="003F4E7A">
              <w:rPr>
                <w:i/>
                <w:iCs/>
                <w:sz w:val="16"/>
                <w:szCs w:val="16"/>
              </w:rPr>
              <w:t>Additionally, for Operating Grants</w:t>
            </w:r>
            <w:r>
              <w:rPr>
                <w:i/>
                <w:iCs/>
                <w:sz w:val="16"/>
                <w:szCs w:val="16"/>
              </w:rPr>
              <w:t xml:space="preserve">, </w:t>
            </w:r>
            <w:r w:rsidRPr="003F4E7A">
              <w:rPr>
                <w:rFonts w:eastAsia="Times New Roman" w:cs="Arial"/>
                <w:i/>
                <w:iCs/>
                <w:color w:val="595959"/>
                <w:sz w:val="16"/>
                <w:szCs w:val="16"/>
                <w:lang w:eastAsia="en-GB"/>
              </w:rPr>
              <w:t>report</w:t>
            </w:r>
            <w:r w:rsidRPr="51F6A2C3">
              <w:rPr>
                <w:rFonts w:eastAsia="Times New Roman" w:cs="Arial"/>
                <w:i/>
                <w:iCs/>
                <w:color w:val="595959"/>
                <w:sz w:val="16"/>
                <w:szCs w:val="16"/>
                <w:lang w:eastAsia="en-GB"/>
              </w:rPr>
              <w:t xml:space="preserve"> </w:t>
            </w:r>
            <w:r>
              <w:rPr>
                <w:rFonts w:eastAsia="Times New Roman" w:cs="Arial"/>
                <w:i/>
                <w:iCs/>
                <w:color w:val="595959"/>
                <w:sz w:val="16"/>
                <w:szCs w:val="16"/>
                <w:lang w:eastAsia="en-GB"/>
              </w:rPr>
              <w:t>u</w:t>
            </w:r>
            <w:r w:rsidRPr="003F4E7A">
              <w:rPr>
                <w:rFonts w:eastAsia="Times New Roman" w:cs="Arial"/>
                <w:i/>
                <w:iCs/>
                <w:color w:val="595959"/>
                <w:sz w:val="16"/>
                <w:szCs w:val="16"/>
                <w:lang w:eastAsia="en-GB"/>
              </w:rPr>
              <w:t>nder Work Package 1</w:t>
            </w:r>
            <w:r>
              <w:rPr>
                <w:rFonts w:eastAsia="Times New Roman" w:cs="Arial"/>
                <w:i/>
                <w:iCs/>
                <w:color w:val="595959"/>
                <w:sz w:val="16"/>
                <w:szCs w:val="16"/>
                <w:lang w:eastAsia="en-GB"/>
              </w:rPr>
              <w:t xml:space="preserve"> </w:t>
            </w:r>
            <w:r w:rsidRPr="51F6A2C3">
              <w:rPr>
                <w:rFonts w:eastAsia="Times New Roman" w:cs="Arial"/>
                <w:i/>
                <w:iCs/>
                <w:color w:val="595959"/>
                <w:sz w:val="16"/>
                <w:szCs w:val="16"/>
                <w:lang w:eastAsia="en-GB"/>
              </w:rPr>
              <w:t xml:space="preserve">on </w:t>
            </w:r>
            <w:r w:rsidRPr="51F6A2C3">
              <w:rPr>
                <w:rFonts w:eastAsia="Times New Roman" w:cs="Arial"/>
                <w:i/>
                <w:iCs/>
                <w:color w:val="595959"/>
                <w:sz w:val="16"/>
                <w:szCs w:val="16"/>
                <w:u w:val="single"/>
                <w:lang w:eastAsia="en-GB"/>
              </w:rPr>
              <w:t>changes</w:t>
            </w:r>
            <w:r w:rsidRPr="51F6A2C3">
              <w:rPr>
                <w:rFonts w:eastAsia="Times New Roman" w:cs="Arial"/>
                <w:i/>
                <w:iCs/>
                <w:color w:val="595959"/>
                <w:sz w:val="16"/>
                <w:szCs w:val="16"/>
                <w:lang w:eastAsia="en-GB"/>
              </w:rPr>
              <w:t xml:space="preserve"> in your organisation’s capacity (if any) to become a more efficient stakeholder in the </w:t>
            </w:r>
            <w:r>
              <w:rPr>
                <w:rFonts w:eastAsia="Times New Roman" w:cs="Arial"/>
                <w:i/>
                <w:iCs/>
                <w:color w:val="595959"/>
                <w:sz w:val="16"/>
                <w:szCs w:val="16"/>
                <w:lang w:eastAsia="en-GB"/>
              </w:rPr>
              <w:t>EU</w:t>
            </w:r>
            <w:r w:rsidRPr="51F6A2C3">
              <w:rPr>
                <w:rFonts w:eastAsia="Times New Roman" w:cs="Arial"/>
                <w:i/>
                <w:iCs/>
                <w:color w:val="595959"/>
                <w:sz w:val="16"/>
                <w:szCs w:val="16"/>
                <w:lang w:eastAsia="en-GB"/>
              </w:rPr>
              <w:t>’s policy process. Report on the proposed actions and their status to develop the organisation, widen the grassroots or members base, diversify and sustain the organisation's fundraising strategy and the strategy to reduce your dependence on LIFE operating grants.</w:t>
            </w:r>
          </w:p>
        </w:tc>
      </w:tr>
      <w:tr w:rsidR="002656EF" w:rsidRPr="00200D1C" w14:paraId="579CF71F" w14:textId="77777777" w:rsidTr="00881652">
        <w:trPr>
          <w:trHeight w:val="37"/>
        </w:trPr>
        <w:tc>
          <w:tcPr>
            <w:tcW w:w="5000" w:type="pct"/>
            <w:gridSpan w:val="2"/>
          </w:tcPr>
          <w:p w14:paraId="0D9D50C0" w14:textId="505E09F6" w:rsidR="002656EF" w:rsidRPr="007D500E" w:rsidRDefault="002656EF" w:rsidP="00980F10">
            <w:pPr>
              <w:spacing w:before="120" w:after="120"/>
              <w:rPr>
                <w:rFonts w:eastAsia="Times New Roman" w:cs="Arial"/>
                <w:b/>
                <w:bCs/>
                <w:color w:val="C0504D" w:themeColor="accent2"/>
                <w:sz w:val="18"/>
                <w:szCs w:val="18"/>
              </w:rPr>
            </w:pPr>
            <w:r w:rsidRPr="007D500E">
              <w:rPr>
                <w:rFonts w:eastAsia="Times New Roman" w:cs="Arial"/>
                <w:b/>
                <w:bCs/>
                <w:color w:val="C0504D" w:themeColor="accent2"/>
                <w:sz w:val="18"/>
                <w:szCs w:val="18"/>
              </w:rPr>
              <w:t>T6.1 [Sustainability – 10-year Business Plan of the RenoInGR OSS] ([</w:t>
            </w:r>
            <w:r w:rsidR="00854F97" w:rsidRPr="007D500E">
              <w:rPr>
                <w:rFonts w:eastAsia="Times New Roman" w:cs="Arial"/>
                <w:b/>
                <w:bCs/>
                <w:color w:val="C0504D" w:themeColor="accent2"/>
                <w:sz w:val="18"/>
                <w:szCs w:val="18"/>
              </w:rPr>
              <w:t xml:space="preserve">Partially implemented </w:t>
            </w:r>
            <w:r w:rsidR="00854F97" w:rsidRPr="00854F97">
              <w:rPr>
                <w:rFonts w:eastAsia="Times New Roman" w:cs="Arial"/>
                <w:b/>
                <w:bCs/>
                <w:color w:val="C0504D" w:themeColor="accent2"/>
                <w:sz w:val="18"/>
                <w:szCs w:val="18"/>
                <w:lang w:val="en-US"/>
              </w:rPr>
              <w:t xml:space="preserve"> - </w:t>
            </w:r>
            <w:r w:rsidRPr="007D500E">
              <w:rPr>
                <w:rFonts w:eastAsia="Times New Roman" w:cs="Arial"/>
                <w:b/>
                <w:bCs/>
                <w:color w:val="C0504D" w:themeColor="accent2"/>
                <w:sz w:val="18"/>
                <w:szCs w:val="18"/>
              </w:rPr>
              <w:t>Not implemented])</w:t>
            </w:r>
          </w:p>
          <w:p w14:paraId="77171053" w14:textId="441ABA33" w:rsidR="00E10BE1" w:rsidRPr="00E10BE1" w:rsidRDefault="00E10BE1" w:rsidP="00980F10">
            <w:pPr>
              <w:spacing w:before="120" w:after="120"/>
              <w:jc w:val="both"/>
              <w:rPr>
                <w:rFonts w:eastAsia="Times New Roman" w:cs="Arial"/>
                <w:b/>
                <w:bCs/>
                <w:color w:val="76923C" w:themeColor="accent3" w:themeShade="BF"/>
                <w:szCs w:val="20"/>
                <w:lang w:val="el-GR"/>
              </w:rPr>
            </w:pPr>
            <w:r w:rsidRPr="00E10BE1">
              <w:rPr>
                <w:rFonts w:eastAsia="Times New Roman" w:cs="Arial"/>
                <w:b/>
                <w:bCs/>
                <w:color w:val="76923C" w:themeColor="accent3" w:themeShade="BF"/>
                <w:szCs w:val="20"/>
                <w:lang w:val="el-GR"/>
              </w:rPr>
              <w:t>ΚΑΠΕ</w:t>
            </w:r>
          </w:p>
          <w:p w14:paraId="1EF26338" w14:textId="27475866" w:rsidR="00E10BE1" w:rsidRPr="00E10BE1" w:rsidRDefault="00E10BE1" w:rsidP="00980F10">
            <w:pPr>
              <w:spacing w:before="120" w:after="120"/>
              <w:jc w:val="both"/>
              <w:rPr>
                <w:rFonts w:eastAsia="Times New Roman" w:cs="Arial"/>
                <w:color w:val="76923C" w:themeColor="accent3" w:themeShade="BF"/>
                <w:szCs w:val="20"/>
                <w:lang w:val="el-GR"/>
              </w:rPr>
            </w:pPr>
            <w:r w:rsidRPr="00E10BE1">
              <w:rPr>
                <w:rFonts w:eastAsia="Times New Roman" w:cs="Arial"/>
                <w:color w:val="76923C" w:themeColor="accent3" w:themeShade="BF"/>
                <w:szCs w:val="20"/>
                <w:lang w:val="el-GR"/>
              </w:rPr>
              <w:t xml:space="preserve">Για το </w:t>
            </w:r>
            <w:r w:rsidRPr="00E10BE1">
              <w:rPr>
                <w:rFonts w:eastAsia="Times New Roman" w:cs="Arial"/>
                <w:color w:val="76923C" w:themeColor="accent3" w:themeShade="BF"/>
                <w:szCs w:val="20"/>
              </w:rPr>
              <w:t>T</w:t>
            </w:r>
            <w:r w:rsidRPr="00E10BE1">
              <w:rPr>
                <w:rFonts w:eastAsia="Times New Roman" w:cs="Arial"/>
                <w:color w:val="76923C" w:themeColor="accent3" w:themeShade="BF"/>
                <w:szCs w:val="20"/>
                <w:lang w:val="el-GR"/>
              </w:rPr>
              <w:t xml:space="preserve">6.1, επειδή το </w:t>
            </w:r>
            <w:r w:rsidRPr="00E10BE1">
              <w:rPr>
                <w:rFonts w:eastAsia="Times New Roman" w:cs="Arial"/>
                <w:color w:val="76923C" w:themeColor="accent3" w:themeShade="BF"/>
                <w:szCs w:val="20"/>
              </w:rPr>
              <w:t>task</w:t>
            </w:r>
            <w:r w:rsidRPr="00E10BE1">
              <w:rPr>
                <w:rFonts w:eastAsia="Times New Roman" w:cs="Arial"/>
                <w:color w:val="76923C" w:themeColor="accent3" w:themeShade="BF"/>
                <w:szCs w:val="20"/>
                <w:lang w:val="el-GR"/>
              </w:rPr>
              <w:t xml:space="preserve"> αφορά την ανάπτυξη του 10-</w:t>
            </w:r>
            <w:r w:rsidRPr="00E10BE1">
              <w:rPr>
                <w:rFonts w:eastAsia="Times New Roman" w:cs="Arial"/>
                <w:color w:val="76923C" w:themeColor="accent3" w:themeShade="BF"/>
                <w:szCs w:val="20"/>
              </w:rPr>
              <w:t>year</w:t>
            </w:r>
            <w:r w:rsidRPr="00E10BE1">
              <w:rPr>
                <w:rFonts w:eastAsia="Times New Roman" w:cs="Arial"/>
                <w:color w:val="76923C" w:themeColor="accent3" w:themeShade="BF"/>
                <w:szCs w:val="20"/>
                <w:lang w:val="el-GR"/>
              </w:rPr>
              <w:t xml:space="preserve"> </w:t>
            </w:r>
            <w:r w:rsidRPr="00E10BE1">
              <w:rPr>
                <w:rFonts w:eastAsia="Times New Roman" w:cs="Arial"/>
                <w:color w:val="76923C" w:themeColor="accent3" w:themeShade="BF"/>
                <w:szCs w:val="20"/>
              </w:rPr>
              <w:t>Business</w:t>
            </w:r>
            <w:r w:rsidRPr="00E10BE1">
              <w:rPr>
                <w:rFonts w:eastAsia="Times New Roman" w:cs="Arial"/>
                <w:color w:val="76923C" w:themeColor="accent3" w:themeShade="BF"/>
                <w:szCs w:val="20"/>
                <w:lang w:val="el-GR"/>
              </w:rPr>
              <w:t xml:space="preserve"> </w:t>
            </w:r>
            <w:r w:rsidRPr="00E10BE1">
              <w:rPr>
                <w:rFonts w:eastAsia="Times New Roman" w:cs="Arial"/>
                <w:color w:val="76923C" w:themeColor="accent3" w:themeShade="BF"/>
                <w:szCs w:val="20"/>
              </w:rPr>
              <w:t>Plan</w:t>
            </w:r>
            <w:r w:rsidRPr="00E10BE1">
              <w:rPr>
                <w:rFonts w:eastAsia="Times New Roman" w:cs="Arial"/>
                <w:color w:val="76923C" w:themeColor="accent3" w:themeShade="BF"/>
                <w:szCs w:val="20"/>
                <w:lang w:val="el-GR"/>
              </w:rPr>
              <w:t xml:space="preserve"> και στο </w:t>
            </w:r>
            <w:r w:rsidRPr="00E10BE1">
              <w:rPr>
                <w:rFonts w:eastAsia="Times New Roman" w:cs="Arial"/>
                <w:color w:val="76923C" w:themeColor="accent3" w:themeShade="BF"/>
                <w:szCs w:val="20"/>
              </w:rPr>
              <w:t>Annex</w:t>
            </w:r>
            <w:r w:rsidRPr="00E10BE1">
              <w:rPr>
                <w:rFonts w:eastAsia="Times New Roman" w:cs="Arial"/>
                <w:color w:val="76923C" w:themeColor="accent3" w:themeShade="BF"/>
                <w:szCs w:val="20"/>
                <w:lang w:val="el-GR"/>
              </w:rPr>
              <w:t xml:space="preserve"> 1 προβλέπεται ουσιαστική εξέλιξή του από </w:t>
            </w:r>
            <w:r w:rsidRPr="00E10BE1">
              <w:rPr>
                <w:rFonts w:eastAsia="Times New Roman" w:cs="Arial"/>
                <w:color w:val="76923C" w:themeColor="accent3" w:themeShade="BF"/>
                <w:szCs w:val="20"/>
              </w:rPr>
              <w:t>M</w:t>
            </w:r>
            <w:r w:rsidRPr="00E10BE1">
              <w:rPr>
                <w:rFonts w:eastAsia="Times New Roman" w:cs="Arial"/>
                <w:color w:val="76923C" w:themeColor="accent3" w:themeShade="BF"/>
                <w:szCs w:val="20"/>
                <w:lang w:val="el-GR"/>
              </w:rPr>
              <w:t xml:space="preserve">24 έως </w:t>
            </w:r>
            <w:r w:rsidRPr="00E10BE1">
              <w:rPr>
                <w:rFonts w:eastAsia="Times New Roman" w:cs="Arial"/>
                <w:color w:val="76923C" w:themeColor="accent3" w:themeShade="BF"/>
                <w:szCs w:val="20"/>
              </w:rPr>
              <w:t>M</w:t>
            </w:r>
            <w:r w:rsidRPr="00E10BE1">
              <w:rPr>
                <w:rFonts w:eastAsia="Times New Roman" w:cs="Arial"/>
                <w:color w:val="76923C" w:themeColor="accent3" w:themeShade="BF"/>
                <w:szCs w:val="20"/>
                <w:lang w:val="el-GR"/>
              </w:rPr>
              <w:t xml:space="preserve">46, παρακαλώ να μας </w:t>
            </w:r>
            <w:r>
              <w:rPr>
                <w:rFonts w:eastAsia="Times New Roman" w:cs="Arial"/>
                <w:color w:val="76923C" w:themeColor="accent3" w:themeShade="BF"/>
                <w:szCs w:val="20"/>
                <w:lang w:val="el-GR"/>
              </w:rPr>
              <w:t>συμπληρώσετε</w:t>
            </w:r>
            <w:r w:rsidRPr="00E10BE1">
              <w:rPr>
                <w:rFonts w:eastAsia="Times New Roman" w:cs="Arial"/>
                <w:color w:val="76923C" w:themeColor="accent3" w:themeShade="BF"/>
                <w:szCs w:val="20"/>
                <w:lang w:val="el-GR"/>
              </w:rPr>
              <w:t xml:space="preserve"> σύντομο κείμενο για το τι έχει γίνει μέχρι στιγμής σε προπαρασκευαστικό επίπεδο, τι δεν έχει ακόμη προχωρήσει λόγω χρονοπρογραμματισμού, και ποια είναι τα επόμενα βήματα. Αν δεν έχει υπάρξει ακόμη ουσιαστική έναρξη του </w:t>
            </w:r>
            <w:r w:rsidRPr="00E10BE1">
              <w:rPr>
                <w:rFonts w:eastAsia="Times New Roman" w:cs="Arial"/>
                <w:color w:val="76923C" w:themeColor="accent3" w:themeShade="BF"/>
                <w:szCs w:val="20"/>
              </w:rPr>
              <w:t>task</w:t>
            </w:r>
            <w:r w:rsidRPr="00E10BE1">
              <w:rPr>
                <w:rFonts w:eastAsia="Times New Roman" w:cs="Arial"/>
                <w:color w:val="76923C" w:themeColor="accent3" w:themeShade="BF"/>
                <w:szCs w:val="20"/>
                <w:lang w:val="el-GR"/>
              </w:rPr>
              <w:t xml:space="preserve">, παρακαλώ να το σημειώσετε ρητά ώστε να αποτυπωθεί σωστά στο </w:t>
            </w:r>
            <w:r w:rsidRPr="00E10BE1">
              <w:rPr>
                <w:rFonts w:eastAsia="Times New Roman" w:cs="Arial"/>
                <w:color w:val="76923C" w:themeColor="accent3" w:themeShade="BF"/>
                <w:szCs w:val="20"/>
              </w:rPr>
              <w:t>report</w:t>
            </w:r>
            <w:r w:rsidRPr="00E10BE1">
              <w:rPr>
                <w:rFonts w:eastAsia="Times New Roman" w:cs="Arial"/>
                <w:color w:val="76923C" w:themeColor="accent3" w:themeShade="BF"/>
                <w:szCs w:val="20"/>
                <w:lang w:val="el-GR"/>
              </w:rPr>
              <w:t xml:space="preserve">. </w:t>
            </w:r>
          </w:p>
          <w:p w14:paraId="23F59BA9" w14:textId="1288A36E" w:rsidR="002656EF" w:rsidRPr="007D500E" w:rsidRDefault="002656EF" w:rsidP="00980F10">
            <w:pPr>
              <w:spacing w:before="120" w:after="120"/>
              <w:rPr>
                <w:rFonts w:eastAsia="Times New Roman" w:cs="Arial"/>
                <w:b/>
                <w:bCs/>
                <w:color w:val="C0504D" w:themeColor="accent2"/>
                <w:sz w:val="18"/>
                <w:szCs w:val="18"/>
              </w:rPr>
            </w:pPr>
            <w:r w:rsidRPr="007D500E">
              <w:rPr>
                <w:rFonts w:eastAsia="Times New Roman" w:cs="Arial"/>
                <w:b/>
                <w:bCs/>
                <w:color w:val="C0504D" w:themeColor="accent2"/>
                <w:sz w:val="18"/>
                <w:szCs w:val="18"/>
              </w:rPr>
              <w:t>T6.2 [</w:t>
            </w:r>
            <w:commentRangeStart w:id="60"/>
            <w:r w:rsidRPr="007D500E">
              <w:rPr>
                <w:rFonts w:eastAsia="Times New Roman" w:cs="Arial"/>
                <w:b/>
                <w:bCs/>
                <w:color w:val="C0504D" w:themeColor="accent2"/>
                <w:sz w:val="18"/>
                <w:szCs w:val="18"/>
              </w:rPr>
              <w:t>Replication of the OSS in Cyprus</w:t>
            </w:r>
            <w:commentRangeEnd w:id="60"/>
            <w:r w:rsidR="00FD6851" w:rsidRPr="007D500E">
              <w:rPr>
                <w:rStyle w:val="CommentReference"/>
                <w:rFonts w:eastAsia="Times New Roman" w:cs="Arial"/>
                <w:b/>
                <w:bCs/>
                <w:color w:val="C0504D" w:themeColor="accent2"/>
                <w:sz w:val="18"/>
                <w:szCs w:val="18"/>
              </w:rPr>
              <w:commentReference w:id="60"/>
            </w:r>
            <w:r w:rsidRPr="007D500E">
              <w:rPr>
                <w:rFonts w:eastAsia="Times New Roman" w:cs="Arial"/>
                <w:b/>
                <w:bCs/>
                <w:color w:val="C0504D" w:themeColor="accent2"/>
                <w:sz w:val="18"/>
                <w:szCs w:val="18"/>
              </w:rPr>
              <w:t>] [Partially implemented])</w:t>
            </w:r>
          </w:p>
          <w:p w14:paraId="51621989" w14:textId="5AE3CB8B" w:rsidR="00487004" w:rsidRPr="00487004" w:rsidRDefault="00487004" w:rsidP="00980F10">
            <w:pPr>
              <w:spacing w:before="120" w:after="120"/>
              <w:jc w:val="both"/>
              <w:rPr>
                <w:rFonts w:eastAsia="Times New Roman" w:cs="Arial"/>
                <w:szCs w:val="20"/>
              </w:rPr>
            </w:pPr>
            <w:r w:rsidRPr="00487004">
              <w:rPr>
                <w:rFonts w:eastAsia="Times New Roman" w:cs="Arial"/>
                <w:szCs w:val="20"/>
              </w:rPr>
              <w:t xml:space="preserve">During the reporting period, </w:t>
            </w:r>
            <w:r w:rsidR="00FD6851">
              <w:rPr>
                <w:rFonts w:eastAsia="Times New Roman" w:cs="Arial"/>
                <w:szCs w:val="20"/>
                <w:lang w:val="en-US"/>
              </w:rPr>
              <w:t xml:space="preserve">it </w:t>
            </w:r>
            <w:r w:rsidR="00FD6851" w:rsidRPr="00487004">
              <w:rPr>
                <w:rFonts w:eastAsia="Times New Roman" w:cs="Arial"/>
                <w:szCs w:val="20"/>
              </w:rPr>
              <w:t xml:space="preserve">was carried out </w:t>
            </w:r>
            <w:r w:rsidR="00FD6851">
              <w:rPr>
                <w:rFonts w:eastAsia="Times New Roman" w:cs="Arial"/>
                <w:szCs w:val="20"/>
              </w:rPr>
              <w:t xml:space="preserve"> </w:t>
            </w:r>
            <w:r w:rsidRPr="00487004">
              <w:rPr>
                <w:rFonts w:eastAsia="Times New Roman" w:cs="Arial"/>
                <w:szCs w:val="20"/>
              </w:rPr>
              <w:t xml:space="preserve">initial work to support the replication of the RenoInGR One-Stop-Shop model in Cyprus, in line with Annex 1. The task was led by Limassol, with the involvement and support of NTUA, EUDITI and CRES, as foreseen in the Description of the Action. The work during this first phase focused primarily on building an initial understanding of the Cypriot context and </w:t>
            </w:r>
            <w:r w:rsidR="00166EBB">
              <w:rPr>
                <w:rFonts w:eastAsia="Times New Roman" w:cs="Arial"/>
                <w:szCs w:val="20"/>
              </w:rPr>
              <w:t>to prepare</w:t>
            </w:r>
            <w:r w:rsidRPr="00487004">
              <w:rPr>
                <w:rFonts w:eastAsia="Times New Roman" w:cs="Arial"/>
                <w:szCs w:val="20"/>
              </w:rPr>
              <w:t xml:space="preserve"> the basis for a future replication pathway adapted to national conditions. This </w:t>
            </w:r>
            <w:r w:rsidRPr="00487004">
              <w:rPr>
                <w:rFonts w:eastAsia="Times New Roman" w:cs="Arial"/>
                <w:szCs w:val="20"/>
              </w:rPr>
              <w:lastRenderedPageBreak/>
              <w:t>approach is consistent with the structure of Task 6.2, which combines the identification of current conditions in Cyprus with the later preparation of a dedicated replication plan.</w:t>
            </w:r>
          </w:p>
          <w:p w14:paraId="61385A80" w14:textId="7FECE489" w:rsidR="00487004" w:rsidRPr="00487004" w:rsidRDefault="00166EBB" w:rsidP="00980F10">
            <w:pPr>
              <w:spacing w:before="120" w:after="120"/>
              <w:jc w:val="both"/>
              <w:rPr>
                <w:rFonts w:eastAsia="Times New Roman" w:cs="Arial"/>
                <w:szCs w:val="20"/>
              </w:rPr>
            </w:pPr>
            <w:r>
              <w:rPr>
                <w:rFonts w:eastAsia="Times New Roman" w:cs="Arial"/>
                <w:szCs w:val="20"/>
              </w:rPr>
              <w:t>For</w:t>
            </w:r>
            <w:r w:rsidR="00487004" w:rsidRPr="00487004">
              <w:rPr>
                <w:rFonts w:eastAsia="Times New Roman" w:cs="Arial"/>
                <w:szCs w:val="20"/>
              </w:rPr>
              <w:t xml:space="preserve"> T6.2.1, </w:t>
            </w:r>
            <w:r w:rsidRPr="00487004">
              <w:rPr>
                <w:rFonts w:eastAsia="Times New Roman" w:cs="Arial"/>
                <w:szCs w:val="20"/>
              </w:rPr>
              <w:t xml:space="preserve">Limassol </w:t>
            </w:r>
            <w:r>
              <w:rPr>
                <w:rFonts w:eastAsia="Times New Roman" w:cs="Arial"/>
                <w:szCs w:val="20"/>
              </w:rPr>
              <w:t xml:space="preserve">started to </w:t>
            </w:r>
            <w:r w:rsidR="00487004" w:rsidRPr="00487004">
              <w:rPr>
                <w:rFonts w:eastAsia="Times New Roman" w:cs="Arial"/>
                <w:szCs w:val="20"/>
              </w:rPr>
              <w:t>investigat</w:t>
            </w:r>
            <w:r>
              <w:rPr>
                <w:rFonts w:eastAsia="Times New Roman" w:cs="Arial"/>
                <w:szCs w:val="20"/>
              </w:rPr>
              <w:t>e</w:t>
            </w:r>
            <w:r w:rsidR="00487004" w:rsidRPr="00487004">
              <w:rPr>
                <w:rFonts w:eastAsia="Times New Roman" w:cs="Arial"/>
                <w:szCs w:val="20"/>
              </w:rPr>
              <w:t xml:space="preserve"> the Cypriot framework relevant to a possible future OSS model for public building renovation. According to the information provided by the partner, this work included initial stakeholder mapping, communication with competent authorities and relevant organisations, collection of information on the applicable legal and procedural framework, and a first review of available financing and support mechanisms relevant to public building renovation and Energy Performance Contracting. In parallel</w:t>
            </w:r>
            <w:r w:rsidRPr="00487004">
              <w:rPr>
                <w:rFonts w:eastAsia="Times New Roman" w:cs="Arial"/>
                <w:szCs w:val="20"/>
              </w:rPr>
              <w:t xml:space="preserve"> was initiated</w:t>
            </w:r>
            <w:r w:rsidR="00487004" w:rsidRPr="00487004">
              <w:rPr>
                <w:rFonts w:eastAsia="Times New Roman" w:cs="Arial"/>
                <w:szCs w:val="20"/>
              </w:rPr>
              <w:t xml:space="preserve"> a first investigation of the municipal building stock of Limassol, with the aim of establishing an initial factual basis for understanding local needs and conditions. This early work is considered important for identifying the main institutional, technical and market parameters that would need to be taken into account in any future adaptation of the model to Cyprus.</w:t>
            </w:r>
          </w:p>
          <w:p w14:paraId="4F6C0CF2" w14:textId="0C001C87" w:rsidR="00487004" w:rsidRPr="00487004" w:rsidRDefault="00487004" w:rsidP="00980F10">
            <w:pPr>
              <w:spacing w:before="120" w:after="120"/>
              <w:jc w:val="both"/>
              <w:rPr>
                <w:rFonts w:eastAsia="Times New Roman" w:cs="Arial"/>
                <w:szCs w:val="20"/>
              </w:rPr>
            </w:pPr>
            <w:r w:rsidRPr="00487004">
              <w:rPr>
                <w:rFonts w:eastAsia="Times New Roman" w:cs="Arial"/>
                <w:szCs w:val="20"/>
              </w:rPr>
              <w:t>At the same time, the work</w:t>
            </w:r>
            <w:r w:rsidR="00166EBB">
              <w:rPr>
                <w:rFonts w:eastAsia="Times New Roman" w:cs="Arial"/>
                <w:szCs w:val="20"/>
              </w:rPr>
              <w:t xml:space="preserve"> which was</w:t>
            </w:r>
            <w:r w:rsidRPr="00487004">
              <w:rPr>
                <w:rFonts w:eastAsia="Times New Roman" w:cs="Arial"/>
                <w:szCs w:val="20"/>
              </w:rPr>
              <w:t xml:space="preserve"> carried out during the reporting period confirmed that replication in Cyprus will require adaptation to country-specific conditions rather than direct transfer of the Greek model. This is in line with Annex 1, which foresees that the operation and services of the Cypriot OSS will be adjusted to the country’s needs and context, while potentially being hosted by the Municipality of Limassol </w:t>
            </w:r>
            <w:r w:rsidR="00166EBB">
              <w:rPr>
                <w:rFonts w:eastAsia="Times New Roman" w:cs="Arial"/>
                <w:szCs w:val="20"/>
              </w:rPr>
              <w:t>with</w:t>
            </w:r>
            <w:r w:rsidRPr="00487004">
              <w:rPr>
                <w:rFonts w:eastAsia="Times New Roman" w:cs="Arial"/>
                <w:szCs w:val="20"/>
              </w:rPr>
              <w:t xml:space="preserve"> a wider national scope. The work completed so far therefore contributed to the preparatory phase of replication by clarifying the need for context-sensitive design and by initiating the evidence-gathering process necessary for later planning.</w:t>
            </w:r>
          </w:p>
          <w:p w14:paraId="5BC429FD" w14:textId="0EC93630" w:rsidR="00487004" w:rsidRPr="00487004" w:rsidRDefault="00487004" w:rsidP="00980F10">
            <w:pPr>
              <w:spacing w:before="120" w:after="120"/>
              <w:jc w:val="both"/>
              <w:rPr>
                <w:rFonts w:eastAsia="Times New Roman" w:cs="Arial"/>
                <w:szCs w:val="20"/>
              </w:rPr>
            </w:pPr>
            <w:r w:rsidRPr="00487004">
              <w:rPr>
                <w:rFonts w:eastAsia="Times New Roman" w:cs="Arial"/>
                <w:szCs w:val="20"/>
              </w:rPr>
              <w:t>With regard to T6.2.2</w:t>
            </w:r>
            <w:r w:rsidR="00166EBB">
              <w:rPr>
                <w:rFonts w:eastAsia="Times New Roman" w:cs="Arial"/>
                <w:szCs w:val="20"/>
              </w:rPr>
              <w:t xml:space="preserve"> which is</w:t>
            </w:r>
            <w:r w:rsidRPr="00487004">
              <w:rPr>
                <w:rFonts w:eastAsia="Times New Roman" w:cs="Arial"/>
                <w:szCs w:val="20"/>
              </w:rPr>
              <w:t xml:space="preserve"> the full Replication Plan in Cyprus</w:t>
            </w:r>
            <w:r w:rsidR="00166EBB">
              <w:rPr>
                <w:rFonts w:eastAsia="Times New Roman" w:cs="Arial"/>
                <w:szCs w:val="20"/>
              </w:rPr>
              <w:t>,</w:t>
            </w:r>
            <w:r w:rsidRPr="00487004">
              <w:rPr>
                <w:rFonts w:eastAsia="Times New Roman" w:cs="Arial"/>
                <w:szCs w:val="20"/>
              </w:rPr>
              <w:t xml:space="preserve"> had not yet been developed during the present reporting period. This is consistent with the overall timing of WP6 and with the fact that the corresponding deliverable, D6.3, is scheduled for a later stage of the project. In addition, Annex 1 indicates that the replication plan should build not only on the country analysis, but also on insights</w:t>
            </w:r>
            <w:r w:rsidR="00166EBB">
              <w:rPr>
                <w:rFonts w:eastAsia="Times New Roman" w:cs="Arial"/>
                <w:szCs w:val="20"/>
              </w:rPr>
              <w:t xml:space="preserve"> that will be</w:t>
            </w:r>
            <w:r w:rsidRPr="00487004">
              <w:rPr>
                <w:rFonts w:eastAsia="Times New Roman" w:cs="Arial"/>
                <w:szCs w:val="20"/>
              </w:rPr>
              <w:t xml:space="preserve"> gained from the development and pilot operation of RenoInGR under WP2, WP3 and WP4. At month 18, these inputs are still maturing and therefore the task has progressed only partially. The consequence is that the Cyprus replication work has advanced mainly at the level of preparatory investigation, while the more detailed planning elements</w:t>
            </w:r>
            <w:r w:rsidR="00166EBB">
              <w:rPr>
                <w:rFonts w:eastAsia="Times New Roman" w:cs="Arial"/>
                <w:szCs w:val="20"/>
              </w:rPr>
              <w:t>,</w:t>
            </w:r>
            <w:r w:rsidRPr="00487004">
              <w:rPr>
                <w:rFonts w:eastAsia="Times New Roman" w:cs="Arial"/>
                <w:szCs w:val="20"/>
              </w:rPr>
              <w:t xml:space="preserve"> including the market potential, services to be offered, client engagement, governance, quality assurance and business planning aspects</w:t>
            </w:r>
            <w:r w:rsidR="00166EBB">
              <w:rPr>
                <w:rFonts w:eastAsia="Times New Roman" w:cs="Arial"/>
                <w:szCs w:val="20"/>
              </w:rPr>
              <w:t>,</w:t>
            </w:r>
            <w:r w:rsidRPr="00487004">
              <w:rPr>
                <w:rFonts w:eastAsia="Times New Roman" w:cs="Arial"/>
                <w:szCs w:val="20"/>
              </w:rPr>
              <w:t xml:space="preserve"> remain to be elaborated in subsequent phases of implementation.</w:t>
            </w:r>
          </w:p>
          <w:p w14:paraId="6E236523" w14:textId="53A46243" w:rsidR="00487004" w:rsidRPr="00487004" w:rsidRDefault="00487004" w:rsidP="00980F10">
            <w:pPr>
              <w:spacing w:before="120" w:after="120"/>
              <w:jc w:val="both"/>
              <w:rPr>
                <w:rFonts w:eastAsia="Times New Roman" w:cs="Arial"/>
                <w:szCs w:val="20"/>
              </w:rPr>
            </w:pPr>
            <w:r w:rsidRPr="00487004">
              <w:rPr>
                <w:rFonts w:eastAsia="Times New Roman" w:cs="Arial"/>
                <w:szCs w:val="20"/>
              </w:rPr>
              <w:t>The task will continue in the next reporting period through the further examination of current conditions in Cyprus, the use of the RenoInGR co-creation methodology where applicable, and the progressive development of the dedicated replication plan foreseen in Annex 1. The project will build on the preliminary work already undertaken by Limassol and on the knowledge gained from the development and pilot implementation of the OSS in Greece. No major deviation from the overall objective of the task is identified at this stage</w:t>
            </w:r>
            <w:r w:rsidR="00166EBB">
              <w:rPr>
                <w:rFonts w:eastAsia="Times New Roman" w:cs="Arial"/>
                <w:szCs w:val="20"/>
              </w:rPr>
              <w:t>.</w:t>
            </w:r>
            <w:r w:rsidRPr="00487004">
              <w:rPr>
                <w:rFonts w:eastAsia="Times New Roman" w:cs="Arial"/>
                <w:szCs w:val="20"/>
              </w:rPr>
              <w:t xml:space="preserve"> </w:t>
            </w:r>
            <w:r w:rsidR="00166EBB">
              <w:rPr>
                <w:rFonts w:eastAsia="Times New Roman" w:cs="Arial"/>
                <w:szCs w:val="20"/>
              </w:rPr>
              <w:t>H</w:t>
            </w:r>
            <w:r w:rsidRPr="00487004">
              <w:rPr>
                <w:rFonts w:eastAsia="Times New Roman" w:cs="Arial"/>
                <w:szCs w:val="20"/>
              </w:rPr>
              <w:t>owever, the task is still in a preparatory phase and will require continued coordination among the involved partners in order to reach the planned outputs within the project timeframe.</w:t>
            </w:r>
          </w:p>
          <w:p w14:paraId="5435FA82" w14:textId="7FC971E5" w:rsidR="002656EF" w:rsidRPr="007D500E" w:rsidRDefault="002656EF" w:rsidP="00980F10">
            <w:pPr>
              <w:spacing w:before="120" w:after="120"/>
              <w:rPr>
                <w:rFonts w:eastAsia="Times New Roman" w:cs="Arial"/>
                <w:b/>
                <w:bCs/>
                <w:color w:val="C0504D" w:themeColor="accent2"/>
                <w:sz w:val="18"/>
                <w:szCs w:val="18"/>
              </w:rPr>
            </w:pPr>
            <w:r w:rsidRPr="007D500E">
              <w:rPr>
                <w:rFonts w:eastAsia="Times New Roman" w:cs="Arial"/>
                <w:b/>
                <w:bCs/>
                <w:color w:val="C0504D" w:themeColor="accent2"/>
                <w:sz w:val="18"/>
                <w:szCs w:val="18"/>
              </w:rPr>
              <w:t>T</w:t>
            </w:r>
            <w:r w:rsidR="00E22AA5" w:rsidRPr="007D500E">
              <w:rPr>
                <w:rFonts w:eastAsia="Times New Roman" w:cs="Arial"/>
                <w:b/>
                <w:bCs/>
                <w:color w:val="C0504D" w:themeColor="accent2"/>
                <w:sz w:val="18"/>
                <w:szCs w:val="18"/>
              </w:rPr>
              <w:t>6</w:t>
            </w:r>
            <w:r w:rsidRPr="007D500E">
              <w:rPr>
                <w:rFonts w:eastAsia="Times New Roman" w:cs="Arial"/>
                <w:b/>
                <w:bCs/>
                <w:color w:val="C0504D" w:themeColor="accent2"/>
                <w:sz w:val="18"/>
                <w:szCs w:val="18"/>
              </w:rPr>
              <w:t>.3 [</w:t>
            </w:r>
            <w:r w:rsidR="00E22AA5" w:rsidRPr="007D500E">
              <w:rPr>
                <w:rFonts w:eastAsia="Times New Roman" w:cs="Arial"/>
                <w:b/>
                <w:bCs/>
                <w:color w:val="C0504D" w:themeColor="accent2"/>
                <w:sz w:val="18"/>
                <w:szCs w:val="18"/>
              </w:rPr>
              <w:t>Other replication activities</w:t>
            </w:r>
            <w:r w:rsidRPr="007D500E">
              <w:rPr>
                <w:rFonts w:eastAsia="Times New Roman" w:cs="Arial"/>
                <w:b/>
                <w:bCs/>
                <w:color w:val="C0504D" w:themeColor="accent2"/>
                <w:sz w:val="18"/>
                <w:szCs w:val="18"/>
              </w:rPr>
              <w:t>] ([Implemented] [Not implemented] [Partially implemented])</w:t>
            </w:r>
          </w:p>
          <w:p w14:paraId="09A844C9" w14:textId="5EE3592D" w:rsidR="00E10BE1" w:rsidRPr="00E10BE1" w:rsidRDefault="00E10BE1" w:rsidP="00980F10">
            <w:pPr>
              <w:spacing w:before="120" w:after="120"/>
              <w:rPr>
                <w:b/>
                <w:bCs/>
                <w:color w:val="76923C" w:themeColor="accent3" w:themeShade="BF"/>
                <w:lang w:val="el-GR"/>
              </w:rPr>
            </w:pPr>
            <w:r w:rsidRPr="00E10BE1">
              <w:rPr>
                <w:b/>
                <w:bCs/>
                <w:color w:val="76923C" w:themeColor="accent3" w:themeShade="BF"/>
                <w:lang w:val="el-GR"/>
              </w:rPr>
              <w:t>ΕΥΔΙΤΗ</w:t>
            </w:r>
          </w:p>
          <w:p w14:paraId="2EC73B27" w14:textId="2C350908" w:rsidR="00E10BE1" w:rsidRPr="00E10BE1" w:rsidRDefault="00E10BE1" w:rsidP="00980F10">
            <w:pPr>
              <w:spacing w:before="120" w:after="120"/>
              <w:rPr>
                <w:color w:val="76923C" w:themeColor="accent3" w:themeShade="BF"/>
                <w:lang w:val="el-GR"/>
              </w:rPr>
            </w:pPr>
            <w:r w:rsidRPr="00E10BE1">
              <w:rPr>
                <w:color w:val="76923C" w:themeColor="accent3" w:themeShade="BF"/>
                <w:lang w:val="el-GR"/>
              </w:rPr>
              <w:t xml:space="preserve">Για το </w:t>
            </w:r>
            <w:r w:rsidRPr="00E10BE1">
              <w:rPr>
                <w:color w:val="76923C" w:themeColor="accent3" w:themeShade="BF"/>
              </w:rPr>
              <w:t>T</w:t>
            </w:r>
            <w:r w:rsidRPr="00E10BE1">
              <w:rPr>
                <w:color w:val="76923C" w:themeColor="accent3" w:themeShade="BF"/>
                <w:lang w:val="el-GR"/>
              </w:rPr>
              <w:t>6.3 [</w:t>
            </w:r>
            <w:r w:rsidRPr="00E10BE1">
              <w:rPr>
                <w:color w:val="76923C" w:themeColor="accent3" w:themeShade="BF"/>
              </w:rPr>
              <w:t>Other</w:t>
            </w:r>
            <w:r w:rsidRPr="00E10BE1">
              <w:rPr>
                <w:color w:val="76923C" w:themeColor="accent3" w:themeShade="BF"/>
                <w:lang w:val="el-GR"/>
              </w:rPr>
              <w:t xml:space="preserve"> </w:t>
            </w:r>
            <w:r w:rsidRPr="00E10BE1">
              <w:rPr>
                <w:color w:val="76923C" w:themeColor="accent3" w:themeShade="BF"/>
              </w:rPr>
              <w:t>replication</w:t>
            </w:r>
            <w:r w:rsidRPr="00E10BE1">
              <w:rPr>
                <w:color w:val="76923C" w:themeColor="accent3" w:themeShade="BF"/>
                <w:lang w:val="el-GR"/>
              </w:rPr>
              <w:t xml:space="preserve"> </w:t>
            </w:r>
            <w:r w:rsidRPr="00E10BE1">
              <w:rPr>
                <w:color w:val="76923C" w:themeColor="accent3" w:themeShade="BF"/>
              </w:rPr>
              <w:t>activities</w:t>
            </w:r>
            <w:r w:rsidRPr="00E10BE1">
              <w:rPr>
                <w:color w:val="76923C" w:themeColor="accent3" w:themeShade="BF"/>
                <w:lang w:val="el-GR"/>
              </w:rPr>
              <w:t xml:space="preserve">], επειδή σύμφωνα με το </w:t>
            </w:r>
            <w:r w:rsidRPr="00E10BE1">
              <w:rPr>
                <w:color w:val="76923C" w:themeColor="accent3" w:themeShade="BF"/>
              </w:rPr>
              <w:t>Annex</w:t>
            </w:r>
            <w:r w:rsidRPr="00E10BE1">
              <w:rPr>
                <w:color w:val="76923C" w:themeColor="accent3" w:themeShade="BF"/>
                <w:lang w:val="el-GR"/>
              </w:rPr>
              <w:t xml:space="preserve"> 1 το </w:t>
            </w:r>
            <w:r w:rsidRPr="00E10BE1">
              <w:rPr>
                <w:color w:val="76923C" w:themeColor="accent3" w:themeShade="BF"/>
              </w:rPr>
              <w:t>task</w:t>
            </w:r>
            <w:r w:rsidRPr="00E10BE1">
              <w:rPr>
                <w:color w:val="76923C" w:themeColor="accent3" w:themeShade="BF"/>
                <w:lang w:val="el-GR"/>
              </w:rPr>
              <w:t xml:space="preserve"> αναπτύσσεται από </w:t>
            </w:r>
            <w:r w:rsidRPr="00E10BE1">
              <w:rPr>
                <w:color w:val="76923C" w:themeColor="accent3" w:themeShade="BF"/>
              </w:rPr>
              <w:t>M</w:t>
            </w:r>
            <w:r w:rsidRPr="00E10BE1">
              <w:rPr>
                <w:color w:val="76923C" w:themeColor="accent3" w:themeShade="BF"/>
                <w:lang w:val="el-GR"/>
              </w:rPr>
              <w:t xml:space="preserve">20 έως </w:t>
            </w:r>
            <w:r w:rsidRPr="00E10BE1">
              <w:rPr>
                <w:color w:val="76923C" w:themeColor="accent3" w:themeShade="BF"/>
              </w:rPr>
              <w:t>M</w:t>
            </w:r>
            <w:r w:rsidRPr="00E10BE1">
              <w:rPr>
                <w:color w:val="76923C" w:themeColor="accent3" w:themeShade="BF"/>
                <w:lang w:val="el-GR"/>
              </w:rPr>
              <w:t xml:space="preserve">48, παρακαλούμε να δηλωθεί με ακρίβεια αν μέχρι το τέλος της πρώτης </w:t>
            </w:r>
            <w:r w:rsidRPr="00E10BE1">
              <w:rPr>
                <w:color w:val="76923C" w:themeColor="accent3" w:themeShade="BF"/>
              </w:rPr>
              <w:t>reporting</w:t>
            </w:r>
            <w:r w:rsidRPr="00E10BE1">
              <w:rPr>
                <w:color w:val="76923C" w:themeColor="accent3" w:themeShade="BF"/>
                <w:lang w:val="el-GR"/>
              </w:rPr>
              <w:t xml:space="preserve"> </w:t>
            </w:r>
            <w:r w:rsidRPr="00E10BE1">
              <w:rPr>
                <w:color w:val="76923C" w:themeColor="accent3" w:themeShade="BF"/>
              </w:rPr>
              <w:t>period</w:t>
            </w:r>
            <w:r w:rsidRPr="00E10BE1">
              <w:rPr>
                <w:color w:val="76923C" w:themeColor="accent3" w:themeShade="BF"/>
                <w:lang w:val="el-GR"/>
              </w:rPr>
              <w:t xml:space="preserve"> (</w:t>
            </w:r>
            <w:r w:rsidRPr="00E10BE1">
              <w:rPr>
                <w:color w:val="76923C" w:themeColor="accent3" w:themeShade="BF"/>
              </w:rPr>
              <w:t>M</w:t>
            </w:r>
            <w:r w:rsidRPr="00E10BE1">
              <w:rPr>
                <w:color w:val="76923C" w:themeColor="accent3" w:themeShade="BF"/>
                <w:lang w:val="el-GR"/>
              </w:rPr>
              <w:t>18) έχει υπάρξει κάποια ουσιαστική προπαρασκευαστική ενέργεια ή όχι. Αν δεν έχει ξεκινήσει ακόμη, παρακαλούμε να επιλεγεί “</w:t>
            </w:r>
            <w:r w:rsidRPr="00E10BE1">
              <w:rPr>
                <w:color w:val="76923C" w:themeColor="accent3" w:themeShade="BF"/>
              </w:rPr>
              <w:t>Not</w:t>
            </w:r>
            <w:r w:rsidRPr="00E10BE1">
              <w:rPr>
                <w:color w:val="76923C" w:themeColor="accent3" w:themeShade="BF"/>
                <w:lang w:val="el-GR"/>
              </w:rPr>
              <w:t xml:space="preserve"> </w:t>
            </w:r>
            <w:r w:rsidRPr="00E10BE1">
              <w:rPr>
                <w:color w:val="76923C" w:themeColor="accent3" w:themeShade="BF"/>
              </w:rPr>
              <w:t>implemented</w:t>
            </w:r>
            <w:r w:rsidRPr="00E10BE1">
              <w:rPr>
                <w:color w:val="76923C" w:themeColor="accent3" w:themeShade="BF"/>
                <w:lang w:val="el-GR"/>
              </w:rPr>
              <w:t xml:space="preserve">” και να δοθεί πολύ σύντομη αιτιολόγηση ότι αυτό είναι συμβατό με το προβλεπόμενο χρονοδιάγραμμα του έργου. Αν έχει υπάρξει κάποια </w:t>
            </w:r>
            <w:r w:rsidRPr="00E10BE1">
              <w:rPr>
                <w:color w:val="76923C" w:themeColor="accent3" w:themeShade="BF"/>
                <w:lang w:val="el-GR"/>
              </w:rPr>
              <w:lastRenderedPageBreak/>
              <w:t>πρώιμη διερευνητική προεργασία, παρακαλούμε να περιγραφεί σύντομα και να επιλεγεί “</w:t>
            </w:r>
            <w:r w:rsidRPr="00E10BE1">
              <w:rPr>
                <w:color w:val="76923C" w:themeColor="accent3" w:themeShade="BF"/>
              </w:rPr>
              <w:t>Partially</w:t>
            </w:r>
            <w:r w:rsidRPr="00E10BE1">
              <w:rPr>
                <w:color w:val="76923C" w:themeColor="accent3" w:themeShade="BF"/>
                <w:lang w:val="el-GR"/>
              </w:rPr>
              <w:t xml:space="preserve"> </w:t>
            </w:r>
            <w:r w:rsidRPr="00E10BE1">
              <w:rPr>
                <w:color w:val="76923C" w:themeColor="accent3" w:themeShade="BF"/>
              </w:rPr>
              <w:t>implemented</w:t>
            </w:r>
            <w:r w:rsidRPr="00E10BE1">
              <w:rPr>
                <w:color w:val="76923C" w:themeColor="accent3" w:themeShade="BF"/>
                <w:lang w:val="el-GR"/>
              </w:rPr>
              <w:t>”.</w:t>
            </w:r>
          </w:p>
          <w:p w14:paraId="3BADAB71" w14:textId="7CCBBAB9" w:rsidR="00E22AA5" w:rsidRPr="00E10BE1" w:rsidRDefault="00E22AA5" w:rsidP="00980F10">
            <w:pPr>
              <w:spacing w:before="120" w:after="120"/>
              <w:rPr>
                <w:rFonts w:eastAsia="Times New Roman" w:cs="Arial"/>
                <w:b/>
                <w:bCs/>
                <w:color w:val="C0504D" w:themeColor="accent2"/>
                <w:sz w:val="18"/>
                <w:szCs w:val="18"/>
                <w:lang w:val="en-US"/>
              </w:rPr>
            </w:pPr>
            <w:r w:rsidRPr="007D500E">
              <w:rPr>
                <w:rFonts w:eastAsia="Times New Roman" w:cs="Arial"/>
                <w:b/>
                <w:bCs/>
                <w:color w:val="C0504D" w:themeColor="accent2"/>
                <w:sz w:val="18"/>
                <w:szCs w:val="18"/>
              </w:rPr>
              <w:t>T</w:t>
            </w:r>
            <w:r w:rsidRPr="00E10BE1">
              <w:rPr>
                <w:rFonts w:eastAsia="Times New Roman" w:cs="Arial"/>
                <w:b/>
                <w:bCs/>
                <w:color w:val="C0504D" w:themeColor="accent2"/>
                <w:sz w:val="18"/>
                <w:szCs w:val="18"/>
                <w:lang w:val="en-US"/>
              </w:rPr>
              <w:t>6.4 [</w:t>
            </w:r>
            <w:r w:rsidRPr="007D500E">
              <w:rPr>
                <w:rFonts w:eastAsia="Times New Roman" w:cs="Arial"/>
                <w:b/>
                <w:bCs/>
                <w:color w:val="C0504D" w:themeColor="accent2"/>
                <w:sz w:val="18"/>
                <w:szCs w:val="18"/>
              </w:rPr>
              <w:t>Exploitation</w:t>
            </w:r>
            <w:r w:rsidRPr="00E10BE1">
              <w:rPr>
                <w:rFonts w:eastAsia="Times New Roman" w:cs="Arial"/>
                <w:b/>
                <w:bCs/>
                <w:color w:val="C0504D" w:themeColor="accent2"/>
                <w:sz w:val="18"/>
                <w:szCs w:val="18"/>
                <w:lang w:val="en-US"/>
              </w:rPr>
              <w:t xml:space="preserve"> </w:t>
            </w:r>
            <w:r w:rsidRPr="007D500E">
              <w:rPr>
                <w:rFonts w:eastAsia="Times New Roman" w:cs="Arial"/>
                <w:b/>
                <w:bCs/>
                <w:color w:val="C0504D" w:themeColor="accent2"/>
                <w:sz w:val="18"/>
                <w:szCs w:val="18"/>
              </w:rPr>
              <w:t>plan</w:t>
            </w:r>
            <w:r w:rsidRPr="00E10BE1">
              <w:rPr>
                <w:rFonts w:eastAsia="Times New Roman" w:cs="Arial"/>
                <w:b/>
                <w:bCs/>
                <w:color w:val="C0504D" w:themeColor="accent2"/>
                <w:sz w:val="18"/>
                <w:szCs w:val="18"/>
                <w:lang w:val="en-US"/>
              </w:rPr>
              <w:t>] ([</w:t>
            </w:r>
            <w:r w:rsidRPr="007D500E">
              <w:rPr>
                <w:rFonts w:eastAsia="Times New Roman" w:cs="Arial"/>
                <w:b/>
                <w:bCs/>
                <w:color w:val="C0504D" w:themeColor="accent2"/>
                <w:sz w:val="18"/>
                <w:szCs w:val="18"/>
              </w:rPr>
              <w:t>Not</w:t>
            </w:r>
            <w:r w:rsidRPr="00E10BE1">
              <w:rPr>
                <w:rFonts w:eastAsia="Times New Roman" w:cs="Arial"/>
                <w:b/>
                <w:bCs/>
                <w:color w:val="C0504D" w:themeColor="accent2"/>
                <w:sz w:val="18"/>
                <w:szCs w:val="18"/>
                <w:lang w:val="en-US"/>
              </w:rPr>
              <w:t xml:space="preserve"> </w:t>
            </w:r>
            <w:r w:rsidRPr="007D500E">
              <w:rPr>
                <w:rFonts w:eastAsia="Times New Roman" w:cs="Arial"/>
                <w:b/>
                <w:bCs/>
                <w:color w:val="C0504D" w:themeColor="accent2"/>
                <w:sz w:val="18"/>
                <w:szCs w:val="18"/>
              </w:rPr>
              <w:t>implemented</w:t>
            </w:r>
            <w:r w:rsidRPr="00E10BE1">
              <w:rPr>
                <w:rFonts w:eastAsia="Times New Roman" w:cs="Arial"/>
                <w:b/>
                <w:bCs/>
                <w:color w:val="C0504D" w:themeColor="accent2"/>
                <w:sz w:val="18"/>
                <w:szCs w:val="18"/>
                <w:lang w:val="en-US"/>
              </w:rPr>
              <w:t>])</w:t>
            </w:r>
          </w:p>
          <w:p w14:paraId="6A220E7B" w14:textId="07284366" w:rsidR="00E10BE1" w:rsidRPr="00E10BE1" w:rsidRDefault="00E10BE1" w:rsidP="00980F10">
            <w:pPr>
              <w:spacing w:before="120" w:after="120"/>
              <w:jc w:val="both"/>
              <w:rPr>
                <w:b/>
                <w:bCs/>
                <w:color w:val="76923C" w:themeColor="accent3" w:themeShade="BF"/>
                <w:lang w:val="el-GR"/>
              </w:rPr>
            </w:pPr>
            <w:r w:rsidRPr="00E10BE1">
              <w:rPr>
                <w:b/>
                <w:bCs/>
                <w:color w:val="76923C" w:themeColor="accent3" w:themeShade="BF"/>
                <w:lang w:val="el-GR"/>
              </w:rPr>
              <w:t>ΚΑΠΕ</w:t>
            </w:r>
          </w:p>
          <w:p w14:paraId="7BE5D873" w14:textId="1AE54F5B" w:rsidR="00E22AA5" w:rsidRPr="00E10BE1" w:rsidRDefault="00E10BE1" w:rsidP="00980F10">
            <w:pPr>
              <w:spacing w:before="120" w:after="120"/>
              <w:jc w:val="both"/>
              <w:rPr>
                <w:rFonts w:eastAsia="Times New Roman" w:cs="Arial"/>
                <w:color w:val="76923C" w:themeColor="accent3" w:themeShade="BF"/>
                <w:sz w:val="18"/>
                <w:szCs w:val="18"/>
                <w:lang w:val="el-GR"/>
              </w:rPr>
            </w:pPr>
            <w:r w:rsidRPr="00E10BE1">
              <w:rPr>
                <w:color w:val="76923C" w:themeColor="accent3" w:themeShade="BF"/>
                <w:lang w:val="el-GR"/>
              </w:rPr>
              <w:t xml:space="preserve">Για το </w:t>
            </w:r>
            <w:r w:rsidRPr="00E10BE1">
              <w:rPr>
                <w:color w:val="76923C" w:themeColor="accent3" w:themeShade="BF"/>
              </w:rPr>
              <w:t>T</w:t>
            </w:r>
            <w:r w:rsidRPr="00E10BE1">
              <w:rPr>
                <w:color w:val="76923C" w:themeColor="accent3" w:themeShade="BF"/>
                <w:lang w:val="el-GR"/>
              </w:rPr>
              <w:t>6.4 [</w:t>
            </w:r>
            <w:r w:rsidRPr="00E10BE1">
              <w:rPr>
                <w:color w:val="76923C" w:themeColor="accent3" w:themeShade="BF"/>
              </w:rPr>
              <w:t>Exploitation</w:t>
            </w:r>
            <w:r w:rsidRPr="00E10BE1">
              <w:rPr>
                <w:color w:val="76923C" w:themeColor="accent3" w:themeShade="BF"/>
                <w:lang w:val="el-GR"/>
              </w:rPr>
              <w:t xml:space="preserve"> </w:t>
            </w:r>
            <w:r w:rsidRPr="00E10BE1">
              <w:rPr>
                <w:color w:val="76923C" w:themeColor="accent3" w:themeShade="BF"/>
              </w:rPr>
              <w:t>plan</w:t>
            </w:r>
            <w:r w:rsidRPr="00E10BE1">
              <w:rPr>
                <w:color w:val="76923C" w:themeColor="accent3" w:themeShade="BF"/>
                <w:lang w:val="el-GR"/>
              </w:rPr>
              <w:t xml:space="preserve">], επειδή σύμφωνα με το </w:t>
            </w:r>
            <w:r w:rsidRPr="00E10BE1">
              <w:rPr>
                <w:color w:val="76923C" w:themeColor="accent3" w:themeShade="BF"/>
              </w:rPr>
              <w:t>Annex</w:t>
            </w:r>
            <w:r w:rsidRPr="00E10BE1">
              <w:rPr>
                <w:color w:val="76923C" w:themeColor="accent3" w:themeShade="BF"/>
                <w:lang w:val="el-GR"/>
              </w:rPr>
              <w:t xml:space="preserve"> 1 το </w:t>
            </w:r>
            <w:r w:rsidRPr="00E10BE1">
              <w:rPr>
                <w:color w:val="76923C" w:themeColor="accent3" w:themeShade="BF"/>
              </w:rPr>
              <w:t>task</w:t>
            </w:r>
            <w:r w:rsidRPr="00E10BE1">
              <w:rPr>
                <w:color w:val="76923C" w:themeColor="accent3" w:themeShade="BF"/>
                <w:lang w:val="el-GR"/>
              </w:rPr>
              <w:t xml:space="preserve"> προβλέπεται να αναπτυχθεί από </w:t>
            </w:r>
            <w:r w:rsidRPr="00E10BE1">
              <w:rPr>
                <w:color w:val="76923C" w:themeColor="accent3" w:themeShade="BF"/>
              </w:rPr>
              <w:t>M</w:t>
            </w:r>
            <w:r w:rsidRPr="00E10BE1">
              <w:rPr>
                <w:color w:val="76923C" w:themeColor="accent3" w:themeShade="BF"/>
                <w:lang w:val="el-GR"/>
              </w:rPr>
              <w:t xml:space="preserve">36 έως </w:t>
            </w:r>
            <w:r w:rsidRPr="00E10BE1">
              <w:rPr>
                <w:color w:val="76923C" w:themeColor="accent3" w:themeShade="BF"/>
              </w:rPr>
              <w:t>M</w:t>
            </w:r>
            <w:r w:rsidRPr="00E10BE1">
              <w:rPr>
                <w:color w:val="76923C" w:themeColor="accent3" w:themeShade="BF"/>
                <w:lang w:val="el-GR"/>
              </w:rPr>
              <w:t xml:space="preserve">48, παρακαλούμε να αποτυπωθεί με σαφήνεια αν μέχρι το </w:t>
            </w:r>
            <w:r w:rsidRPr="00E10BE1">
              <w:rPr>
                <w:color w:val="76923C" w:themeColor="accent3" w:themeShade="BF"/>
              </w:rPr>
              <w:t>M</w:t>
            </w:r>
            <w:r w:rsidRPr="00E10BE1">
              <w:rPr>
                <w:color w:val="76923C" w:themeColor="accent3" w:themeShade="BF"/>
                <w:lang w:val="el-GR"/>
              </w:rPr>
              <w:t>18 δεν έχει ακόμη ξεκινήσει, λόγω χρονοπρογραμματισμού. Σε αυτή την περίπτωση, προτείνεται η επιλογή “</w:t>
            </w:r>
            <w:r w:rsidRPr="00E10BE1">
              <w:rPr>
                <w:color w:val="76923C" w:themeColor="accent3" w:themeShade="BF"/>
              </w:rPr>
              <w:t>Not</w:t>
            </w:r>
            <w:r w:rsidRPr="00E10BE1">
              <w:rPr>
                <w:color w:val="76923C" w:themeColor="accent3" w:themeShade="BF"/>
                <w:lang w:val="el-GR"/>
              </w:rPr>
              <w:t xml:space="preserve"> </w:t>
            </w:r>
            <w:r w:rsidRPr="00E10BE1">
              <w:rPr>
                <w:color w:val="76923C" w:themeColor="accent3" w:themeShade="BF"/>
              </w:rPr>
              <w:t>implemented</w:t>
            </w:r>
            <w:r w:rsidRPr="00E10BE1">
              <w:rPr>
                <w:color w:val="76923C" w:themeColor="accent3" w:themeShade="BF"/>
                <w:lang w:val="el-GR"/>
              </w:rPr>
              <w:t xml:space="preserve">”, με σύντομη αναφορά ότι η </w:t>
            </w:r>
            <w:r w:rsidRPr="00E10BE1">
              <w:rPr>
                <w:color w:val="76923C" w:themeColor="accent3" w:themeShade="BF"/>
              </w:rPr>
              <w:t>exploitation</w:t>
            </w:r>
            <w:r w:rsidRPr="00E10BE1">
              <w:rPr>
                <w:color w:val="76923C" w:themeColor="accent3" w:themeShade="BF"/>
                <w:lang w:val="el-GR"/>
              </w:rPr>
              <w:t xml:space="preserve"> </w:t>
            </w:r>
            <w:r w:rsidRPr="00E10BE1">
              <w:rPr>
                <w:color w:val="76923C" w:themeColor="accent3" w:themeShade="BF"/>
              </w:rPr>
              <w:t>strategy</w:t>
            </w:r>
            <w:r w:rsidRPr="00E10BE1">
              <w:rPr>
                <w:color w:val="76923C" w:themeColor="accent3" w:themeShade="BF"/>
                <w:lang w:val="el-GR"/>
              </w:rPr>
              <w:t xml:space="preserve"> προβλέπεται για μεταγενέστερο στάδιο του έργου και παραμένει, στο παρόν στάδιο, όπως περιγράφεται στο </w:t>
            </w:r>
            <w:r w:rsidRPr="00E10BE1">
              <w:rPr>
                <w:color w:val="76923C" w:themeColor="accent3" w:themeShade="BF"/>
              </w:rPr>
              <w:t>Annex</w:t>
            </w:r>
            <w:r w:rsidRPr="00E10BE1">
              <w:rPr>
                <w:color w:val="76923C" w:themeColor="accent3" w:themeShade="BF"/>
                <w:lang w:val="el-GR"/>
              </w:rPr>
              <w:t xml:space="preserve"> 1.</w:t>
            </w:r>
          </w:p>
          <w:p w14:paraId="3F0C581C" w14:textId="77777777" w:rsidR="002656EF" w:rsidRPr="007D500E" w:rsidRDefault="002656EF" w:rsidP="00980F10">
            <w:pPr>
              <w:spacing w:before="120" w:after="120"/>
              <w:rPr>
                <w:rFonts w:eastAsia="Times New Roman" w:cs="Arial"/>
                <w:color w:val="C0504D" w:themeColor="accent2"/>
                <w:sz w:val="18"/>
                <w:szCs w:val="18"/>
              </w:rPr>
            </w:pPr>
            <w:r w:rsidRPr="007D500E">
              <w:rPr>
                <w:rFonts w:eastAsia="Times New Roman" w:cs="Arial"/>
                <w:color w:val="C0504D" w:themeColor="accent2"/>
                <w:sz w:val="18"/>
                <w:szCs w:val="18"/>
              </w:rPr>
              <w:t>…</w:t>
            </w:r>
          </w:p>
        </w:tc>
      </w:tr>
      <w:tr w:rsidR="002656EF" w:rsidRPr="00200D1C" w14:paraId="210002E1" w14:textId="77777777" w:rsidTr="00881652">
        <w:tc>
          <w:tcPr>
            <w:tcW w:w="1659" w:type="pct"/>
            <w:shd w:val="clear" w:color="auto" w:fill="E6E6E6"/>
          </w:tcPr>
          <w:p w14:paraId="3BC14F02" w14:textId="77777777" w:rsidR="002656EF" w:rsidRPr="00502422" w:rsidRDefault="002656EF" w:rsidP="00881652">
            <w:pPr>
              <w:spacing w:before="120" w:after="120" w:line="240" w:lineRule="auto"/>
              <w:rPr>
                <w:rFonts w:eastAsia="Times New Roman" w:cs="Arial"/>
                <w:color w:val="595959"/>
                <w:sz w:val="18"/>
                <w:szCs w:val="18"/>
              </w:rPr>
            </w:pPr>
            <w:r>
              <w:rPr>
                <w:rFonts w:eastAsia="Times New Roman" w:cs="Arial"/>
                <w:color w:val="595959"/>
                <w:sz w:val="18"/>
                <w:szCs w:val="18"/>
              </w:rPr>
              <w:lastRenderedPageBreak/>
              <w:t>Other issues</w:t>
            </w:r>
            <w:r w:rsidRPr="00502422">
              <w:rPr>
                <w:rFonts w:eastAsia="Times New Roman" w:cs="Arial"/>
                <w:color w:val="595959"/>
                <w:sz w:val="18"/>
                <w:szCs w:val="18"/>
              </w:rPr>
              <w:t xml:space="preserve"> </w:t>
            </w:r>
          </w:p>
          <w:p w14:paraId="0200C50A" w14:textId="77777777" w:rsidR="002656EF" w:rsidRDefault="002656EF" w:rsidP="00881652">
            <w:pPr>
              <w:spacing w:before="120" w:after="120" w:line="240" w:lineRule="auto"/>
              <w:rPr>
                <w:rFonts w:eastAsia="Times New Roman" w:cs="Arial"/>
                <w:b/>
                <w:bCs/>
                <w:color w:val="595959"/>
                <w:sz w:val="18"/>
                <w:szCs w:val="18"/>
              </w:rPr>
            </w:pPr>
            <w:r w:rsidRPr="51F6A2C3">
              <w:rPr>
                <w:rFonts w:eastAsia="Times New Roman" w:cs="Arial"/>
                <w:i/>
                <w:iCs/>
                <w:color w:val="595959"/>
                <w:sz w:val="16"/>
                <w:szCs w:val="16"/>
              </w:rPr>
              <w:t xml:space="preserve">Mention and explain unexpected events and adjustments that had to be made. Explain impact on other </w:t>
            </w:r>
            <w:r w:rsidRPr="00AF2ECC">
              <w:rPr>
                <w:rFonts w:eastAsia="Times New Roman" w:cs="Arial"/>
                <w:i/>
                <w:iCs/>
                <w:color w:val="595959"/>
                <w:sz w:val="16"/>
                <w:szCs w:val="16"/>
              </w:rPr>
              <w:t xml:space="preserve">tasks, available resources and planning/timing. </w:t>
            </w:r>
            <w:r w:rsidRPr="00AF2ECC">
              <w:rPr>
                <w:rFonts w:cs="Arial"/>
                <w:i/>
                <w:iCs/>
                <w:sz w:val="16"/>
                <w:szCs w:val="16"/>
              </w:rPr>
              <w:t>In case of major deviations from the planned budget, please refer to section 4.3.</w:t>
            </w:r>
          </w:p>
        </w:tc>
        <w:tc>
          <w:tcPr>
            <w:tcW w:w="3341" w:type="pct"/>
            <w:shd w:val="clear" w:color="auto" w:fill="FFFFFF" w:themeFill="background1"/>
          </w:tcPr>
          <w:p w14:paraId="7293C4C8" w14:textId="77777777" w:rsidR="002656EF" w:rsidRPr="00B41F58" w:rsidRDefault="002656EF" w:rsidP="00881652">
            <w:pPr>
              <w:spacing w:before="120" w:after="120" w:line="240" w:lineRule="auto"/>
              <w:ind w:right="4"/>
              <w:jc w:val="both"/>
              <w:rPr>
                <w:rFonts w:eastAsia="Calibri" w:cs="Arial"/>
                <w:color w:val="595959"/>
                <w:sz w:val="18"/>
                <w:szCs w:val="18"/>
              </w:rPr>
            </w:pPr>
            <w:r w:rsidRPr="00B41F58">
              <w:rPr>
                <w:rFonts w:eastAsia="Calibri" w:cs="Arial"/>
                <w:color w:val="595959"/>
                <w:sz w:val="18"/>
                <w:szCs w:val="18"/>
              </w:rPr>
              <w:t>Insert text</w:t>
            </w:r>
          </w:p>
          <w:p w14:paraId="29F116AF" w14:textId="77777777" w:rsidR="002656EF" w:rsidRPr="00BA1F69" w:rsidRDefault="002656EF" w:rsidP="00881652">
            <w:pPr>
              <w:spacing w:before="120" w:after="120" w:line="240" w:lineRule="auto"/>
              <w:rPr>
                <w:rFonts w:eastAsia="Times New Roman" w:cs="Arial"/>
                <w:color w:val="595959"/>
                <w:sz w:val="18"/>
                <w:szCs w:val="20"/>
                <w:lang w:val="en-US"/>
              </w:rPr>
            </w:pPr>
          </w:p>
        </w:tc>
      </w:tr>
      <w:tr w:rsidR="002656EF" w:rsidRPr="00200D1C" w14:paraId="4A773C50" w14:textId="77777777" w:rsidTr="00881652">
        <w:tc>
          <w:tcPr>
            <w:tcW w:w="5000" w:type="pct"/>
            <w:gridSpan w:val="2"/>
            <w:shd w:val="clear" w:color="auto" w:fill="D9D9D9" w:themeFill="background1" w:themeFillShade="D9"/>
          </w:tcPr>
          <w:p w14:paraId="187B3A46" w14:textId="77777777" w:rsidR="002656EF" w:rsidRPr="00C93CB0" w:rsidRDefault="002656EF" w:rsidP="00881652">
            <w:pPr>
              <w:spacing w:before="120" w:after="120" w:line="240" w:lineRule="auto"/>
              <w:rPr>
                <w:rFonts w:eastAsia="Times New Roman" w:cs="Arial"/>
                <w:b/>
                <w:bCs/>
                <w:color w:val="595959"/>
                <w:sz w:val="18"/>
                <w:szCs w:val="18"/>
              </w:rPr>
            </w:pPr>
            <w:r w:rsidRPr="51F6A2C3">
              <w:rPr>
                <w:rFonts w:eastAsia="Times New Roman" w:cs="Arial"/>
                <w:b/>
                <w:bCs/>
                <w:color w:val="595959"/>
                <w:sz w:val="18"/>
                <w:szCs w:val="18"/>
              </w:rPr>
              <w:t xml:space="preserve">Milestones and deliverables </w:t>
            </w:r>
            <w:r w:rsidRPr="51F6A2C3">
              <w:rPr>
                <w:rFonts w:cs="Arial"/>
                <w:b/>
                <w:bCs/>
                <w:sz w:val="18"/>
                <w:szCs w:val="18"/>
              </w:rPr>
              <w:t>(outputs/outcomes)</w:t>
            </w:r>
          </w:p>
        </w:tc>
      </w:tr>
      <w:tr w:rsidR="002656EF" w:rsidRPr="00BC0C16" w14:paraId="64C0F6A6" w14:textId="77777777" w:rsidTr="00881652">
        <w:trPr>
          <w:trHeight w:val="37"/>
        </w:trPr>
        <w:tc>
          <w:tcPr>
            <w:tcW w:w="5000" w:type="pct"/>
            <w:gridSpan w:val="2"/>
            <w:shd w:val="clear" w:color="auto" w:fill="F2F2F2" w:themeFill="background1" w:themeFillShade="F2"/>
          </w:tcPr>
          <w:p w14:paraId="5B519B55" w14:textId="77777777" w:rsidR="002656EF" w:rsidRPr="00C93CB0" w:rsidRDefault="002656EF" w:rsidP="00881652">
            <w:pPr>
              <w:spacing w:before="120" w:after="120" w:line="240" w:lineRule="auto"/>
              <w:rPr>
                <w:rFonts w:cs="Arial"/>
                <w:sz w:val="16"/>
                <w:szCs w:val="16"/>
              </w:rPr>
            </w:pPr>
            <w:r w:rsidRPr="00C93CB0">
              <w:rPr>
                <w:rFonts w:cs="Arial"/>
                <w:sz w:val="18"/>
                <w:szCs w:val="18"/>
              </w:rPr>
              <w:t>See Technical Report (Part A).</w:t>
            </w:r>
          </w:p>
        </w:tc>
      </w:tr>
    </w:tbl>
    <w:p w14:paraId="26B3168A" w14:textId="77777777" w:rsidR="00E22AA5" w:rsidRDefault="00E22AA5" w:rsidP="00DF6085">
      <w:pPr>
        <w:tabs>
          <w:tab w:val="left" w:pos="1725"/>
        </w:tabs>
        <w:rPr>
          <w:rFonts w:eastAsia="Times New Roman" w:cs="Arial"/>
          <w:sz w:val="18"/>
          <w:szCs w:val="18"/>
          <w:lang w:eastAsia="en-GB"/>
        </w:rPr>
      </w:pPr>
    </w:p>
    <w:p w14:paraId="6AA3752A" w14:textId="58789D0F" w:rsidR="00E22AA5" w:rsidRPr="00110BC6" w:rsidRDefault="00E22AA5" w:rsidP="00E22AA5">
      <w:pPr>
        <w:pStyle w:val="Heading4"/>
        <w:rPr>
          <w:sz w:val="18"/>
          <w:szCs w:val="18"/>
        </w:rPr>
      </w:pPr>
      <w:bookmarkStart w:id="61" w:name="_Toc227846975"/>
      <w:bookmarkStart w:id="62" w:name="_Hlk227424115"/>
      <w:bookmarkEnd w:id="59"/>
      <w:r w:rsidRPr="00110BC6">
        <w:t xml:space="preserve">Work </w:t>
      </w:r>
      <w:r>
        <w:t>P</w:t>
      </w:r>
      <w:r w:rsidRPr="00A32534">
        <w:t>ackage</w:t>
      </w:r>
      <w:r w:rsidRPr="51F6A2C3">
        <w:t xml:space="preserve"> </w:t>
      </w:r>
      <w:r>
        <w:t>7</w:t>
      </w:r>
      <w:bookmarkEnd w:id="61"/>
    </w:p>
    <w:tbl>
      <w:tblPr>
        <w:tblW w:w="4842" w:type="pct"/>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3012"/>
        <w:gridCol w:w="6066"/>
      </w:tblGrid>
      <w:tr w:rsidR="00E22AA5" w:rsidRPr="00200D1C" w14:paraId="015F3804" w14:textId="77777777" w:rsidTr="00881652">
        <w:trPr>
          <w:trHeight w:val="417"/>
        </w:trPr>
        <w:tc>
          <w:tcPr>
            <w:tcW w:w="5000" w:type="pct"/>
            <w:gridSpan w:val="2"/>
            <w:tcBorders>
              <w:bottom w:val="single" w:sz="12" w:space="0" w:color="A6A6A6" w:themeColor="background1" w:themeShade="A6"/>
            </w:tcBorders>
            <w:shd w:val="clear" w:color="auto" w:fill="D9D9D9" w:themeFill="background1" w:themeFillShade="D9"/>
          </w:tcPr>
          <w:p w14:paraId="1BD2CF16" w14:textId="216B818B" w:rsidR="00E22AA5" w:rsidRPr="00420A4A" w:rsidRDefault="00E22AA5" w:rsidP="00881652">
            <w:pPr>
              <w:spacing w:before="240" w:after="240" w:line="240" w:lineRule="auto"/>
              <w:rPr>
                <w:rFonts w:eastAsia="Times New Roman" w:cs="Arial"/>
                <w:b/>
                <w:bCs/>
                <w:color w:val="595959"/>
              </w:rPr>
            </w:pPr>
            <w:r w:rsidRPr="51F6A2C3">
              <w:rPr>
                <w:rFonts w:eastAsia="Times New Roman" w:cs="Arial"/>
                <w:b/>
                <w:bCs/>
                <w:color w:val="595959"/>
              </w:rPr>
              <w:t xml:space="preserve">Work Package </w:t>
            </w:r>
            <w:r>
              <w:rPr>
                <w:rFonts w:eastAsia="Times New Roman" w:cs="Arial"/>
                <w:b/>
                <w:bCs/>
                <w:color w:val="595959"/>
              </w:rPr>
              <w:t>7</w:t>
            </w:r>
            <w:r w:rsidRPr="51F6A2C3">
              <w:rPr>
                <w:rFonts w:eastAsia="Times New Roman" w:cs="Arial"/>
                <w:b/>
                <w:bCs/>
                <w:color w:val="595959"/>
              </w:rPr>
              <w:t>: [</w:t>
            </w:r>
            <w:r w:rsidRPr="00E22AA5">
              <w:rPr>
                <w:rFonts w:eastAsia="Times New Roman" w:cs="Arial"/>
                <w:b/>
                <w:bCs/>
                <w:color w:val="595959"/>
              </w:rPr>
              <w:t>Communication, Dissemination</w:t>
            </w:r>
            <w:r w:rsidRPr="51F6A2C3">
              <w:rPr>
                <w:rFonts w:eastAsia="Times New Roman" w:cs="Arial"/>
                <w:b/>
                <w:bCs/>
                <w:color w:val="595959"/>
              </w:rPr>
              <w:t>]</w:t>
            </w:r>
          </w:p>
        </w:tc>
      </w:tr>
      <w:tr w:rsidR="00E22AA5" w:rsidRPr="00200D1C" w14:paraId="73FB0D03" w14:textId="77777777" w:rsidTr="00881652">
        <w:tc>
          <w:tcPr>
            <w:tcW w:w="5000" w:type="pct"/>
            <w:gridSpan w:val="2"/>
            <w:shd w:val="clear" w:color="auto" w:fill="D9D9D9" w:themeFill="background1" w:themeFillShade="D9"/>
          </w:tcPr>
          <w:p w14:paraId="3CF4ADB2" w14:textId="77777777" w:rsidR="00E22AA5" w:rsidRPr="00D14AA2" w:rsidRDefault="00E22AA5" w:rsidP="00881652">
            <w:pPr>
              <w:spacing w:before="120" w:after="120" w:line="240" w:lineRule="auto"/>
              <w:rPr>
                <w:rFonts w:eastAsia="Times New Roman" w:cs="Arial"/>
                <w:b/>
                <w:bCs/>
                <w:color w:val="595959"/>
                <w:sz w:val="18"/>
                <w:szCs w:val="18"/>
              </w:rPr>
            </w:pPr>
            <w:r w:rsidRPr="51F6A2C3">
              <w:rPr>
                <w:rFonts w:eastAsia="Times New Roman" w:cs="Arial"/>
                <w:b/>
                <w:bCs/>
                <w:color w:val="595959"/>
                <w:sz w:val="18"/>
                <w:szCs w:val="18"/>
              </w:rPr>
              <w:t xml:space="preserve">Activities </w:t>
            </w:r>
          </w:p>
          <w:p w14:paraId="11B86102" w14:textId="77777777" w:rsidR="00E22AA5" w:rsidRPr="003A659F" w:rsidRDefault="00E22AA5" w:rsidP="00881652">
            <w:pPr>
              <w:spacing w:before="120" w:after="60" w:line="240" w:lineRule="auto"/>
              <w:jc w:val="both"/>
              <w:rPr>
                <w:rFonts w:eastAsia="Times New Roman" w:cs="Arial"/>
                <w:i/>
                <w:iCs/>
                <w:sz w:val="16"/>
                <w:szCs w:val="16"/>
                <w:lang w:eastAsia="en-GB"/>
              </w:rPr>
            </w:pPr>
            <w:r w:rsidRPr="51F6A2C3">
              <w:rPr>
                <w:rFonts w:eastAsia="Times New Roman" w:cs="Arial"/>
                <w:i/>
                <w:iCs/>
                <w:kern w:val="32"/>
                <w:sz w:val="16"/>
                <w:szCs w:val="16"/>
                <w:lang w:eastAsia="en-GB"/>
              </w:rPr>
              <w:t xml:space="preserve">Explain the work carried out for each work package during the reporting period, giving details of the work carried out by each participant </w:t>
            </w:r>
            <w:r w:rsidRPr="00AF2ECC">
              <w:rPr>
                <w:rFonts w:eastAsia="Times New Roman" w:cs="Arial"/>
                <w:i/>
                <w:iCs/>
                <w:kern w:val="32"/>
                <w:sz w:val="16"/>
                <w:szCs w:val="16"/>
                <w:lang w:eastAsia="en-GB"/>
              </w:rPr>
              <w:t>involved. Please summarise in a few sentences what was done in the previous period, when applicable.</w:t>
            </w:r>
          </w:p>
          <w:p w14:paraId="696E3269" w14:textId="77777777" w:rsidR="00E22AA5" w:rsidRPr="003A659F" w:rsidRDefault="00E22AA5" w:rsidP="00881652">
            <w:pPr>
              <w:spacing w:after="60" w:line="240" w:lineRule="auto"/>
              <w:jc w:val="both"/>
              <w:rPr>
                <w:rFonts w:eastAsia="Times New Roman" w:cs="Arial"/>
                <w:i/>
                <w:iCs/>
                <w:sz w:val="16"/>
                <w:szCs w:val="16"/>
                <w:lang w:eastAsia="en-GB"/>
              </w:rPr>
            </w:pPr>
            <w:r w:rsidRPr="51F6A2C3">
              <w:rPr>
                <w:rFonts w:cs="Arial"/>
                <w:i/>
                <w:iCs/>
                <w:sz w:val="16"/>
                <w:szCs w:val="16"/>
              </w:rPr>
              <w:t xml:space="preserve">Explain the reasons for </w:t>
            </w:r>
            <w:r w:rsidRPr="51F6A2C3">
              <w:rPr>
                <w:rFonts w:cs="Arial"/>
                <w:i/>
                <w:iCs/>
                <w:sz w:val="16"/>
                <w:szCs w:val="16"/>
                <w:u w:val="single"/>
              </w:rPr>
              <w:t>deviations</w:t>
            </w:r>
            <w:r w:rsidRPr="51F6A2C3">
              <w:rPr>
                <w:rFonts w:cs="Arial"/>
                <w:i/>
                <w:iCs/>
                <w:sz w:val="16"/>
                <w:szCs w:val="16"/>
              </w:rPr>
              <w:t xml:space="preserve"> from </w:t>
            </w:r>
            <w:r w:rsidRPr="51F6A2C3">
              <w:rPr>
                <w:rFonts w:eastAsia="Times New Roman" w:cs="Arial"/>
                <w:i/>
                <w:iCs/>
                <w:color w:val="595959"/>
                <w:sz w:val="16"/>
                <w:szCs w:val="16"/>
              </w:rPr>
              <w:t>Annex 1 of the Grant Agreement</w:t>
            </w:r>
            <w:r w:rsidRPr="51F6A2C3">
              <w:rPr>
                <w:rFonts w:cs="Arial"/>
                <w:i/>
                <w:iCs/>
                <w:sz w:val="16"/>
                <w:szCs w:val="16"/>
              </w:rPr>
              <w:t>, the consequences and the proposed corrective actions.</w:t>
            </w:r>
          </w:p>
          <w:p w14:paraId="4390D82F" w14:textId="77777777" w:rsidR="00E22AA5" w:rsidRPr="003A659F" w:rsidRDefault="00E22AA5" w:rsidP="00881652">
            <w:pPr>
              <w:spacing w:after="60" w:line="240" w:lineRule="auto"/>
              <w:jc w:val="both"/>
              <w:rPr>
                <w:rFonts w:cs="Arial"/>
                <w:i/>
                <w:iCs/>
                <w:sz w:val="16"/>
                <w:szCs w:val="16"/>
              </w:rPr>
            </w:pPr>
            <w:r w:rsidRPr="51F6A2C3">
              <w:rPr>
                <w:rFonts w:cs="Arial"/>
                <w:i/>
                <w:iCs/>
                <w:sz w:val="16"/>
                <w:szCs w:val="16"/>
              </w:rPr>
              <w:t xml:space="preserve">Include explanations for tasks not fully implemented, critical objectives not fully achieved and/or not being on schedule. Explain also the impact on other tasks, on the available resources and the planning. Where necessary, make reference to the deliverables in the report text. </w:t>
            </w:r>
            <w:r w:rsidRPr="00AF2ECC">
              <w:rPr>
                <w:rFonts w:cs="Arial"/>
                <w:i/>
                <w:iCs/>
                <w:sz w:val="16"/>
                <w:szCs w:val="16"/>
              </w:rPr>
              <w:t>In case of major deviations from on the planned budget, please refer to section 4.3.</w:t>
            </w:r>
          </w:p>
          <w:p w14:paraId="26C26E73" w14:textId="77777777" w:rsidR="00E22AA5" w:rsidRDefault="00E22AA5" w:rsidP="00881652">
            <w:pPr>
              <w:spacing w:after="60" w:line="240" w:lineRule="auto"/>
              <w:jc w:val="both"/>
              <w:rPr>
                <w:i/>
                <w:iCs/>
                <w:sz w:val="16"/>
                <w:szCs w:val="16"/>
              </w:rPr>
            </w:pPr>
            <w:r w:rsidRPr="003F4E7A">
              <w:rPr>
                <w:i/>
                <w:iCs/>
                <w:sz w:val="16"/>
                <w:szCs w:val="16"/>
              </w:rPr>
              <w:t xml:space="preserve">Focus only on the </w:t>
            </w:r>
            <w:r w:rsidRPr="003F4E7A">
              <w:rPr>
                <w:b/>
                <w:bCs/>
                <w:i/>
                <w:iCs/>
                <w:sz w:val="16"/>
                <w:szCs w:val="16"/>
              </w:rPr>
              <w:t>main</w:t>
            </w:r>
            <w:r w:rsidRPr="003F4E7A">
              <w:rPr>
                <w:i/>
                <w:iCs/>
                <w:sz w:val="16"/>
                <w:szCs w:val="16"/>
              </w:rPr>
              <w:t xml:space="preserve"> </w:t>
            </w:r>
            <w:r w:rsidRPr="003F4E7A">
              <w:rPr>
                <w:b/>
                <w:bCs/>
                <w:i/>
                <w:iCs/>
                <w:sz w:val="16"/>
                <w:szCs w:val="16"/>
              </w:rPr>
              <w:t xml:space="preserve">results </w:t>
            </w:r>
            <w:r w:rsidRPr="003F4E7A">
              <w:rPr>
                <w:i/>
                <w:iCs/>
                <w:sz w:val="16"/>
                <w:szCs w:val="16"/>
              </w:rPr>
              <w:t xml:space="preserve">as well as important </w:t>
            </w:r>
            <w:r w:rsidRPr="003F4E7A">
              <w:rPr>
                <w:b/>
                <w:bCs/>
                <w:i/>
                <w:iCs/>
                <w:sz w:val="16"/>
                <w:szCs w:val="16"/>
              </w:rPr>
              <w:t>lessons learned</w:t>
            </w:r>
            <w:r w:rsidRPr="003F4E7A">
              <w:rPr>
                <w:i/>
                <w:iCs/>
                <w:sz w:val="16"/>
                <w:szCs w:val="16"/>
              </w:rPr>
              <w:t>. The technical details should be provided in the deliverables.</w:t>
            </w:r>
          </w:p>
          <w:p w14:paraId="0C13F06C" w14:textId="77777777" w:rsidR="00E22AA5" w:rsidRPr="00C4658D" w:rsidRDefault="00E22AA5" w:rsidP="00881652">
            <w:pPr>
              <w:spacing w:after="120" w:line="240" w:lineRule="auto"/>
              <w:jc w:val="both"/>
              <w:rPr>
                <w:rFonts w:eastAsia="Times New Roman" w:cs="Arial"/>
                <w:i/>
                <w:iCs/>
                <w:color w:val="595959"/>
                <w:sz w:val="16"/>
                <w:szCs w:val="16"/>
                <w:lang w:eastAsia="en-GB"/>
              </w:rPr>
            </w:pPr>
            <w:r w:rsidRPr="003F4E7A">
              <w:rPr>
                <w:i/>
                <w:iCs/>
                <w:sz w:val="16"/>
                <w:szCs w:val="16"/>
              </w:rPr>
              <w:t>Additionally, for Operating Grants</w:t>
            </w:r>
            <w:r>
              <w:rPr>
                <w:i/>
                <w:iCs/>
                <w:sz w:val="16"/>
                <w:szCs w:val="16"/>
              </w:rPr>
              <w:t xml:space="preserve">, </w:t>
            </w:r>
            <w:r w:rsidRPr="003F4E7A">
              <w:rPr>
                <w:rFonts w:eastAsia="Times New Roman" w:cs="Arial"/>
                <w:i/>
                <w:iCs/>
                <w:color w:val="595959"/>
                <w:sz w:val="16"/>
                <w:szCs w:val="16"/>
                <w:lang w:eastAsia="en-GB"/>
              </w:rPr>
              <w:t>report</w:t>
            </w:r>
            <w:r w:rsidRPr="51F6A2C3">
              <w:rPr>
                <w:rFonts w:eastAsia="Times New Roman" w:cs="Arial"/>
                <w:i/>
                <w:iCs/>
                <w:color w:val="595959"/>
                <w:sz w:val="16"/>
                <w:szCs w:val="16"/>
                <w:lang w:eastAsia="en-GB"/>
              </w:rPr>
              <w:t xml:space="preserve"> </w:t>
            </w:r>
            <w:r>
              <w:rPr>
                <w:rFonts w:eastAsia="Times New Roman" w:cs="Arial"/>
                <w:i/>
                <w:iCs/>
                <w:color w:val="595959"/>
                <w:sz w:val="16"/>
                <w:szCs w:val="16"/>
                <w:lang w:eastAsia="en-GB"/>
              </w:rPr>
              <w:t>u</w:t>
            </w:r>
            <w:r w:rsidRPr="003F4E7A">
              <w:rPr>
                <w:rFonts w:eastAsia="Times New Roman" w:cs="Arial"/>
                <w:i/>
                <w:iCs/>
                <w:color w:val="595959"/>
                <w:sz w:val="16"/>
                <w:szCs w:val="16"/>
                <w:lang w:eastAsia="en-GB"/>
              </w:rPr>
              <w:t>nder Work Package 1</w:t>
            </w:r>
            <w:r>
              <w:rPr>
                <w:rFonts w:eastAsia="Times New Roman" w:cs="Arial"/>
                <w:i/>
                <w:iCs/>
                <w:color w:val="595959"/>
                <w:sz w:val="16"/>
                <w:szCs w:val="16"/>
                <w:lang w:eastAsia="en-GB"/>
              </w:rPr>
              <w:t xml:space="preserve"> </w:t>
            </w:r>
            <w:r w:rsidRPr="51F6A2C3">
              <w:rPr>
                <w:rFonts w:eastAsia="Times New Roman" w:cs="Arial"/>
                <w:i/>
                <w:iCs/>
                <w:color w:val="595959"/>
                <w:sz w:val="16"/>
                <w:szCs w:val="16"/>
                <w:lang w:eastAsia="en-GB"/>
              </w:rPr>
              <w:t xml:space="preserve">on </w:t>
            </w:r>
            <w:r w:rsidRPr="51F6A2C3">
              <w:rPr>
                <w:rFonts w:eastAsia="Times New Roman" w:cs="Arial"/>
                <w:i/>
                <w:iCs/>
                <w:color w:val="595959"/>
                <w:sz w:val="16"/>
                <w:szCs w:val="16"/>
                <w:u w:val="single"/>
                <w:lang w:eastAsia="en-GB"/>
              </w:rPr>
              <w:t>changes</w:t>
            </w:r>
            <w:r w:rsidRPr="51F6A2C3">
              <w:rPr>
                <w:rFonts w:eastAsia="Times New Roman" w:cs="Arial"/>
                <w:i/>
                <w:iCs/>
                <w:color w:val="595959"/>
                <w:sz w:val="16"/>
                <w:szCs w:val="16"/>
                <w:lang w:eastAsia="en-GB"/>
              </w:rPr>
              <w:t xml:space="preserve"> in your organisation’s capacity (if any) to become a more efficient stakeholder in the </w:t>
            </w:r>
            <w:r>
              <w:rPr>
                <w:rFonts w:eastAsia="Times New Roman" w:cs="Arial"/>
                <w:i/>
                <w:iCs/>
                <w:color w:val="595959"/>
                <w:sz w:val="16"/>
                <w:szCs w:val="16"/>
                <w:lang w:eastAsia="en-GB"/>
              </w:rPr>
              <w:t>EU</w:t>
            </w:r>
            <w:r w:rsidRPr="51F6A2C3">
              <w:rPr>
                <w:rFonts w:eastAsia="Times New Roman" w:cs="Arial"/>
                <w:i/>
                <w:iCs/>
                <w:color w:val="595959"/>
                <w:sz w:val="16"/>
                <w:szCs w:val="16"/>
                <w:lang w:eastAsia="en-GB"/>
              </w:rPr>
              <w:t>’s policy process. Report on the proposed actions and their status to develop the organisation, widen the grassroots or members base, diversify and sustain the organisation's fundraising strategy and the strategy to reduce your dependence on LIFE operating grants.</w:t>
            </w:r>
          </w:p>
        </w:tc>
      </w:tr>
      <w:tr w:rsidR="00E22AA5" w:rsidRPr="00200D1C" w14:paraId="1686C83E" w14:textId="77777777" w:rsidTr="00881652">
        <w:trPr>
          <w:trHeight w:val="37"/>
        </w:trPr>
        <w:tc>
          <w:tcPr>
            <w:tcW w:w="5000" w:type="pct"/>
            <w:gridSpan w:val="2"/>
          </w:tcPr>
          <w:p w14:paraId="012F2B9F" w14:textId="2F7B7FBF" w:rsidR="00E22AA5" w:rsidRPr="007D500E" w:rsidRDefault="00E22AA5" w:rsidP="00980F10">
            <w:pPr>
              <w:spacing w:before="120" w:after="120"/>
              <w:rPr>
                <w:rFonts w:eastAsia="Times New Roman" w:cs="Arial"/>
                <w:b/>
                <w:bCs/>
                <w:color w:val="C0504D" w:themeColor="accent2"/>
                <w:sz w:val="18"/>
                <w:szCs w:val="18"/>
              </w:rPr>
            </w:pPr>
            <w:r w:rsidRPr="007D500E">
              <w:rPr>
                <w:rFonts w:eastAsia="Times New Roman" w:cs="Arial"/>
                <w:b/>
                <w:bCs/>
                <w:color w:val="C0504D" w:themeColor="accent2"/>
                <w:sz w:val="18"/>
                <w:szCs w:val="18"/>
              </w:rPr>
              <w:t>T7.1 [Dissemination and Communication Plan] ([Implemented] [Not implemented] [Partially implemented])</w:t>
            </w:r>
          </w:p>
          <w:p w14:paraId="09A92C3C" w14:textId="443C0085" w:rsidR="00E22AA5" w:rsidRPr="00D074B6" w:rsidRDefault="00D074B6" w:rsidP="00980F10">
            <w:pPr>
              <w:spacing w:before="120" w:after="120"/>
              <w:jc w:val="both"/>
              <w:rPr>
                <w:rFonts w:eastAsia="Times New Roman" w:cs="Arial"/>
                <w:b/>
                <w:bCs/>
                <w:color w:val="31849B" w:themeColor="accent5" w:themeShade="BF"/>
                <w:szCs w:val="20"/>
                <w:lang w:val="en-US"/>
              </w:rPr>
            </w:pPr>
            <w:r w:rsidRPr="00D074B6">
              <w:rPr>
                <w:rFonts w:eastAsia="Times New Roman" w:cs="Arial"/>
                <w:b/>
                <w:bCs/>
                <w:color w:val="31849B" w:themeColor="accent5" w:themeShade="BF"/>
                <w:szCs w:val="20"/>
                <w:lang w:val="el-GR"/>
              </w:rPr>
              <w:t>ΕΥΔΙΤΗ</w:t>
            </w:r>
          </w:p>
          <w:p w14:paraId="3A12B97D" w14:textId="5A5016A4" w:rsidR="00E22AA5" w:rsidRPr="007D500E" w:rsidRDefault="00E22AA5" w:rsidP="00980F10">
            <w:pPr>
              <w:spacing w:before="120" w:after="120"/>
              <w:rPr>
                <w:rFonts w:eastAsia="Times New Roman" w:cs="Arial"/>
                <w:b/>
                <w:bCs/>
                <w:color w:val="C0504D" w:themeColor="accent2"/>
                <w:sz w:val="18"/>
                <w:szCs w:val="18"/>
              </w:rPr>
            </w:pPr>
            <w:r w:rsidRPr="007D500E">
              <w:rPr>
                <w:rFonts w:eastAsia="Times New Roman" w:cs="Arial"/>
                <w:b/>
                <w:bCs/>
                <w:color w:val="C0504D" w:themeColor="accent2"/>
                <w:sz w:val="18"/>
                <w:szCs w:val="18"/>
              </w:rPr>
              <w:lastRenderedPageBreak/>
              <w:t>T</w:t>
            </w:r>
            <w:r w:rsidR="009D0A93" w:rsidRPr="007D500E">
              <w:rPr>
                <w:rFonts w:eastAsia="Times New Roman" w:cs="Arial"/>
                <w:b/>
                <w:bCs/>
                <w:color w:val="C0504D" w:themeColor="accent2"/>
                <w:sz w:val="18"/>
                <w:szCs w:val="18"/>
              </w:rPr>
              <w:t>7</w:t>
            </w:r>
            <w:r w:rsidRPr="007D500E">
              <w:rPr>
                <w:rFonts w:eastAsia="Times New Roman" w:cs="Arial"/>
                <w:b/>
                <w:bCs/>
                <w:color w:val="C0504D" w:themeColor="accent2"/>
                <w:sz w:val="18"/>
                <w:szCs w:val="18"/>
              </w:rPr>
              <w:t>.2 [</w:t>
            </w:r>
            <w:r w:rsidR="009D0A93" w:rsidRPr="007D500E">
              <w:rPr>
                <w:rFonts w:eastAsia="Times New Roman" w:cs="Arial"/>
                <w:b/>
                <w:bCs/>
                <w:color w:val="C0504D" w:themeColor="accent2"/>
                <w:sz w:val="18"/>
                <w:szCs w:val="18"/>
              </w:rPr>
              <w:t>Dissemination and communication material</w:t>
            </w:r>
            <w:r w:rsidRPr="007D500E">
              <w:rPr>
                <w:rFonts w:eastAsia="Times New Roman" w:cs="Arial"/>
                <w:b/>
                <w:bCs/>
                <w:color w:val="C0504D" w:themeColor="accent2"/>
                <w:sz w:val="18"/>
                <w:szCs w:val="18"/>
              </w:rPr>
              <w:t>] ([Implemented] [Not implemented] [Partially implemented])</w:t>
            </w:r>
          </w:p>
          <w:p w14:paraId="756D0219" w14:textId="77777777" w:rsidR="00D074B6" w:rsidRPr="00981C3F" w:rsidRDefault="00D074B6" w:rsidP="00980F10">
            <w:pPr>
              <w:spacing w:before="120" w:after="120"/>
              <w:jc w:val="both"/>
              <w:rPr>
                <w:rFonts w:eastAsia="Times New Roman" w:cs="Arial"/>
                <w:b/>
                <w:bCs/>
                <w:color w:val="31849B" w:themeColor="accent5" w:themeShade="BF"/>
                <w:szCs w:val="20"/>
                <w:lang w:val="en-US"/>
              </w:rPr>
            </w:pPr>
            <w:r w:rsidRPr="00D074B6">
              <w:rPr>
                <w:rFonts w:eastAsia="Times New Roman" w:cs="Arial"/>
                <w:b/>
                <w:bCs/>
                <w:color w:val="31849B" w:themeColor="accent5" w:themeShade="BF"/>
                <w:szCs w:val="20"/>
                <w:lang w:val="el-GR"/>
              </w:rPr>
              <w:t>ΕΥΔΙΤΗ</w:t>
            </w:r>
          </w:p>
          <w:p w14:paraId="7B62BE85" w14:textId="093C9D59" w:rsidR="00E22AA5" w:rsidRPr="007D500E" w:rsidRDefault="00E22AA5" w:rsidP="00980F10">
            <w:pPr>
              <w:spacing w:before="120" w:after="120"/>
              <w:jc w:val="both"/>
              <w:rPr>
                <w:rFonts w:eastAsia="Times New Roman" w:cs="Arial"/>
                <w:color w:val="C0504D" w:themeColor="accent2"/>
                <w:sz w:val="18"/>
                <w:szCs w:val="18"/>
              </w:rPr>
            </w:pPr>
          </w:p>
          <w:p w14:paraId="12D95C11" w14:textId="29715D99" w:rsidR="00E22AA5" w:rsidRPr="007D500E" w:rsidRDefault="00E22AA5" w:rsidP="00980F10">
            <w:pPr>
              <w:spacing w:before="120" w:after="120"/>
              <w:rPr>
                <w:rFonts w:eastAsia="Times New Roman" w:cs="Arial"/>
                <w:b/>
                <w:bCs/>
                <w:color w:val="C0504D" w:themeColor="accent2"/>
                <w:sz w:val="18"/>
                <w:szCs w:val="18"/>
              </w:rPr>
            </w:pPr>
            <w:r w:rsidRPr="007D500E">
              <w:rPr>
                <w:rFonts w:eastAsia="Times New Roman" w:cs="Arial"/>
                <w:b/>
                <w:bCs/>
                <w:color w:val="C0504D" w:themeColor="accent2"/>
                <w:sz w:val="18"/>
                <w:szCs w:val="18"/>
              </w:rPr>
              <w:t>T</w:t>
            </w:r>
            <w:r w:rsidR="009D0A93" w:rsidRPr="007D500E">
              <w:rPr>
                <w:rFonts w:eastAsia="Times New Roman" w:cs="Arial"/>
                <w:b/>
                <w:bCs/>
                <w:color w:val="C0504D" w:themeColor="accent2"/>
                <w:sz w:val="18"/>
                <w:szCs w:val="18"/>
              </w:rPr>
              <w:t>7</w:t>
            </w:r>
            <w:r w:rsidRPr="007D500E">
              <w:rPr>
                <w:rFonts w:eastAsia="Times New Roman" w:cs="Arial"/>
                <w:b/>
                <w:bCs/>
                <w:color w:val="C0504D" w:themeColor="accent2"/>
                <w:sz w:val="18"/>
                <w:szCs w:val="18"/>
              </w:rPr>
              <w:t>.3 [</w:t>
            </w:r>
            <w:r w:rsidR="009D0A93" w:rsidRPr="007D500E">
              <w:rPr>
                <w:b/>
                <w:bCs/>
                <w:color w:val="C0504D" w:themeColor="accent2"/>
                <w:sz w:val="18"/>
                <w:szCs w:val="20"/>
              </w:rPr>
              <w:t>Communication to local citizens</w:t>
            </w:r>
            <w:r w:rsidRPr="007D500E">
              <w:rPr>
                <w:rFonts w:eastAsia="Times New Roman" w:cs="Arial"/>
                <w:b/>
                <w:bCs/>
                <w:color w:val="C0504D" w:themeColor="accent2"/>
                <w:sz w:val="18"/>
                <w:szCs w:val="18"/>
              </w:rPr>
              <w:t>] ([Partially implemented])</w:t>
            </w:r>
          </w:p>
          <w:p w14:paraId="2528DF30" w14:textId="5B75AE62" w:rsidR="00981C3F" w:rsidRPr="00981C3F" w:rsidRDefault="00981C3F" w:rsidP="00980F10">
            <w:pPr>
              <w:spacing w:before="120" w:after="120"/>
              <w:jc w:val="both"/>
              <w:rPr>
                <w:rFonts w:eastAsia="Times New Roman" w:cs="Arial"/>
                <w:szCs w:val="20"/>
              </w:rPr>
            </w:pPr>
            <w:r w:rsidRPr="00981C3F">
              <w:rPr>
                <w:rFonts w:eastAsia="Times New Roman" w:cs="Arial"/>
                <w:szCs w:val="20"/>
              </w:rPr>
              <w:t>During the reporting period, the participating municipalities, regions and associated local actors initiated actions and preparatory steps to communicate the objectives and expected benefits of RenoInGR to local audiences, in line with Task 7.3 of Annex 1. The overall purpose of this task is to ensure that the local dimension of the project is made visible to citizens and communities, especially in municipalities and regions where the energy renovation of public buildings can generate direct benefits in terms of energy savings, improved public infrastructure, climate resilience and local awareness. At this stage, the implementation of the task has progressed unevenly across partners, with some participating entities already providing concrete information on local communication actions and others still expected to submit further input.</w:t>
            </w:r>
          </w:p>
          <w:p w14:paraId="253A3149" w14:textId="4CAFD2EC" w:rsidR="00981C3F" w:rsidRPr="00981C3F" w:rsidRDefault="00981C3F" w:rsidP="00980F10">
            <w:pPr>
              <w:spacing w:before="120" w:after="120"/>
              <w:jc w:val="both"/>
              <w:rPr>
                <w:rFonts w:eastAsia="Times New Roman" w:cs="Arial"/>
                <w:szCs w:val="20"/>
              </w:rPr>
            </w:pPr>
            <w:r w:rsidRPr="00981C3F">
              <w:rPr>
                <w:rFonts w:eastAsia="Times New Roman" w:cs="Arial"/>
                <w:szCs w:val="20"/>
              </w:rPr>
              <w:t>In several cases, communication to local audiences has been linked to the practical progress of the pilot activities. For example, the Municipality of Antiparos reported that, following the site visit carried out in June 2025 by the NTUA team and the collaborating energy expert, the municipality worked with its Technical Service to support the documentation of the buildings included in the project. The buildings identified include the Town Hall/Medical Centre, the Citizens’ Service Centre (KEP), the Gymnasium-Lyceum, the Kindergarten, the Primary School, the Stadium Changing Rooms and the Cave ticket office. According to the municipality, the project is currently at the stage of issuing EPCs and awaiting the corresponding Energy Reports. Although the local input mainly refers to the technical progress of the project, it also reflects the existence of an active local interface through which the RenoInGR activities are being followed and prepared at municipal level.</w:t>
            </w:r>
          </w:p>
          <w:p w14:paraId="3992E1DD" w14:textId="46CF905D" w:rsidR="00981C3F" w:rsidRPr="00981C3F" w:rsidRDefault="00981C3F" w:rsidP="00980F10">
            <w:pPr>
              <w:spacing w:before="120" w:after="120"/>
              <w:jc w:val="both"/>
              <w:rPr>
                <w:rFonts w:eastAsia="Times New Roman" w:cs="Arial"/>
                <w:szCs w:val="20"/>
              </w:rPr>
            </w:pPr>
            <w:r w:rsidRPr="00981C3F">
              <w:rPr>
                <w:rFonts w:eastAsia="Times New Roman" w:cs="Arial"/>
                <w:szCs w:val="20"/>
              </w:rPr>
              <w:t>The Municipality of Tilos highlighted the importance of communication and outreach at local level and demonstrated an active communication presence through its social media channels. In addition to underlining the strategic relevance of RenoInGR for the island’s energy transition, the municipality has already promoted the project publicly, presenting it as an opportunity to improve the energy performance of key public buildings, reduce energy costs and further strengthen Tilos’ profile as a green and innovative island destination. According to the input received, Tilos views communication with local residents and businesses as an important dimension of the project and aims to raise awareness of the benefits of energy upgrading through press releases, informational material and social media dissemination. At the same time, the municipality stressed that, due to its limited staff and administrative capacity, it would particularly benefit from additional support and guidance on how to become more outward-looking, participate more actively in projects and communicate innovative and sustainable solutions to the local community. This contribution is therefore relevant not only as evidence of local dissemination, but also as an indication of the support needs of small island municipalities within the RenoInGR framework..</w:t>
            </w:r>
          </w:p>
          <w:p w14:paraId="52EFAC0F" w14:textId="4910748B" w:rsidR="00981C3F" w:rsidRDefault="00101FE4" w:rsidP="00980F10">
            <w:pPr>
              <w:spacing w:before="120" w:after="120"/>
              <w:jc w:val="both"/>
              <w:rPr>
                <w:rFonts w:eastAsia="Times New Roman" w:cs="Arial"/>
                <w:szCs w:val="20"/>
              </w:rPr>
            </w:pPr>
            <w:r w:rsidRPr="00101FE4">
              <w:rPr>
                <w:rFonts w:eastAsia="Times New Roman" w:cs="Arial"/>
                <w:szCs w:val="20"/>
              </w:rPr>
              <w:t xml:space="preserve">Input from AKOMM indicates that local communication and dissemination actions have already taken place in support of the project’s visibility in the area. In addition to its participation in the project kick-off meeting and the signing of the cooperation agreements with NTUA and the Municipalities of Anogeia and Mylopotamos, AKOMM implemented communication and dissemination actions in late 2025 and supported the local visibility of RenoInGR through website and social media publications. The material shared shows that the project and its objectives were communicated publicly through </w:t>
            </w:r>
            <w:r w:rsidRPr="00101FE4">
              <w:rPr>
                <w:rFonts w:eastAsia="Times New Roman" w:cs="Arial"/>
                <w:szCs w:val="20"/>
              </w:rPr>
              <w:lastRenderedPageBreak/>
              <w:t>AKOMM’s channels, with emphasis on the role of the OSS/ΥΜΣ in supporting municipalities in the energy renovation of public buildings. Further visibility was also achieved through related local publicity involving the Municipalities of Anogeia and Mylopotamos. In January 2026, AKOMM also hosted NTUA representatives for the macro-level inspection of the buildings in the Municipalities of Anogeia and Mylopotamos, linking local communication with the practical progress of the pilot activities</w:t>
            </w:r>
            <w:r w:rsidR="00981C3F" w:rsidRPr="00981C3F">
              <w:rPr>
                <w:rFonts w:eastAsia="Times New Roman" w:cs="Arial"/>
                <w:szCs w:val="20"/>
              </w:rPr>
              <w:t>.</w:t>
            </w:r>
          </w:p>
          <w:p w14:paraId="7750B296" w14:textId="6FCCE77D" w:rsidR="00981C3F" w:rsidRPr="00350AD1" w:rsidRDefault="00981C3F" w:rsidP="00980F10">
            <w:pPr>
              <w:spacing w:before="120" w:after="120"/>
              <w:jc w:val="both"/>
              <w:rPr>
                <w:rFonts w:eastAsia="Times New Roman" w:cs="Arial"/>
                <w:b/>
                <w:bCs/>
                <w:color w:val="E36C0A" w:themeColor="accent6" w:themeShade="BF"/>
                <w:sz w:val="22"/>
                <w:lang w:val="el-GR"/>
              </w:rPr>
            </w:pPr>
            <w:r w:rsidRPr="00350AD1">
              <w:rPr>
                <w:rFonts w:eastAsia="Times New Roman" w:cs="Arial"/>
                <w:b/>
                <w:bCs/>
                <w:color w:val="E36C0A" w:themeColor="accent6" w:themeShade="BF"/>
                <w:sz w:val="22"/>
                <w:lang w:val="el-GR"/>
              </w:rPr>
              <w:t>[Απαιτείται υλικό από τους υπόλοιπους Δήμους και περιφέρειες]</w:t>
            </w:r>
          </w:p>
          <w:p w14:paraId="056B6269" w14:textId="77777777" w:rsidR="00101FE4" w:rsidRPr="00350AD1" w:rsidRDefault="00101FE4" w:rsidP="00980F10">
            <w:pPr>
              <w:spacing w:before="120" w:after="120"/>
              <w:jc w:val="both"/>
              <w:rPr>
                <w:rFonts w:eastAsia="Times New Roman" w:cs="Arial"/>
                <w:b/>
                <w:bCs/>
                <w:color w:val="E36C0A" w:themeColor="accent6" w:themeShade="BF"/>
                <w:sz w:val="22"/>
                <w:lang w:val="el-GR"/>
              </w:rPr>
            </w:pPr>
          </w:p>
          <w:p w14:paraId="52F911CE" w14:textId="067FC26B" w:rsidR="00101FE4" w:rsidRPr="00350AD1" w:rsidRDefault="00101FE4" w:rsidP="00980F10">
            <w:pPr>
              <w:spacing w:before="120" w:after="120"/>
              <w:jc w:val="both"/>
              <w:rPr>
                <w:rFonts w:eastAsia="Times New Roman" w:cs="Arial"/>
                <w:b/>
                <w:bCs/>
                <w:color w:val="E36C0A" w:themeColor="accent6" w:themeShade="BF"/>
                <w:sz w:val="22"/>
                <w:lang w:val="el-GR"/>
              </w:rPr>
            </w:pPr>
            <w:r w:rsidRPr="00350AD1">
              <w:rPr>
                <w:rFonts w:eastAsia="Times New Roman" w:cs="Arial"/>
                <w:b/>
                <w:bCs/>
                <w:color w:val="E36C0A" w:themeColor="accent6" w:themeShade="BF"/>
                <w:sz w:val="22"/>
                <w:lang w:val="el-GR"/>
              </w:rPr>
              <w:t>Σχόλιο προς ΕΥΔΙΤΗ – ΚΑΠΕ</w:t>
            </w:r>
          </w:p>
          <w:p w14:paraId="37D969F4" w14:textId="6BD1EDCF" w:rsidR="00101FE4" w:rsidRPr="00350AD1" w:rsidRDefault="00101FE4" w:rsidP="00980F10">
            <w:pPr>
              <w:spacing w:before="120" w:after="120"/>
              <w:jc w:val="both"/>
              <w:rPr>
                <w:rFonts w:eastAsia="Times New Roman" w:cs="Arial"/>
                <w:color w:val="E36C0A" w:themeColor="accent6" w:themeShade="BF"/>
                <w:szCs w:val="20"/>
                <w:lang w:val="el-GR"/>
              </w:rPr>
            </w:pPr>
            <w:r w:rsidRPr="00350AD1">
              <w:rPr>
                <w:rFonts w:eastAsia="Times New Roman" w:cs="Arial"/>
                <w:color w:val="E36C0A" w:themeColor="accent6" w:themeShade="BF"/>
                <w:szCs w:val="20"/>
                <w:lang w:val="el-GR"/>
              </w:rPr>
              <w:t>Παρακαλώ να προστεθεί οτιδήποτε θεωρείτε σχετικό</w:t>
            </w:r>
          </w:p>
          <w:p w14:paraId="4FA88DF2" w14:textId="77777777" w:rsidR="00981C3F" w:rsidRPr="00981C3F" w:rsidRDefault="00981C3F" w:rsidP="00980F10">
            <w:pPr>
              <w:spacing w:before="120" w:after="120"/>
              <w:jc w:val="both"/>
              <w:rPr>
                <w:rFonts w:eastAsia="Times New Roman" w:cs="Arial"/>
                <w:szCs w:val="20"/>
                <w:lang w:val="el-GR"/>
              </w:rPr>
            </w:pPr>
          </w:p>
          <w:p w14:paraId="74AADCB0" w14:textId="55FAD52B" w:rsidR="00981C3F" w:rsidRPr="00981C3F" w:rsidRDefault="00981C3F" w:rsidP="00980F10">
            <w:pPr>
              <w:spacing w:before="120" w:after="120"/>
              <w:jc w:val="both"/>
              <w:rPr>
                <w:rFonts w:eastAsia="Times New Roman" w:cs="Arial"/>
                <w:szCs w:val="20"/>
              </w:rPr>
            </w:pPr>
            <w:r w:rsidRPr="00981C3F">
              <w:rPr>
                <w:rFonts w:eastAsia="Times New Roman" w:cs="Arial"/>
                <w:szCs w:val="20"/>
              </w:rPr>
              <w:t>Although Limassol is not part of the Greek pilot implementation in the same way as the participating Greek municipalities, its local communication perspective is also relevant to Task 7.3. The information received from Limassol indicates that the municipality is exploring the creation of an info point in a central and visible location in the city, aimed at informing the public about the municipality’s actions towards climate neutrality by 2030. In the longer term, this point could also function as a local OSS-type nucleus for providing basic information and guidance on energy renovation and available support schemes. This perspective is important because it links citizen communication with the broader replication logic of the project and illustrates how local communication functions may gradually connect with future support structures.</w:t>
            </w:r>
          </w:p>
          <w:p w14:paraId="31B4841A" w14:textId="12D0B588" w:rsidR="00981C3F" w:rsidRPr="00981C3F" w:rsidRDefault="00981C3F" w:rsidP="00980F10">
            <w:pPr>
              <w:spacing w:before="120" w:after="120"/>
              <w:jc w:val="both"/>
              <w:rPr>
                <w:rFonts w:eastAsia="Times New Roman" w:cs="Arial"/>
                <w:szCs w:val="20"/>
              </w:rPr>
            </w:pPr>
            <w:r w:rsidRPr="00981C3F">
              <w:rPr>
                <w:rFonts w:eastAsia="Times New Roman" w:cs="Arial"/>
                <w:szCs w:val="20"/>
              </w:rPr>
              <w:t>At the same time, broader dissemination at municipal level was also supported through project-related communication actions involving KEDE. In particular, the online roundtable organised by KEDE on the energy upgrading of municipal buildings and the support offered through RenoInGR brought together the project consortium, participating municipalities and regions, as well as representatives of 95 municipalities that had expressed interest in the initiative. While this activity is not limited to direct communication with local citizens in the strict sense, it contributed significantly to broadening awareness of the project and increasing visibility of the RenoInGR support approach among local government actors, which is expected to facilitate subsequent local-level communication and uptake.</w:t>
            </w:r>
          </w:p>
          <w:p w14:paraId="1CA4B715" w14:textId="32A3011E" w:rsidR="00E22AA5" w:rsidRPr="007D500E" w:rsidRDefault="00E22AA5" w:rsidP="00980F10">
            <w:pPr>
              <w:spacing w:before="120" w:after="120"/>
              <w:rPr>
                <w:rFonts w:eastAsia="Times New Roman" w:cs="Arial"/>
                <w:b/>
                <w:bCs/>
                <w:color w:val="C0504D" w:themeColor="accent2"/>
                <w:sz w:val="18"/>
                <w:szCs w:val="18"/>
              </w:rPr>
            </w:pPr>
            <w:r w:rsidRPr="007D500E">
              <w:rPr>
                <w:rFonts w:eastAsia="Times New Roman" w:cs="Arial"/>
                <w:b/>
                <w:bCs/>
                <w:color w:val="C0504D" w:themeColor="accent2"/>
                <w:sz w:val="18"/>
                <w:szCs w:val="18"/>
              </w:rPr>
              <w:t>T</w:t>
            </w:r>
            <w:r w:rsidR="009D0A93" w:rsidRPr="007D500E">
              <w:rPr>
                <w:rFonts w:eastAsia="Times New Roman" w:cs="Arial"/>
                <w:b/>
                <w:bCs/>
                <w:color w:val="C0504D" w:themeColor="accent2"/>
                <w:sz w:val="18"/>
                <w:szCs w:val="18"/>
              </w:rPr>
              <w:t>7</w:t>
            </w:r>
            <w:r w:rsidRPr="007D500E">
              <w:rPr>
                <w:rFonts w:eastAsia="Times New Roman" w:cs="Arial"/>
                <w:b/>
                <w:bCs/>
                <w:color w:val="C0504D" w:themeColor="accent2"/>
                <w:sz w:val="18"/>
                <w:szCs w:val="18"/>
              </w:rPr>
              <w:t>.4 [</w:t>
            </w:r>
            <w:r w:rsidR="009D0A93" w:rsidRPr="007D500E">
              <w:rPr>
                <w:rFonts w:eastAsia="Times New Roman" w:cs="Arial"/>
                <w:b/>
                <w:bCs/>
                <w:color w:val="C0504D" w:themeColor="accent2"/>
                <w:sz w:val="18"/>
                <w:szCs w:val="18"/>
              </w:rPr>
              <w:t>Participation in Communication and Dissemination events at national and EU level</w:t>
            </w:r>
            <w:r w:rsidRPr="007D500E">
              <w:rPr>
                <w:rFonts w:eastAsia="Times New Roman" w:cs="Arial"/>
                <w:b/>
                <w:bCs/>
                <w:color w:val="C0504D" w:themeColor="accent2"/>
                <w:sz w:val="18"/>
                <w:szCs w:val="18"/>
              </w:rPr>
              <w:t>] [</w:t>
            </w:r>
            <w:r w:rsidR="002E0D16" w:rsidRPr="007D500E">
              <w:rPr>
                <w:rFonts w:eastAsia="Times New Roman" w:cs="Arial"/>
                <w:b/>
                <w:bCs/>
                <w:color w:val="C0504D" w:themeColor="accent2"/>
                <w:sz w:val="18"/>
                <w:szCs w:val="18"/>
              </w:rPr>
              <w:t>Not implemented</w:t>
            </w:r>
            <w:r w:rsidRPr="007D500E">
              <w:rPr>
                <w:rFonts w:eastAsia="Times New Roman" w:cs="Arial"/>
                <w:b/>
                <w:bCs/>
                <w:color w:val="C0504D" w:themeColor="accent2"/>
                <w:sz w:val="18"/>
                <w:szCs w:val="18"/>
              </w:rPr>
              <w:t>]</w:t>
            </w:r>
          </w:p>
          <w:p w14:paraId="14B4CFBC" w14:textId="77777777" w:rsidR="00D074B6" w:rsidRPr="00D074B6" w:rsidRDefault="00D074B6" w:rsidP="00980F10">
            <w:pPr>
              <w:spacing w:before="120" w:after="120"/>
              <w:jc w:val="both"/>
            </w:pPr>
            <w:r w:rsidRPr="00D074B6">
              <w:t>According to Annex 1, this task is planned to be implemented throughout the project lifetime, with particular emphasis on participation in selected national and EU-level events relevant to the project topic, as well as the organisation of two national workshops by KEDE supported by NTUA at a later stage of the project. During the present reporting period, no substantive activities were carried out under Task 7.4 that would qualify as implementation of the planned conference participation and workshop programme. This is consistent with the overall timing of the task and does not constitute a deviation from the planned implementation. The task is expected to progress in the subsequent project phases, when RenoInGR will participate more actively in relevant dissemination events and organise the national workshops foreseen in Annex 1.</w:t>
            </w:r>
          </w:p>
          <w:p w14:paraId="08E62520" w14:textId="34A8B103" w:rsidR="009D0A93" w:rsidRPr="007D500E" w:rsidRDefault="009D0A93" w:rsidP="00980F10">
            <w:pPr>
              <w:spacing w:before="120" w:after="120"/>
              <w:rPr>
                <w:rFonts w:eastAsia="Times New Roman" w:cs="Arial"/>
                <w:b/>
                <w:bCs/>
                <w:color w:val="C0504D" w:themeColor="accent2"/>
                <w:sz w:val="18"/>
                <w:szCs w:val="18"/>
              </w:rPr>
            </w:pPr>
            <w:r w:rsidRPr="007D500E">
              <w:rPr>
                <w:rFonts w:eastAsia="Times New Roman" w:cs="Arial"/>
                <w:b/>
                <w:bCs/>
                <w:color w:val="C0504D" w:themeColor="accent2"/>
                <w:sz w:val="18"/>
                <w:szCs w:val="18"/>
              </w:rPr>
              <w:t>T7.5 [Networking with other similar projects at EU level] ([Implemented])</w:t>
            </w:r>
          </w:p>
          <w:p w14:paraId="4A26F8C8" w14:textId="3A0F6804" w:rsidR="00D074B6" w:rsidRPr="00D074B6" w:rsidRDefault="00D074B6" w:rsidP="00980F10">
            <w:pPr>
              <w:spacing w:before="120" w:after="120"/>
              <w:jc w:val="both"/>
              <w:rPr>
                <w:rFonts w:eastAsia="Times New Roman" w:cs="Arial"/>
                <w:szCs w:val="20"/>
              </w:rPr>
            </w:pPr>
            <w:r w:rsidRPr="00D074B6">
              <w:rPr>
                <w:rFonts w:eastAsia="Times New Roman" w:cs="Arial"/>
                <w:szCs w:val="20"/>
              </w:rPr>
              <w:t xml:space="preserve">During the reporting period, Task 7.5 was implemented through the establishment of structured networking and knowledge-exchange activities with similar LIFE and ELENA projects at EU level, in </w:t>
            </w:r>
            <w:r w:rsidRPr="00D074B6">
              <w:rPr>
                <w:rFonts w:eastAsia="Times New Roman" w:cs="Arial"/>
                <w:szCs w:val="20"/>
              </w:rPr>
              <w:lastRenderedPageBreak/>
              <w:t>line with Annex 1. The task was led by NTUA, with the involvement of EUDITI and CRES, and resulted in the preparation and submission of Deliverable D7.6, which documents the networking activities undertaken, the lessons learnt and the ways in which these insights can support the RenoInGR project. The overall purpose of the task was to exchange ideas, operational experience and strategic insights on the development and functioning of One-Stop-Shop structures for public building renovation, with particular emphasis on governance, services, financing, stakeholder engagement and long-term sustainability.</w:t>
            </w:r>
          </w:p>
          <w:p w14:paraId="59EFA2CA" w14:textId="3DEEA4F0" w:rsidR="00D074B6" w:rsidRPr="00D074B6" w:rsidRDefault="00D074B6" w:rsidP="00980F10">
            <w:pPr>
              <w:spacing w:before="120" w:after="120"/>
              <w:jc w:val="both"/>
              <w:rPr>
                <w:rFonts w:eastAsia="Times New Roman" w:cs="Arial"/>
                <w:szCs w:val="20"/>
              </w:rPr>
            </w:pPr>
            <w:r w:rsidRPr="00D074B6">
              <w:rPr>
                <w:rFonts w:eastAsia="Times New Roman" w:cs="Arial"/>
                <w:szCs w:val="20"/>
              </w:rPr>
              <w:t xml:space="preserve">In practical terms, the networking activities were organised as targeted online exchanges with five selected European projects that were considered relevant to the RenoInGR approach. </w:t>
            </w:r>
            <w:r>
              <w:rPr>
                <w:rFonts w:eastAsia="Times New Roman" w:cs="Arial"/>
                <w:szCs w:val="20"/>
                <w:lang w:val="en-US"/>
              </w:rPr>
              <w:t>T</w:t>
            </w:r>
            <w:r w:rsidRPr="00D074B6">
              <w:rPr>
                <w:rFonts w:eastAsia="Times New Roman" w:cs="Arial"/>
                <w:szCs w:val="20"/>
              </w:rPr>
              <w:t>he selected projects were CROSSFIT (Portugal), GASLESS (Italy), CROSS (Croatia), BAOBAP (France) and JINAG / EnU (Czech Republic). These projects were selected on the basis of thematic relevance, operational maturity, diversity of governance and implementation models, and recommendations received from CINEA combined with an internal screening exercise by the RenoInGR team. The exchanges took place between December 2024 and April 2025 and were facilitated by NTUA. Each meeting typically included a presentation of RenoInGR, a presentation by the invited project, a thematic discussion guided by targeted questions and, where relevant, follow-up exchanges for clarification or additional information.</w:t>
            </w:r>
          </w:p>
          <w:p w14:paraId="4AA31D22" w14:textId="50771321" w:rsidR="00D074B6" w:rsidRPr="00D074B6" w:rsidRDefault="00D074B6" w:rsidP="00980F10">
            <w:pPr>
              <w:spacing w:before="120" w:after="120"/>
              <w:jc w:val="both"/>
              <w:rPr>
                <w:rFonts w:eastAsia="Times New Roman" w:cs="Arial"/>
                <w:szCs w:val="20"/>
              </w:rPr>
            </w:pPr>
            <w:r w:rsidRPr="00D074B6">
              <w:rPr>
                <w:rFonts w:eastAsia="Times New Roman" w:cs="Arial"/>
                <w:szCs w:val="20"/>
              </w:rPr>
              <w:t xml:space="preserve">The task did not treat these meetings as isolated dissemination contacts, but as a structured comparative learning process. As documented in D7.6, the RenoInGR team applied a thematic analytical framework in order to synthesise findings across the selected projects. The analysis was organised around key thematic axes, </w:t>
            </w:r>
            <w:r>
              <w:rPr>
                <w:rFonts w:eastAsia="Times New Roman" w:cs="Arial"/>
                <w:szCs w:val="20"/>
              </w:rPr>
              <w:t>such as</w:t>
            </w:r>
            <w:r w:rsidRPr="00D074B6">
              <w:rPr>
                <w:rFonts w:eastAsia="Times New Roman" w:cs="Arial"/>
                <w:szCs w:val="20"/>
              </w:rPr>
              <w:t xml:space="preserve"> institutional and governance frameworks, OSS operational design and digital readiness, project maturation approaches, stakeholder engagement strategies, financing schemes, sustainability and post-project continuity, and monitoring and evaluation mechanisms. This approach enabled the project to move beyond descriptive exchange and to identify recurring patterns, common barriers, and potentially transferable practices relevant to the Greek context.</w:t>
            </w:r>
          </w:p>
          <w:p w14:paraId="41A433A2" w14:textId="01444510" w:rsidR="00D074B6" w:rsidRPr="00D074B6" w:rsidRDefault="00D074B6" w:rsidP="00980F10">
            <w:pPr>
              <w:spacing w:before="120" w:after="120"/>
              <w:jc w:val="both"/>
              <w:rPr>
                <w:rFonts w:eastAsia="Times New Roman" w:cs="Arial"/>
                <w:szCs w:val="20"/>
              </w:rPr>
            </w:pPr>
            <w:r w:rsidRPr="00D074B6">
              <w:rPr>
                <w:rFonts w:eastAsia="Times New Roman" w:cs="Arial"/>
                <w:szCs w:val="20"/>
              </w:rPr>
              <w:t xml:space="preserve">The networking activities generated substantial and actionable insights for RenoInGR. </w:t>
            </w:r>
            <w:r>
              <w:rPr>
                <w:rFonts w:eastAsia="Times New Roman" w:cs="Arial"/>
                <w:szCs w:val="20"/>
              </w:rPr>
              <w:t>T</w:t>
            </w:r>
            <w:r w:rsidRPr="00D074B6">
              <w:rPr>
                <w:rFonts w:eastAsia="Times New Roman" w:cs="Arial"/>
                <w:szCs w:val="20"/>
              </w:rPr>
              <w:t>he exchanges highlighted the importance of embedding OSS structures within recognised institutional settings, the need to combine physical support services with low-tech and user-oriented digital tools, and the necessity of building municipal readiness and internal capacity in parallel. They also underlined that municipalities often face serious technical and administrative constraints, including fragmented building data, weak project preparation capacity and limited familiarity with complex procurement and financing schemes. The findings further showed that effective engagement strategies are based less on generic open calls and more on trust, proximity, direct support and locally adapted facilitation. In addition, the exchanges provided useful reflections on financing models, including the limits of overly complex ESCO-based approaches in certain legal environments, and the importance of aligning financial support mechanisms with national and local realities.</w:t>
            </w:r>
          </w:p>
          <w:p w14:paraId="485C20FA" w14:textId="0ED16E34" w:rsidR="00D074B6" w:rsidRPr="00D074B6" w:rsidRDefault="00D074B6" w:rsidP="00980F10">
            <w:pPr>
              <w:spacing w:before="120" w:after="120"/>
              <w:jc w:val="both"/>
              <w:rPr>
                <w:rFonts w:eastAsia="Times New Roman" w:cs="Arial"/>
                <w:szCs w:val="20"/>
              </w:rPr>
            </w:pPr>
            <w:r w:rsidRPr="00D074B6">
              <w:rPr>
                <w:rFonts w:eastAsia="Times New Roman" w:cs="Arial"/>
                <w:szCs w:val="20"/>
              </w:rPr>
              <w:t>Importantly, D7.6 does not only summarise lessons learnt</w:t>
            </w:r>
            <w:r>
              <w:rPr>
                <w:rFonts w:eastAsia="Times New Roman" w:cs="Arial"/>
                <w:szCs w:val="20"/>
              </w:rPr>
              <w:t>.</w:t>
            </w:r>
            <w:r w:rsidRPr="00D074B6">
              <w:rPr>
                <w:rFonts w:eastAsia="Times New Roman" w:cs="Arial"/>
                <w:szCs w:val="20"/>
              </w:rPr>
              <w:t xml:space="preserve"> </w:t>
            </w:r>
            <w:r>
              <w:rPr>
                <w:rFonts w:eastAsia="Times New Roman" w:cs="Arial"/>
                <w:szCs w:val="20"/>
              </w:rPr>
              <w:t>I</w:t>
            </w:r>
            <w:r w:rsidRPr="00D074B6">
              <w:rPr>
                <w:rFonts w:eastAsia="Times New Roman" w:cs="Arial"/>
                <w:szCs w:val="20"/>
              </w:rPr>
              <w:t xml:space="preserve">t also formulates explicit recommendations for the RenoInGR project. These include the need to embed the OSS in recognised institutional structures, start with low-tech but high-impact operational tools, build internal capacity and municipal readiness simultaneously, design engagement mechanisms around trust and proximity, align financial tools with Greek realities, and plan early for transition and long-term ownership after the end of the project. The deliverable therefore functions as a strategic input to the wider implementation of RenoInGR and is intended to feed into other work packages, including those related to OSS service design, stakeholder engagement, sustainability and replication. In this sense, </w:t>
            </w:r>
            <w:r w:rsidRPr="00D074B6">
              <w:rPr>
                <w:rFonts w:eastAsia="Times New Roman" w:cs="Arial"/>
                <w:szCs w:val="20"/>
              </w:rPr>
              <w:lastRenderedPageBreak/>
              <w:t>Task 7.5 has already produced a concrete and useful result for the project, and no major deviation from Annex 1 is identified for the present reporting period.</w:t>
            </w:r>
          </w:p>
          <w:p w14:paraId="72CF51EC" w14:textId="1B755CCF" w:rsidR="00E22AA5" w:rsidRPr="00D074B6" w:rsidRDefault="00D074B6" w:rsidP="00980F10">
            <w:pPr>
              <w:spacing w:before="120" w:after="120"/>
              <w:jc w:val="both"/>
              <w:rPr>
                <w:rFonts w:eastAsia="Times New Roman" w:cs="Arial"/>
                <w:szCs w:val="20"/>
                <w:lang w:val="en-US"/>
              </w:rPr>
            </w:pPr>
            <w:r>
              <w:rPr>
                <w:rFonts w:eastAsia="Times New Roman" w:cs="Arial"/>
                <w:szCs w:val="20"/>
              </w:rPr>
              <w:t>In conclusion</w:t>
            </w:r>
            <w:r w:rsidRPr="00D074B6">
              <w:rPr>
                <w:rFonts w:eastAsia="Times New Roman" w:cs="Arial"/>
                <w:szCs w:val="20"/>
              </w:rPr>
              <w:t xml:space="preserve">, Task 7.5 was implemented as planned for the current phase of the project. </w:t>
            </w:r>
            <w:r>
              <w:rPr>
                <w:rFonts w:eastAsia="Times New Roman" w:cs="Arial"/>
                <w:szCs w:val="20"/>
              </w:rPr>
              <w:t>By</w:t>
            </w:r>
            <w:r w:rsidRPr="00D074B6">
              <w:rPr>
                <w:rFonts w:eastAsia="Times New Roman" w:cs="Arial"/>
                <w:szCs w:val="20"/>
              </w:rPr>
              <w:t xml:space="preserve"> a structured series of exchanges with comparable European initiatives, RenoInGR was able to gather, synthesise and operationalise knowledge relevant to its own design and implementation pathway. The activity also created the basis for continued networking and potential future cooperation with similar projects, in line with the broader communication and knowledge-transfer objectives of WP7</w:t>
            </w:r>
            <w:r>
              <w:rPr>
                <w:rFonts w:eastAsia="Times New Roman" w:cs="Arial"/>
                <w:szCs w:val="20"/>
              </w:rPr>
              <w:t>.</w:t>
            </w:r>
          </w:p>
        </w:tc>
      </w:tr>
      <w:tr w:rsidR="00E22AA5" w:rsidRPr="00200D1C" w14:paraId="6C8D83ED" w14:textId="77777777" w:rsidTr="00881652">
        <w:tc>
          <w:tcPr>
            <w:tcW w:w="1659" w:type="pct"/>
            <w:shd w:val="clear" w:color="auto" w:fill="E6E6E6"/>
          </w:tcPr>
          <w:p w14:paraId="4BBCAF97" w14:textId="77777777" w:rsidR="00E22AA5" w:rsidRPr="00502422" w:rsidRDefault="00E22AA5" w:rsidP="00881652">
            <w:pPr>
              <w:spacing w:before="120" w:after="120" w:line="240" w:lineRule="auto"/>
              <w:rPr>
                <w:rFonts w:eastAsia="Times New Roman" w:cs="Arial"/>
                <w:color w:val="595959"/>
                <w:sz w:val="18"/>
                <w:szCs w:val="18"/>
              </w:rPr>
            </w:pPr>
            <w:r>
              <w:rPr>
                <w:rFonts w:eastAsia="Times New Roman" w:cs="Arial"/>
                <w:color w:val="595959"/>
                <w:sz w:val="18"/>
                <w:szCs w:val="18"/>
              </w:rPr>
              <w:lastRenderedPageBreak/>
              <w:t>Other issues</w:t>
            </w:r>
            <w:r w:rsidRPr="00502422">
              <w:rPr>
                <w:rFonts w:eastAsia="Times New Roman" w:cs="Arial"/>
                <w:color w:val="595959"/>
                <w:sz w:val="18"/>
                <w:szCs w:val="18"/>
              </w:rPr>
              <w:t xml:space="preserve"> </w:t>
            </w:r>
          </w:p>
          <w:p w14:paraId="20A90F1F" w14:textId="77777777" w:rsidR="00E22AA5" w:rsidRDefault="00E22AA5" w:rsidP="00881652">
            <w:pPr>
              <w:spacing w:before="120" w:after="120" w:line="240" w:lineRule="auto"/>
              <w:rPr>
                <w:rFonts w:eastAsia="Times New Roman" w:cs="Arial"/>
                <w:b/>
                <w:bCs/>
                <w:color w:val="595959"/>
                <w:sz w:val="18"/>
                <w:szCs w:val="18"/>
              </w:rPr>
            </w:pPr>
            <w:r w:rsidRPr="51F6A2C3">
              <w:rPr>
                <w:rFonts w:eastAsia="Times New Roman" w:cs="Arial"/>
                <w:i/>
                <w:iCs/>
                <w:color w:val="595959"/>
                <w:sz w:val="16"/>
                <w:szCs w:val="16"/>
              </w:rPr>
              <w:t xml:space="preserve">Mention and explain unexpected events and adjustments that had to be made. Explain impact on other </w:t>
            </w:r>
            <w:r w:rsidRPr="00AF2ECC">
              <w:rPr>
                <w:rFonts w:eastAsia="Times New Roman" w:cs="Arial"/>
                <w:i/>
                <w:iCs/>
                <w:color w:val="595959"/>
                <w:sz w:val="16"/>
                <w:szCs w:val="16"/>
              </w:rPr>
              <w:t xml:space="preserve">tasks, available resources and planning/timing. </w:t>
            </w:r>
            <w:r w:rsidRPr="00AF2ECC">
              <w:rPr>
                <w:rFonts w:cs="Arial"/>
                <w:i/>
                <w:iCs/>
                <w:sz w:val="16"/>
                <w:szCs w:val="16"/>
              </w:rPr>
              <w:t>In case of major deviations from the planned budget, please refer to section 4.3.</w:t>
            </w:r>
          </w:p>
        </w:tc>
        <w:tc>
          <w:tcPr>
            <w:tcW w:w="3341" w:type="pct"/>
            <w:shd w:val="clear" w:color="auto" w:fill="FFFFFF" w:themeFill="background1"/>
          </w:tcPr>
          <w:p w14:paraId="10B5D4E2" w14:textId="77777777" w:rsidR="00E22AA5" w:rsidRPr="00B41F58" w:rsidRDefault="00E22AA5" w:rsidP="00881652">
            <w:pPr>
              <w:spacing w:before="120" w:after="120" w:line="240" w:lineRule="auto"/>
              <w:ind w:right="4"/>
              <w:jc w:val="both"/>
              <w:rPr>
                <w:rFonts w:eastAsia="Calibri" w:cs="Arial"/>
                <w:color w:val="595959"/>
                <w:sz w:val="18"/>
                <w:szCs w:val="18"/>
              </w:rPr>
            </w:pPr>
            <w:r w:rsidRPr="00B41F58">
              <w:rPr>
                <w:rFonts w:eastAsia="Calibri" w:cs="Arial"/>
                <w:color w:val="595959"/>
                <w:sz w:val="18"/>
                <w:szCs w:val="18"/>
              </w:rPr>
              <w:t>Insert text</w:t>
            </w:r>
          </w:p>
          <w:p w14:paraId="2AB4938E" w14:textId="77777777" w:rsidR="00E22AA5" w:rsidRPr="00B41F58" w:rsidRDefault="00E22AA5" w:rsidP="00881652">
            <w:pPr>
              <w:spacing w:before="120" w:after="120" w:line="240" w:lineRule="auto"/>
              <w:rPr>
                <w:rFonts w:eastAsia="Times New Roman" w:cs="Arial"/>
                <w:color w:val="595959"/>
                <w:sz w:val="18"/>
                <w:szCs w:val="20"/>
              </w:rPr>
            </w:pPr>
          </w:p>
        </w:tc>
      </w:tr>
      <w:tr w:rsidR="00E22AA5" w:rsidRPr="00200D1C" w14:paraId="207F522B" w14:textId="77777777" w:rsidTr="00881652">
        <w:tc>
          <w:tcPr>
            <w:tcW w:w="5000" w:type="pct"/>
            <w:gridSpan w:val="2"/>
            <w:shd w:val="clear" w:color="auto" w:fill="D9D9D9" w:themeFill="background1" w:themeFillShade="D9"/>
          </w:tcPr>
          <w:p w14:paraId="0C0B1708" w14:textId="77777777" w:rsidR="00E22AA5" w:rsidRPr="00C93CB0" w:rsidRDefault="00E22AA5" w:rsidP="00881652">
            <w:pPr>
              <w:spacing w:before="120" w:after="120" w:line="240" w:lineRule="auto"/>
              <w:rPr>
                <w:rFonts w:eastAsia="Times New Roman" w:cs="Arial"/>
                <w:b/>
                <w:bCs/>
                <w:color w:val="595959"/>
                <w:sz w:val="18"/>
                <w:szCs w:val="18"/>
              </w:rPr>
            </w:pPr>
            <w:r w:rsidRPr="51F6A2C3">
              <w:rPr>
                <w:rFonts w:eastAsia="Times New Roman" w:cs="Arial"/>
                <w:b/>
                <w:bCs/>
                <w:color w:val="595959"/>
                <w:sz w:val="18"/>
                <w:szCs w:val="18"/>
              </w:rPr>
              <w:t xml:space="preserve">Milestones and deliverables </w:t>
            </w:r>
            <w:r w:rsidRPr="51F6A2C3">
              <w:rPr>
                <w:rFonts w:cs="Arial"/>
                <w:b/>
                <w:bCs/>
                <w:sz w:val="18"/>
                <w:szCs w:val="18"/>
              </w:rPr>
              <w:t>(outputs/outcomes)</w:t>
            </w:r>
          </w:p>
        </w:tc>
      </w:tr>
      <w:tr w:rsidR="00E22AA5" w:rsidRPr="00BC0C16" w14:paraId="7CBEE453" w14:textId="77777777" w:rsidTr="00881652">
        <w:trPr>
          <w:trHeight w:val="37"/>
        </w:trPr>
        <w:tc>
          <w:tcPr>
            <w:tcW w:w="5000" w:type="pct"/>
            <w:gridSpan w:val="2"/>
            <w:shd w:val="clear" w:color="auto" w:fill="F2F2F2" w:themeFill="background1" w:themeFillShade="F2"/>
          </w:tcPr>
          <w:p w14:paraId="4F80014E" w14:textId="77777777" w:rsidR="00E22AA5" w:rsidRPr="00C93CB0" w:rsidRDefault="00E22AA5" w:rsidP="00881652">
            <w:pPr>
              <w:spacing w:before="120" w:after="120" w:line="240" w:lineRule="auto"/>
              <w:rPr>
                <w:rFonts w:cs="Arial"/>
                <w:sz w:val="16"/>
                <w:szCs w:val="16"/>
              </w:rPr>
            </w:pPr>
            <w:r w:rsidRPr="00C93CB0">
              <w:rPr>
                <w:rFonts w:cs="Arial"/>
                <w:sz w:val="18"/>
                <w:szCs w:val="18"/>
              </w:rPr>
              <w:t>See Technical Report (Part A).</w:t>
            </w:r>
          </w:p>
        </w:tc>
      </w:tr>
    </w:tbl>
    <w:p w14:paraId="744752FF" w14:textId="77777777" w:rsidR="00E22AA5" w:rsidRDefault="00E22AA5" w:rsidP="00E22AA5">
      <w:pPr>
        <w:rPr>
          <w:rFonts w:eastAsia="Times New Roman" w:cs="Arial"/>
          <w:sz w:val="18"/>
          <w:szCs w:val="18"/>
          <w:lang w:eastAsia="en-GB"/>
        </w:rPr>
      </w:pPr>
    </w:p>
    <w:p w14:paraId="37A5B1D1" w14:textId="77777777" w:rsidR="00E22AA5" w:rsidRDefault="00E22AA5" w:rsidP="00E22AA5">
      <w:pPr>
        <w:rPr>
          <w:rFonts w:eastAsia="Times New Roman" w:cs="Arial"/>
          <w:sz w:val="18"/>
          <w:szCs w:val="18"/>
          <w:lang w:eastAsia="en-GB"/>
        </w:rPr>
      </w:pPr>
    </w:p>
    <w:bookmarkEnd w:id="62"/>
    <w:p w14:paraId="4773E048" w14:textId="053A6353" w:rsidR="00E22AA5" w:rsidRPr="00E22AA5" w:rsidRDefault="00E22AA5" w:rsidP="00E22AA5">
      <w:pPr>
        <w:rPr>
          <w:rFonts w:eastAsia="Times New Roman" w:cs="Arial"/>
          <w:sz w:val="18"/>
          <w:szCs w:val="18"/>
          <w:lang w:eastAsia="en-GB"/>
        </w:rPr>
        <w:sectPr w:rsidR="00E22AA5" w:rsidRPr="00E22AA5" w:rsidSect="00C55000">
          <w:pgSz w:w="12240" w:h="15840" w:code="1"/>
          <w:pgMar w:top="1588" w:right="1276" w:bottom="1588" w:left="1560" w:header="720" w:footer="1010" w:gutter="0"/>
          <w:cols w:space="720"/>
          <w:noEndnote/>
          <w:docGrid w:linePitch="326"/>
        </w:sectPr>
      </w:pPr>
    </w:p>
    <w:p w14:paraId="436FF310" w14:textId="77777777" w:rsidR="00F05977" w:rsidRPr="003E2A8C" w:rsidRDefault="00C97D55" w:rsidP="003E2A8C">
      <w:pPr>
        <w:pStyle w:val="Heading4"/>
      </w:pPr>
      <w:bookmarkStart w:id="63" w:name="_Toc95087016"/>
      <w:bookmarkStart w:id="64" w:name="_Toc101694495"/>
      <w:bookmarkStart w:id="65" w:name="_Toc101700752"/>
      <w:bookmarkStart w:id="66" w:name="_Toc101704269"/>
      <w:bookmarkStart w:id="67" w:name="_Toc101704401"/>
      <w:bookmarkStart w:id="68" w:name="_Toc101960590"/>
      <w:bookmarkStart w:id="69" w:name="_Toc101960720"/>
      <w:bookmarkStart w:id="70" w:name="_Toc101961512"/>
      <w:bookmarkStart w:id="71" w:name="_Toc101961636"/>
      <w:bookmarkEnd w:id="63"/>
      <w:bookmarkEnd w:id="64"/>
      <w:bookmarkEnd w:id="65"/>
      <w:bookmarkEnd w:id="66"/>
      <w:bookmarkEnd w:id="67"/>
      <w:bookmarkEnd w:id="68"/>
      <w:bookmarkEnd w:id="69"/>
      <w:bookmarkEnd w:id="70"/>
      <w:bookmarkEnd w:id="71"/>
      <w:r w:rsidRPr="00E315A4">
        <w:rPr>
          <w:i w:val="0"/>
          <w:color w:val="4AA55B"/>
          <w:sz w:val="16"/>
          <w:szCs w:val="16"/>
        </w:rPr>
        <w:lastRenderedPageBreak/>
        <w:t xml:space="preserve"> </w:t>
      </w:r>
      <w:bookmarkStart w:id="72" w:name="_Toc95087017"/>
      <w:bookmarkStart w:id="73" w:name="_Toc227846976"/>
      <w:r w:rsidR="00A52D5D" w:rsidRPr="003D0600">
        <w:t>Timetable</w:t>
      </w:r>
      <w:bookmarkEnd w:id="72"/>
      <w:bookmarkEnd w:id="73"/>
    </w:p>
    <w:p w14:paraId="03F6AC27" w14:textId="77777777" w:rsidR="00F05977" w:rsidRDefault="00F05977" w:rsidP="00325682">
      <w:pPr>
        <w:rPr>
          <w:lang w:eastAsia="en-GB"/>
        </w:rPr>
      </w:pPr>
    </w:p>
    <w:tbl>
      <w:tblPr>
        <w:tblW w:w="12635" w:type="dxa"/>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4A0" w:firstRow="1" w:lastRow="0" w:firstColumn="1" w:lastColumn="0" w:noHBand="0" w:noVBand="1"/>
      </w:tblPr>
      <w:tblGrid>
        <w:gridCol w:w="1864"/>
        <w:gridCol w:w="706"/>
        <w:gridCol w:w="8"/>
        <w:gridCol w:w="701"/>
        <w:gridCol w:w="709"/>
        <w:gridCol w:w="733"/>
        <w:gridCol w:w="543"/>
        <w:gridCol w:w="567"/>
        <w:gridCol w:w="567"/>
        <w:gridCol w:w="680"/>
        <w:gridCol w:w="692"/>
        <w:gridCol w:w="754"/>
        <w:gridCol w:w="709"/>
        <w:gridCol w:w="567"/>
        <w:gridCol w:w="708"/>
        <w:gridCol w:w="709"/>
        <w:gridCol w:w="709"/>
        <w:gridCol w:w="709"/>
      </w:tblGrid>
      <w:tr w:rsidR="006E020E" w:rsidRPr="00626FCE" w14:paraId="7F4010CA" w14:textId="77777777" w:rsidTr="00035227">
        <w:trPr>
          <w:trHeight w:val="614"/>
        </w:trPr>
        <w:tc>
          <w:tcPr>
            <w:tcW w:w="1864" w:type="dxa"/>
            <w:vMerge w:val="restart"/>
            <w:shd w:val="clear" w:color="auto" w:fill="D9D9D9" w:themeFill="background1" w:themeFillShade="D9"/>
          </w:tcPr>
          <w:p w14:paraId="6D0FBB4D" w14:textId="77777777" w:rsidR="006E020E" w:rsidRPr="00626FCE" w:rsidRDefault="006E020E" w:rsidP="00626FCE">
            <w:pPr>
              <w:spacing w:before="120" w:after="120"/>
              <w:jc w:val="center"/>
              <w:rPr>
                <w:b/>
                <w:bCs/>
                <w:sz w:val="16"/>
                <w:szCs w:val="16"/>
              </w:rPr>
            </w:pPr>
            <w:r w:rsidRPr="003E2A8C">
              <w:rPr>
                <w:b/>
                <w:bCs/>
                <w:sz w:val="18"/>
                <w:szCs w:val="16"/>
              </w:rPr>
              <w:t>ACTIVITY</w:t>
            </w:r>
          </w:p>
        </w:tc>
        <w:tc>
          <w:tcPr>
            <w:tcW w:w="2857" w:type="dxa"/>
            <w:gridSpan w:val="5"/>
            <w:shd w:val="clear" w:color="auto" w:fill="E6E6E6"/>
            <w:noWrap/>
          </w:tcPr>
          <w:p w14:paraId="0F91628A" w14:textId="77777777" w:rsidR="006E020E" w:rsidRPr="00626FCE" w:rsidRDefault="006E020E" w:rsidP="00626FCE">
            <w:pPr>
              <w:spacing w:before="120" w:after="120"/>
              <w:jc w:val="center"/>
              <w:rPr>
                <w:b/>
                <w:bCs/>
                <w:sz w:val="16"/>
                <w:szCs w:val="16"/>
              </w:rPr>
            </w:pPr>
            <w:r w:rsidRPr="00626FCE">
              <w:rPr>
                <w:b/>
                <w:bCs/>
                <w:sz w:val="16"/>
                <w:szCs w:val="16"/>
              </w:rPr>
              <w:t>YEAR 1</w:t>
            </w:r>
          </w:p>
        </w:tc>
        <w:tc>
          <w:tcPr>
            <w:tcW w:w="2357" w:type="dxa"/>
            <w:gridSpan w:val="4"/>
            <w:shd w:val="clear" w:color="auto" w:fill="E6E6E6"/>
          </w:tcPr>
          <w:p w14:paraId="577E1023" w14:textId="77777777" w:rsidR="006E020E" w:rsidRPr="00626FCE" w:rsidRDefault="006E020E" w:rsidP="00626FCE">
            <w:pPr>
              <w:spacing w:before="120" w:after="120"/>
              <w:jc w:val="center"/>
              <w:rPr>
                <w:b/>
                <w:bCs/>
                <w:sz w:val="16"/>
                <w:szCs w:val="16"/>
              </w:rPr>
            </w:pPr>
            <w:r w:rsidRPr="00626FCE">
              <w:rPr>
                <w:b/>
                <w:bCs/>
                <w:sz w:val="16"/>
                <w:szCs w:val="16"/>
              </w:rPr>
              <w:t>YEAR 2</w:t>
            </w:r>
          </w:p>
        </w:tc>
        <w:tc>
          <w:tcPr>
            <w:tcW w:w="2722" w:type="dxa"/>
            <w:gridSpan w:val="4"/>
            <w:shd w:val="clear" w:color="auto" w:fill="E6E6E6"/>
          </w:tcPr>
          <w:p w14:paraId="1A3DFDE9" w14:textId="77777777" w:rsidR="006E020E" w:rsidRPr="00626FCE" w:rsidRDefault="006E020E" w:rsidP="00626FCE">
            <w:pPr>
              <w:spacing w:before="120" w:after="120"/>
              <w:jc w:val="center"/>
              <w:rPr>
                <w:b/>
                <w:bCs/>
                <w:sz w:val="16"/>
                <w:szCs w:val="16"/>
              </w:rPr>
            </w:pPr>
            <w:r w:rsidRPr="00626FCE">
              <w:rPr>
                <w:b/>
                <w:bCs/>
                <w:sz w:val="16"/>
                <w:szCs w:val="16"/>
              </w:rPr>
              <w:t>YEAR 3</w:t>
            </w:r>
          </w:p>
        </w:tc>
        <w:tc>
          <w:tcPr>
            <w:tcW w:w="2835" w:type="dxa"/>
            <w:gridSpan w:val="4"/>
            <w:shd w:val="clear" w:color="auto" w:fill="E6E6E6"/>
          </w:tcPr>
          <w:p w14:paraId="57429C66" w14:textId="77777777" w:rsidR="006E020E" w:rsidRPr="00626FCE" w:rsidRDefault="006E020E" w:rsidP="00626FCE">
            <w:pPr>
              <w:spacing w:before="120" w:after="120"/>
              <w:jc w:val="center"/>
              <w:rPr>
                <w:b/>
                <w:bCs/>
                <w:sz w:val="16"/>
                <w:szCs w:val="16"/>
              </w:rPr>
            </w:pPr>
            <w:r w:rsidRPr="00626FCE">
              <w:rPr>
                <w:b/>
                <w:bCs/>
                <w:sz w:val="16"/>
                <w:szCs w:val="16"/>
              </w:rPr>
              <w:t>YEAR 4</w:t>
            </w:r>
          </w:p>
        </w:tc>
      </w:tr>
      <w:tr w:rsidR="00035227" w:rsidRPr="00626FCE" w14:paraId="6266DF4E" w14:textId="77777777" w:rsidTr="00035227">
        <w:trPr>
          <w:trHeight w:val="614"/>
        </w:trPr>
        <w:tc>
          <w:tcPr>
            <w:tcW w:w="1864" w:type="dxa"/>
            <w:vMerge/>
            <w:shd w:val="clear" w:color="auto" w:fill="D9D9D9"/>
            <w:hideMark/>
          </w:tcPr>
          <w:p w14:paraId="57D104CD" w14:textId="77777777" w:rsidR="006E020E" w:rsidRPr="00626FCE" w:rsidRDefault="006E020E" w:rsidP="00626FCE">
            <w:pPr>
              <w:spacing w:before="240" w:after="120"/>
              <w:jc w:val="center"/>
              <w:rPr>
                <w:b/>
                <w:sz w:val="16"/>
                <w:szCs w:val="16"/>
              </w:rPr>
            </w:pPr>
          </w:p>
        </w:tc>
        <w:tc>
          <w:tcPr>
            <w:tcW w:w="706" w:type="dxa"/>
            <w:shd w:val="clear" w:color="auto" w:fill="E6E6E6"/>
            <w:noWrap/>
            <w:hideMark/>
          </w:tcPr>
          <w:p w14:paraId="08B20A36" w14:textId="77777777" w:rsidR="006E020E" w:rsidRPr="00DD4FCD" w:rsidRDefault="006E020E" w:rsidP="00626FCE">
            <w:pPr>
              <w:spacing w:before="120" w:after="120"/>
              <w:jc w:val="center"/>
              <w:rPr>
                <w:b/>
                <w:bCs/>
                <w:sz w:val="16"/>
                <w:szCs w:val="16"/>
              </w:rPr>
            </w:pPr>
            <w:r w:rsidRPr="00DD4FCD">
              <w:rPr>
                <w:b/>
                <w:bCs/>
                <w:sz w:val="16"/>
                <w:szCs w:val="16"/>
              </w:rPr>
              <w:t>Q 1</w:t>
            </w:r>
          </w:p>
        </w:tc>
        <w:tc>
          <w:tcPr>
            <w:tcW w:w="709" w:type="dxa"/>
            <w:gridSpan w:val="2"/>
            <w:shd w:val="clear" w:color="auto" w:fill="E6E6E6"/>
          </w:tcPr>
          <w:p w14:paraId="313E7603" w14:textId="77777777" w:rsidR="006E020E" w:rsidRPr="00DD4FCD" w:rsidRDefault="006E020E" w:rsidP="00626FCE">
            <w:pPr>
              <w:spacing w:before="120" w:after="120"/>
              <w:jc w:val="center"/>
              <w:rPr>
                <w:b/>
                <w:bCs/>
                <w:sz w:val="16"/>
                <w:szCs w:val="16"/>
              </w:rPr>
            </w:pPr>
            <w:r w:rsidRPr="00DD4FCD">
              <w:rPr>
                <w:b/>
                <w:bCs/>
                <w:sz w:val="16"/>
                <w:szCs w:val="16"/>
              </w:rPr>
              <w:t>Q 2</w:t>
            </w:r>
          </w:p>
        </w:tc>
        <w:tc>
          <w:tcPr>
            <w:tcW w:w="709" w:type="dxa"/>
            <w:shd w:val="clear" w:color="auto" w:fill="E6E6E6"/>
          </w:tcPr>
          <w:p w14:paraId="44421400" w14:textId="77777777" w:rsidR="006E020E" w:rsidRPr="00DD4FCD" w:rsidRDefault="006E020E" w:rsidP="00626FCE">
            <w:pPr>
              <w:spacing w:before="120" w:after="120"/>
              <w:jc w:val="center"/>
              <w:rPr>
                <w:b/>
                <w:bCs/>
                <w:sz w:val="16"/>
                <w:szCs w:val="16"/>
              </w:rPr>
            </w:pPr>
            <w:r w:rsidRPr="00DD4FCD">
              <w:rPr>
                <w:b/>
                <w:bCs/>
                <w:sz w:val="16"/>
                <w:szCs w:val="16"/>
              </w:rPr>
              <w:t>Q 3</w:t>
            </w:r>
          </w:p>
        </w:tc>
        <w:tc>
          <w:tcPr>
            <w:tcW w:w="733" w:type="dxa"/>
            <w:shd w:val="clear" w:color="auto" w:fill="E6E6E6"/>
          </w:tcPr>
          <w:p w14:paraId="360625B5" w14:textId="77777777" w:rsidR="006E020E" w:rsidRPr="00DD4FCD" w:rsidRDefault="006E020E" w:rsidP="00626FCE">
            <w:pPr>
              <w:spacing w:before="120" w:after="120"/>
              <w:jc w:val="center"/>
              <w:rPr>
                <w:b/>
                <w:bCs/>
                <w:sz w:val="16"/>
                <w:szCs w:val="16"/>
              </w:rPr>
            </w:pPr>
            <w:r w:rsidRPr="00DD4FCD">
              <w:rPr>
                <w:b/>
                <w:bCs/>
                <w:sz w:val="16"/>
                <w:szCs w:val="16"/>
              </w:rPr>
              <w:t>Q 4</w:t>
            </w:r>
          </w:p>
        </w:tc>
        <w:tc>
          <w:tcPr>
            <w:tcW w:w="543" w:type="dxa"/>
            <w:shd w:val="clear" w:color="auto" w:fill="E6E6E6"/>
          </w:tcPr>
          <w:p w14:paraId="24E16533" w14:textId="77777777" w:rsidR="006E020E" w:rsidRPr="00DD4FCD" w:rsidRDefault="006E020E" w:rsidP="00626FCE">
            <w:pPr>
              <w:spacing w:before="120" w:after="120"/>
              <w:jc w:val="center"/>
              <w:rPr>
                <w:b/>
                <w:bCs/>
                <w:sz w:val="16"/>
                <w:szCs w:val="16"/>
              </w:rPr>
            </w:pPr>
            <w:r w:rsidRPr="00DD4FCD">
              <w:rPr>
                <w:b/>
                <w:bCs/>
                <w:sz w:val="16"/>
                <w:szCs w:val="16"/>
              </w:rPr>
              <w:t>Q 1</w:t>
            </w:r>
          </w:p>
        </w:tc>
        <w:tc>
          <w:tcPr>
            <w:tcW w:w="567" w:type="dxa"/>
            <w:shd w:val="clear" w:color="auto" w:fill="E6E6E6"/>
          </w:tcPr>
          <w:p w14:paraId="75F42433" w14:textId="77777777" w:rsidR="006E020E" w:rsidRPr="00DD4FCD" w:rsidRDefault="006E020E" w:rsidP="00626FCE">
            <w:pPr>
              <w:spacing w:before="120" w:after="120"/>
              <w:jc w:val="center"/>
              <w:rPr>
                <w:b/>
                <w:bCs/>
                <w:sz w:val="16"/>
                <w:szCs w:val="16"/>
              </w:rPr>
            </w:pPr>
            <w:r w:rsidRPr="00DD4FCD">
              <w:rPr>
                <w:b/>
                <w:bCs/>
                <w:sz w:val="16"/>
                <w:szCs w:val="16"/>
              </w:rPr>
              <w:t>Q 2</w:t>
            </w:r>
          </w:p>
        </w:tc>
        <w:tc>
          <w:tcPr>
            <w:tcW w:w="567" w:type="dxa"/>
            <w:shd w:val="clear" w:color="auto" w:fill="E6E6E6"/>
          </w:tcPr>
          <w:p w14:paraId="321DAE17" w14:textId="77777777" w:rsidR="006E020E" w:rsidRPr="00DD4FCD" w:rsidRDefault="006E020E" w:rsidP="00626FCE">
            <w:pPr>
              <w:spacing w:before="120" w:after="120"/>
              <w:jc w:val="center"/>
              <w:rPr>
                <w:b/>
                <w:bCs/>
                <w:sz w:val="16"/>
                <w:szCs w:val="16"/>
              </w:rPr>
            </w:pPr>
            <w:r w:rsidRPr="00DD4FCD">
              <w:rPr>
                <w:b/>
                <w:bCs/>
                <w:sz w:val="16"/>
                <w:szCs w:val="16"/>
              </w:rPr>
              <w:t xml:space="preserve"> Q 3</w:t>
            </w:r>
          </w:p>
        </w:tc>
        <w:tc>
          <w:tcPr>
            <w:tcW w:w="680" w:type="dxa"/>
            <w:shd w:val="clear" w:color="auto" w:fill="E6E6E6"/>
          </w:tcPr>
          <w:p w14:paraId="37AC820C" w14:textId="77777777" w:rsidR="006E020E" w:rsidRPr="00DD4FCD" w:rsidRDefault="006E020E" w:rsidP="00626FCE">
            <w:pPr>
              <w:spacing w:before="120" w:after="120"/>
              <w:jc w:val="center"/>
              <w:rPr>
                <w:b/>
                <w:bCs/>
                <w:sz w:val="16"/>
                <w:szCs w:val="16"/>
              </w:rPr>
            </w:pPr>
            <w:r w:rsidRPr="00DD4FCD">
              <w:rPr>
                <w:b/>
                <w:bCs/>
                <w:sz w:val="16"/>
                <w:szCs w:val="16"/>
              </w:rPr>
              <w:t xml:space="preserve"> Q 4</w:t>
            </w:r>
          </w:p>
        </w:tc>
        <w:tc>
          <w:tcPr>
            <w:tcW w:w="692" w:type="dxa"/>
            <w:shd w:val="clear" w:color="auto" w:fill="E6E6E6"/>
          </w:tcPr>
          <w:p w14:paraId="7005CA18" w14:textId="77777777" w:rsidR="006E020E" w:rsidRPr="00626FCE" w:rsidRDefault="006E020E" w:rsidP="00626FCE">
            <w:pPr>
              <w:spacing w:before="120" w:after="120"/>
              <w:jc w:val="center"/>
              <w:rPr>
                <w:b/>
                <w:bCs/>
                <w:sz w:val="16"/>
                <w:szCs w:val="16"/>
              </w:rPr>
            </w:pPr>
            <w:r w:rsidRPr="00626FCE">
              <w:rPr>
                <w:b/>
                <w:bCs/>
                <w:sz w:val="16"/>
                <w:szCs w:val="16"/>
              </w:rPr>
              <w:t>Q 1</w:t>
            </w:r>
          </w:p>
        </w:tc>
        <w:tc>
          <w:tcPr>
            <w:tcW w:w="754" w:type="dxa"/>
            <w:shd w:val="clear" w:color="auto" w:fill="E6E6E6"/>
          </w:tcPr>
          <w:p w14:paraId="2926DC5A" w14:textId="77777777" w:rsidR="006E020E" w:rsidRPr="00626FCE" w:rsidRDefault="006E020E" w:rsidP="00626FCE">
            <w:pPr>
              <w:spacing w:before="120" w:after="120"/>
              <w:jc w:val="center"/>
              <w:rPr>
                <w:b/>
                <w:bCs/>
                <w:sz w:val="16"/>
                <w:szCs w:val="16"/>
              </w:rPr>
            </w:pPr>
            <w:r w:rsidRPr="00626FCE">
              <w:rPr>
                <w:b/>
                <w:bCs/>
                <w:sz w:val="16"/>
                <w:szCs w:val="16"/>
              </w:rPr>
              <w:t>Q 2</w:t>
            </w:r>
          </w:p>
        </w:tc>
        <w:tc>
          <w:tcPr>
            <w:tcW w:w="709" w:type="dxa"/>
            <w:shd w:val="clear" w:color="auto" w:fill="E6E6E6"/>
          </w:tcPr>
          <w:p w14:paraId="52E0363F" w14:textId="77777777" w:rsidR="006E020E" w:rsidRPr="00626FCE" w:rsidRDefault="006E020E" w:rsidP="00626FCE">
            <w:pPr>
              <w:spacing w:before="120" w:after="120"/>
              <w:jc w:val="center"/>
              <w:rPr>
                <w:b/>
                <w:bCs/>
                <w:sz w:val="16"/>
                <w:szCs w:val="16"/>
              </w:rPr>
            </w:pPr>
            <w:r w:rsidRPr="00626FCE">
              <w:rPr>
                <w:b/>
                <w:bCs/>
                <w:sz w:val="16"/>
                <w:szCs w:val="16"/>
              </w:rPr>
              <w:t>Q 3</w:t>
            </w:r>
          </w:p>
        </w:tc>
        <w:tc>
          <w:tcPr>
            <w:tcW w:w="567" w:type="dxa"/>
            <w:shd w:val="clear" w:color="auto" w:fill="E6E6E6"/>
          </w:tcPr>
          <w:p w14:paraId="7E8DE8A6" w14:textId="77777777" w:rsidR="006E020E" w:rsidRPr="00626FCE" w:rsidRDefault="006E020E" w:rsidP="00626FCE">
            <w:pPr>
              <w:spacing w:before="120" w:after="120"/>
              <w:jc w:val="center"/>
              <w:rPr>
                <w:b/>
                <w:bCs/>
                <w:sz w:val="16"/>
                <w:szCs w:val="16"/>
              </w:rPr>
            </w:pPr>
            <w:r w:rsidRPr="00626FCE">
              <w:rPr>
                <w:b/>
                <w:bCs/>
                <w:sz w:val="16"/>
                <w:szCs w:val="16"/>
              </w:rPr>
              <w:t>Q 4</w:t>
            </w:r>
          </w:p>
        </w:tc>
        <w:tc>
          <w:tcPr>
            <w:tcW w:w="708" w:type="dxa"/>
            <w:shd w:val="clear" w:color="auto" w:fill="E6E6E6"/>
          </w:tcPr>
          <w:p w14:paraId="25231960" w14:textId="77777777" w:rsidR="006E020E" w:rsidRPr="00626FCE" w:rsidRDefault="006E020E" w:rsidP="00626FCE">
            <w:pPr>
              <w:spacing w:before="120" w:after="120"/>
              <w:jc w:val="center"/>
              <w:rPr>
                <w:b/>
                <w:bCs/>
                <w:sz w:val="16"/>
                <w:szCs w:val="16"/>
              </w:rPr>
            </w:pPr>
            <w:r w:rsidRPr="00626FCE">
              <w:rPr>
                <w:b/>
                <w:bCs/>
                <w:sz w:val="16"/>
                <w:szCs w:val="16"/>
              </w:rPr>
              <w:t>Q 1</w:t>
            </w:r>
          </w:p>
        </w:tc>
        <w:tc>
          <w:tcPr>
            <w:tcW w:w="709" w:type="dxa"/>
            <w:shd w:val="clear" w:color="auto" w:fill="E6E6E6"/>
          </w:tcPr>
          <w:p w14:paraId="4E912F19" w14:textId="77777777" w:rsidR="006E020E" w:rsidRPr="00626FCE" w:rsidRDefault="006E020E" w:rsidP="00626FCE">
            <w:pPr>
              <w:spacing w:before="120" w:after="120"/>
              <w:jc w:val="center"/>
              <w:rPr>
                <w:b/>
                <w:bCs/>
                <w:sz w:val="16"/>
                <w:szCs w:val="16"/>
              </w:rPr>
            </w:pPr>
            <w:r w:rsidRPr="00626FCE">
              <w:rPr>
                <w:b/>
                <w:bCs/>
                <w:sz w:val="16"/>
                <w:szCs w:val="16"/>
              </w:rPr>
              <w:t>Q 2</w:t>
            </w:r>
          </w:p>
        </w:tc>
        <w:tc>
          <w:tcPr>
            <w:tcW w:w="709" w:type="dxa"/>
            <w:shd w:val="clear" w:color="auto" w:fill="E6E6E6"/>
          </w:tcPr>
          <w:p w14:paraId="32C8A6E7" w14:textId="77777777" w:rsidR="006E020E" w:rsidRPr="00626FCE" w:rsidRDefault="006E020E" w:rsidP="00626FCE">
            <w:pPr>
              <w:spacing w:before="120" w:after="120"/>
              <w:jc w:val="center"/>
              <w:rPr>
                <w:b/>
                <w:bCs/>
                <w:sz w:val="16"/>
                <w:szCs w:val="16"/>
              </w:rPr>
            </w:pPr>
            <w:r w:rsidRPr="00626FCE">
              <w:rPr>
                <w:b/>
                <w:bCs/>
                <w:sz w:val="16"/>
                <w:szCs w:val="16"/>
              </w:rPr>
              <w:t>Q 3</w:t>
            </w:r>
          </w:p>
        </w:tc>
        <w:tc>
          <w:tcPr>
            <w:tcW w:w="709" w:type="dxa"/>
            <w:shd w:val="clear" w:color="auto" w:fill="E6E6E6"/>
          </w:tcPr>
          <w:p w14:paraId="56B7B712" w14:textId="77777777" w:rsidR="006E020E" w:rsidRPr="00626FCE" w:rsidRDefault="006E020E" w:rsidP="00626FCE">
            <w:pPr>
              <w:spacing w:before="120" w:after="120"/>
              <w:jc w:val="center"/>
              <w:rPr>
                <w:b/>
                <w:bCs/>
                <w:sz w:val="16"/>
                <w:szCs w:val="16"/>
              </w:rPr>
            </w:pPr>
            <w:r w:rsidRPr="00626FCE">
              <w:rPr>
                <w:b/>
                <w:bCs/>
                <w:sz w:val="16"/>
                <w:szCs w:val="16"/>
              </w:rPr>
              <w:t>Q 4</w:t>
            </w:r>
          </w:p>
        </w:tc>
      </w:tr>
      <w:tr w:rsidR="00035227" w:rsidRPr="00626FCE" w14:paraId="1DA0C199" w14:textId="77777777" w:rsidTr="00035227">
        <w:trPr>
          <w:trHeight w:val="614"/>
        </w:trPr>
        <w:tc>
          <w:tcPr>
            <w:tcW w:w="1864" w:type="dxa"/>
            <w:shd w:val="clear" w:color="auto" w:fill="D9D9D9" w:themeFill="background1" w:themeFillShade="D9"/>
          </w:tcPr>
          <w:p w14:paraId="1F91AE72" w14:textId="77777777" w:rsidR="006E020E" w:rsidRPr="00626FCE" w:rsidRDefault="006E020E" w:rsidP="00626FCE">
            <w:pPr>
              <w:spacing w:before="240" w:after="120"/>
              <w:jc w:val="center"/>
              <w:rPr>
                <w:b/>
                <w:sz w:val="16"/>
                <w:szCs w:val="16"/>
              </w:rPr>
            </w:pPr>
          </w:p>
        </w:tc>
        <w:tc>
          <w:tcPr>
            <w:tcW w:w="706" w:type="dxa"/>
            <w:shd w:val="clear" w:color="auto" w:fill="E6E6E6"/>
            <w:noWrap/>
          </w:tcPr>
          <w:p w14:paraId="32DE0F9A" w14:textId="77777777" w:rsidR="006E020E" w:rsidRPr="00626FCE" w:rsidRDefault="006E020E" w:rsidP="00626FCE">
            <w:pPr>
              <w:spacing w:before="120" w:after="120"/>
              <w:jc w:val="center"/>
              <w:rPr>
                <w:b/>
                <w:sz w:val="16"/>
                <w:szCs w:val="16"/>
              </w:rPr>
            </w:pPr>
          </w:p>
        </w:tc>
        <w:tc>
          <w:tcPr>
            <w:tcW w:w="709" w:type="dxa"/>
            <w:gridSpan w:val="2"/>
            <w:shd w:val="clear" w:color="auto" w:fill="E6E6E6"/>
          </w:tcPr>
          <w:p w14:paraId="0C0945AA" w14:textId="77777777" w:rsidR="006E020E" w:rsidRPr="00626FCE" w:rsidRDefault="006E020E" w:rsidP="00626FCE">
            <w:pPr>
              <w:spacing w:before="120" w:after="120"/>
              <w:jc w:val="center"/>
              <w:rPr>
                <w:b/>
                <w:sz w:val="16"/>
                <w:szCs w:val="16"/>
              </w:rPr>
            </w:pPr>
          </w:p>
        </w:tc>
        <w:tc>
          <w:tcPr>
            <w:tcW w:w="709" w:type="dxa"/>
            <w:shd w:val="clear" w:color="auto" w:fill="E6E6E6"/>
          </w:tcPr>
          <w:p w14:paraId="5AC23F82" w14:textId="77777777" w:rsidR="006E020E" w:rsidRPr="00626FCE" w:rsidRDefault="006E020E" w:rsidP="00626FCE">
            <w:pPr>
              <w:spacing w:before="120" w:after="120"/>
              <w:jc w:val="center"/>
              <w:rPr>
                <w:b/>
                <w:sz w:val="16"/>
                <w:szCs w:val="16"/>
              </w:rPr>
            </w:pPr>
          </w:p>
        </w:tc>
        <w:tc>
          <w:tcPr>
            <w:tcW w:w="733" w:type="dxa"/>
            <w:shd w:val="clear" w:color="auto" w:fill="E6E6E6"/>
          </w:tcPr>
          <w:p w14:paraId="690B3345" w14:textId="77777777" w:rsidR="006E020E" w:rsidRPr="00626FCE" w:rsidRDefault="006E020E" w:rsidP="00626FCE">
            <w:pPr>
              <w:spacing w:before="120" w:after="120"/>
              <w:jc w:val="center"/>
              <w:rPr>
                <w:b/>
                <w:sz w:val="16"/>
                <w:szCs w:val="16"/>
              </w:rPr>
            </w:pPr>
          </w:p>
        </w:tc>
        <w:tc>
          <w:tcPr>
            <w:tcW w:w="543" w:type="dxa"/>
            <w:shd w:val="clear" w:color="auto" w:fill="E6E6E6"/>
          </w:tcPr>
          <w:p w14:paraId="6DBABE1F" w14:textId="77777777" w:rsidR="006E020E" w:rsidRPr="00626FCE" w:rsidRDefault="006E020E" w:rsidP="00626FCE">
            <w:pPr>
              <w:spacing w:before="120" w:after="120"/>
              <w:jc w:val="center"/>
              <w:rPr>
                <w:b/>
                <w:sz w:val="16"/>
                <w:szCs w:val="16"/>
              </w:rPr>
            </w:pPr>
          </w:p>
        </w:tc>
        <w:tc>
          <w:tcPr>
            <w:tcW w:w="567" w:type="dxa"/>
            <w:shd w:val="clear" w:color="auto" w:fill="E6E6E6"/>
          </w:tcPr>
          <w:p w14:paraId="301CA638" w14:textId="77777777" w:rsidR="006E020E" w:rsidRPr="00626FCE" w:rsidRDefault="006E020E" w:rsidP="00626FCE">
            <w:pPr>
              <w:spacing w:before="120" w:after="120"/>
              <w:jc w:val="center"/>
              <w:rPr>
                <w:b/>
                <w:sz w:val="16"/>
                <w:szCs w:val="16"/>
              </w:rPr>
            </w:pPr>
          </w:p>
        </w:tc>
        <w:tc>
          <w:tcPr>
            <w:tcW w:w="567" w:type="dxa"/>
            <w:shd w:val="clear" w:color="auto" w:fill="E6E6E6"/>
          </w:tcPr>
          <w:p w14:paraId="56218F07" w14:textId="77777777" w:rsidR="006E020E" w:rsidRPr="00626FCE" w:rsidRDefault="006E020E" w:rsidP="00626FCE">
            <w:pPr>
              <w:spacing w:before="120" w:after="120"/>
              <w:jc w:val="center"/>
              <w:rPr>
                <w:b/>
                <w:sz w:val="16"/>
                <w:szCs w:val="16"/>
              </w:rPr>
            </w:pPr>
          </w:p>
        </w:tc>
        <w:tc>
          <w:tcPr>
            <w:tcW w:w="680" w:type="dxa"/>
            <w:shd w:val="clear" w:color="auto" w:fill="E6E6E6"/>
          </w:tcPr>
          <w:p w14:paraId="6078F3D4" w14:textId="77777777" w:rsidR="006E020E" w:rsidRPr="00626FCE" w:rsidRDefault="006E020E" w:rsidP="00626FCE">
            <w:pPr>
              <w:spacing w:before="120" w:after="120"/>
              <w:jc w:val="center"/>
              <w:rPr>
                <w:b/>
                <w:sz w:val="16"/>
                <w:szCs w:val="16"/>
              </w:rPr>
            </w:pPr>
          </w:p>
        </w:tc>
        <w:tc>
          <w:tcPr>
            <w:tcW w:w="692" w:type="dxa"/>
            <w:shd w:val="clear" w:color="auto" w:fill="E6E6E6"/>
          </w:tcPr>
          <w:p w14:paraId="1B2F08A0" w14:textId="77777777" w:rsidR="006E020E" w:rsidRPr="00626FCE" w:rsidRDefault="006E020E" w:rsidP="00626FCE">
            <w:pPr>
              <w:spacing w:before="120" w:after="120"/>
              <w:jc w:val="center"/>
              <w:rPr>
                <w:b/>
                <w:sz w:val="16"/>
                <w:szCs w:val="16"/>
              </w:rPr>
            </w:pPr>
          </w:p>
        </w:tc>
        <w:tc>
          <w:tcPr>
            <w:tcW w:w="754" w:type="dxa"/>
            <w:shd w:val="clear" w:color="auto" w:fill="E6E6E6"/>
          </w:tcPr>
          <w:p w14:paraId="766A9838" w14:textId="77777777" w:rsidR="006E020E" w:rsidRPr="00626FCE" w:rsidRDefault="006E020E" w:rsidP="00626FCE">
            <w:pPr>
              <w:spacing w:before="120" w:after="120"/>
              <w:jc w:val="center"/>
              <w:rPr>
                <w:b/>
                <w:sz w:val="16"/>
                <w:szCs w:val="16"/>
              </w:rPr>
            </w:pPr>
          </w:p>
        </w:tc>
        <w:tc>
          <w:tcPr>
            <w:tcW w:w="709" w:type="dxa"/>
            <w:shd w:val="clear" w:color="auto" w:fill="E6E6E6"/>
          </w:tcPr>
          <w:p w14:paraId="725EA217" w14:textId="77777777" w:rsidR="006E020E" w:rsidRPr="00626FCE" w:rsidRDefault="006E020E" w:rsidP="00626FCE">
            <w:pPr>
              <w:spacing w:before="120" w:after="120"/>
              <w:jc w:val="center"/>
              <w:rPr>
                <w:b/>
                <w:sz w:val="16"/>
                <w:szCs w:val="16"/>
              </w:rPr>
            </w:pPr>
          </w:p>
        </w:tc>
        <w:tc>
          <w:tcPr>
            <w:tcW w:w="567" w:type="dxa"/>
            <w:shd w:val="clear" w:color="auto" w:fill="E6E6E6"/>
          </w:tcPr>
          <w:p w14:paraId="337D2F0A" w14:textId="77777777" w:rsidR="006E020E" w:rsidRPr="00626FCE" w:rsidRDefault="006E020E" w:rsidP="00626FCE">
            <w:pPr>
              <w:spacing w:before="120" w:after="120"/>
              <w:jc w:val="center"/>
              <w:rPr>
                <w:b/>
                <w:sz w:val="16"/>
                <w:szCs w:val="16"/>
              </w:rPr>
            </w:pPr>
          </w:p>
        </w:tc>
        <w:tc>
          <w:tcPr>
            <w:tcW w:w="708" w:type="dxa"/>
            <w:shd w:val="clear" w:color="auto" w:fill="E6E6E6"/>
          </w:tcPr>
          <w:p w14:paraId="64824EA6" w14:textId="77777777" w:rsidR="006E020E" w:rsidRPr="00626FCE" w:rsidRDefault="006E020E" w:rsidP="00626FCE">
            <w:pPr>
              <w:spacing w:before="120" w:after="120"/>
              <w:jc w:val="center"/>
              <w:rPr>
                <w:b/>
                <w:sz w:val="16"/>
                <w:szCs w:val="16"/>
              </w:rPr>
            </w:pPr>
          </w:p>
        </w:tc>
        <w:tc>
          <w:tcPr>
            <w:tcW w:w="709" w:type="dxa"/>
            <w:shd w:val="clear" w:color="auto" w:fill="E6E6E6"/>
          </w:tcPr>
          <w:p w14:paraId="76102319" w14:textId="77777777" w:rsidR="006E020E" w:rsidRPr="00626FCE" w:rsidRDefault="006E020E" w:rsidP="00626FCE">
            <w:pPr>
              <w:spacing w:before="120" w:after="120"/>
              <w:jc w:val="center"/>
              <w:rPr>
                <w:b/>
                <w:sz w:val="16"/>
                <w:szCs w:val="16"/>
              </w:rPr>
            </w:pPr>
          </w:p>
        </w:tc>
        <w:tc>
          <w:tcPr>
            <w:tcW w:w="709" w:type="dxa"/>
            <w:shd w:val="clear" w:color="auto" w:fill="E6E6E6"/>
          </w:tcPr>
          <w:p w14:paraId="641F6C64" w14:textId="77777777" w:rsidR="006E020E" w:rsidRPr="00626FCE" w:rsidRDefault="006E020E" w:rsidP="00626FCE">
            <w:pPr>
              <w:spacing w:before="120" w:after="120"/>
              <w:jc w:val="center"/>
              <w:rPr>
                <w:b/>
                <w:sz w:val="16"/>
                <w:szCs w:val="16"/>
              </w:rPr>
            </w:pPr>
          </w:p>
        </w:tc>
        <w:tc>
          <w:tcPr>
            <w:tcW w:w="709" w:type="dxa"/>
            <w:shd w:val="clear" w:color="auto" w:fill="E6E6E6"/>
          </w:tcPr>
          <w:p w14:paraId="248E3157" w14:textId="77777777" w:rsidR="006E020E" w:rsidRPr="00626FCE" w:rsidRDefault="006E020E" w:rsidP="00626FCE">
            <w:pPr>
              <w:spacing w:before="120" w:after="120"/>
              <w:jc w:val="center"/>
              <w:rPr>
                <w:b/>
                <w:sz w:val="16"/>
                <w:szCs w:val="16"/>
              </w:rPr>
            </w:pPr>
          </w:p>
        </w:tc>
      </w:tr>
      <w:tr w:rsidR="00035227" w:rsidRPr="00626FCE" w14:paraId="5FB7196D" w14:textId="77777777" w:rsidTr="00E52108">
        <w:trPr>
          <w:trHeight w:val="446"/>
        </w:trPr>
        <w:tc>
          <w:tcPr>
            <w:tcW w:w="1864" w:type="dxa"/>
            <w:shd w:val="clear" w:color="auto" w:fill="D9D9D9" w:themeFill="background1" w:themeFillShade="D9"/>
            <w:hideMark/>
          </w:tcPr>
          <w:p w14:paraId="3B2FDEF4" w14:textId="113AEBD9" w:rsidR="006E020E" w:rsidRPr="00035227" w:rsidRDefault="00035227" w:rsidP="00626FCE">
            <w:pPr>
              <w:spacing w:before="120" w:after="120"/>
              <w:rPr>
                <w:b/>
                <w:bCs/>
                <w:sz w:val="18"/>
                <w:szCs w:val="18"/>
                <w:lang w:val="en-US"/>
              </w:rPr>
            </w:pPr>
            <w:r w:rsidRPr="00035227">
              <w:rPr>
                <w:b/>
                <w:bCs/>
                <w:sz w:val="18"/>
                <w:szCs w:val="18"/>
              </w:rPr>
              <w:t>WP1 - Project management and coordination</w:t>
            </w:r>
          </w:p>
        </w:tc>
        <w:tc>
          <w:tcPr>
            <w:tcW w:w="706" w:type="dxa"/>
            <w:shd w:val="clear" w:color="auto" w:fill="948A54" w:themeFill="background2" w:themeFillShade="80"/>
            <w:noWrap/>
          </w:tcPr>
          <w:p w14:paraId="3688FE59" w14:textId="77777777" w:rsidR="006E020E" w:rsidRPr="00626FCE" w:rsidRDefault="006E020E" w:rsidP="00626FCE">
            <w:pPr>
              <w:spacing w:before="120" w:after="120"/>
              <w:rPr>
                <w:sz w:val="16"/>
                <w:szCs w:val="16"/>
              </w:rPr>
            </w:pPr>
            <w:commentRangeStart w:id="74"/>
            <w:commentRangeEnd w:id="74"/>
            <w:r w:rsidRPr="00626FCE">
              <w:rPr>
                <w:rStyle w:val="CommentReference"/>
              </w:rPr>
              <w:commentReference w:id="74"/>
            </w:r>
          </w:p>
        </w:tc>
        <w:tc>
          <w:tcPr>
            <w:tcW w:w="709" w:type="dxa"/>
            <w:gridSpan w:val="2"/>
            <w:shd w:val="clear" w:color="auto" w:fill="948A54" w:themeFill="background2" w:themeFillShade="80"/>
          </w:tcPr>
          <w:p w14:paraId="40926FA7" w14:textId="77777777" w:rsidR="006E020E" w:rsidRPr="00626FCE" w:rsidRDefault="006E020E" w:rsidP="00626FCE">
            <w:pPr>
              <w:spacing w:before="120" w:after="120"/>
              <w:rPr>
                <w:sz w:val="16"/>
                <w:szCs w:val="16"/>
              </w:rPr>
            </w:pPr>
          </w:p>
        </w:tc>
        <w:tc>
          <w:tcPr>
            <w:tcW w:w="709" w:type="dxa"/>
            <w:shd w:val="clear" w:color="auto" w:fill="948A54" w:themeFill="background2" w:themeFillShade="80"/>
          </w:tcPr>
          <w:p w14:paraId="4CD232E8" w14:textId="77777777" w:rsidR="006E020E" w:rsidRPr="00626FCE" w:rsidRDefault="006E020E" w:rsidP="00626FCE">
            <w:pPr>
              <w:spacing w:before="120" w:after="120"/>
              <w:rPr>
                <w:sz w:val="16"/>
                <w:szCs w:val="16"/>
              </w:rPr>
            </w:pPr>
          </w:p>
        </w:tc>
        <w:tc>
          <w:tcPr>
            <w:tcW w:w="733" w:type="dxa"/>
            <w:shd w:val="clear" w:color="auto" w:fill="948A54" w:themeFill="background2" w:themeFillShade="80"/>
          </w:tcPr>
          <w:p w14:paraId="36F7D4EF" w14:textId="77777777" w:rsidR="006E020E" w:rsidRPr="00626FCE" w:rsidRDefault="006E020E" w:rsidP="00626FCE">
            <w:pPr>
              <w:spacing w:before="120" w:after="120"/>
              <w:rPr>
                <w:sz w:val="16"/>
                <w:szCs w:val="16"/>
              </w:rPr>
            </w:pPr>
          </w:p>
        </w:tc>
        <w:tc>
          <w:tcPr>
            <w:tcW w:w="543" w:type="dxa"/>
            <w:shd w:val="clear" w:color="auto" w:fill="948A54" w:themeFill="background2" w:themeFillShade="80"/>
          </w:tcPr>
          <w:p w14:paraId="5CB0A8D1" w14:textId="77777777" w:rsidR="006E020E" w:rsidRPr="00626FCE" w:rsidRDefault="006E020E" w:rsidP="00626FCE">
            <w:pPr>
              <w:spacing w:before="120" w:after="120"/>
              <w:rPr>
                <w:sz w:val="16"/>
                <w:szCs w:val="16"/>
              </w:rPr>
            </w:pPr>
          </w:p>
        </w:tc>
        <w:tc>
          <w:tcPr>
            <w:tcW w:w="567" w:type="dxa"/>
            <w:shd w:val="clear" w:color="auto" w:fill="948A54" w:themeFill="background2" w:themeFillShade="80"/>
          </w:tcPr>
          <w:p w14:paraId="00494B85" w14:textId="77777777" w:rsidR="006E020E" w:rsidRPr="00626FCE" w:rsidRDefault="006E020E" w:rsidP="00626FCE">
            <w:pPr>
              <w:spacing w:before="120" w:after="120"/>
              <w:rPr>
                <w:sz w:val="16"/>
                <w:szCs w:val="16"/>
              </w:rPr>
            </w:pPr>
          </w:p>
        </w:tc>
        <w:tc>
          <w:tcPr>
            <w:tcW w:w="567" w:type="dxa"/>
            <w:shd w:val="clear" w:color="auto" w:fill="948A54" w:themeFill="background2" w:themeFillShade="80"/>
          </w:tcPr>
          <w:p w14:paraId="16E2EEE2" w14:textId="77777777" w:rsidR="006E020E" w:rsidRPr="00626FCE" w:rsidRDefault="006E020E" w:rsidP="00626FCE">
            <w:pPr>
              <w:spacing w:before="120" w:after="120"/>
              <w:rPr>
                <w:sz w:val="16"/>
                <w:szCs w:val="16"/>
              </w:rPr>
            </w:pPr>
          </w:p>
        </w:tc>
        <w:tc>
          <w:tcPr>
            <w:tcW w:w="680" w:type="dxa"/>
            <w:shd w:val="clear" w:color="auto" w:fill="948A54" w:themeFill="background2" w:themeFillShade="80"/>
          </w:tcPr>
          <w:p w14:paraId="1AF3051C" w14:textId="77777777" w:rsidR="006E020E" w:rsidRPr="00626FCE" w:rsidRDefault="006E020E" w:rsidP="00626FCE">
            <w:pPr>
              <w:spacing w:before="120" w:after="120"/>
              <w:rPr>
                <w:sz w:val="16"/>
                <w:szCs w:val="16"/>
              </w:rPr>
            </w:pPr>
          </w:p>
        </w:tc>
        <w:tc>
          <w:tcPr>
            <w:tcW w:w="692" w:type="dxa"/>
            <w:shd w:val="clear" w:color="auto" w:fill="948A54" w:themeFill="background2" w:themeFillShade="80"/>
          </w:tcPr>
          <w:p w14:paraId="7817BD12" w14:textId="77777777" w:rsidR="006E020E" w:rsidRPr="00626FCE" w:rsidRDefault="006E020E" w:rsidP="00626FCE">
            <w:pPr>
              <w:spacing w:before="120" w:after="120"/>
              <w:rPr>
                <w:sz w:val="16"/>
                <w:szCs w:val="16"/>
              </w:rPr>
            </w:pPr>
          </w:p>
        </w:tc>
        <w:tc>
          <w:tcPr>
            <w:tcW w:w="754" w:type="dxa"/>
            <w:shd w:val="clear" w:color="auto" w:fill="948A54" w:themeFill="background2" w:themeFillShade="80"/>
          </w:tcPr>
          <w:p w14:paraId="41BD4CE8" w14:textId="77777777" w:rsidR="006E020E" w:rsidRPr="00626FCE" w:rsidRDefault="006E020E" w:rsidP="00626FCE">
            <w:pPr>
              <w:spacing w:before="120" w:after="120"/>
              <w:rPr>
                <w:sz w:val="16"/>
                <w:szCs w:val="16"/>
              </w:rPr>
            </w:pPr>
          </w:p>
        </w:tc>
        <w:tc>
          <w:tcPr>
            <w:tcW w:w="709" w:type="dxa"/>
            <w:shd w:val="clear" w:color="auto" w:fill="948A54" w:themeFill="background2" w:themeFillShade="80"/>
          </w:tcPr>
          <w:p w14:paraId="163C3361" w14:textId="77777777" w:rsidR="006E020E" w:rsidRPr="00626FCE" w:rsidRDefault="006E020E" w:rsidP="00626FCE">
            <w:pPr>
              <w:spacing w:before="120" w:after="120"/>
              <w:rPr>
                <w:sz w:val="16"/>
                <w:szCs w:val="16"/>
              </w:rPr>
            </w:pPr>
          </w:p>
        </w:tc>
        <w:tc>
          <w:tcPr>
            <w:tcW w:w="567" w:type="dxa"/>
            <w:shd w:val="clear" w:color="auto" w:fill="948A54" w:themeFill="background2" w:themeFillShade="80"/>
          </w:tcPr>
          <w:p w14:paraId="1E8BD493" w14:textId="77777777" w:rsidR="006E020E" w:rsidRPr="00626FCE" w:rsidRDefault="006E020E" w:rsidP="00626FCE">
            <w:pPr>
              <w:spacing w:before="120" w:after="120"/>
              <w:rPr>
                <w:sz w:val="16"/>
                <w:szCs w:val="16"/>
              </w:rPr>
            </w:pPr>
          </w:p>
        </w:tc>
        <w:tc>
          <w:tcPr>
            <w:tcW w:w="708" w:type="dxa"/>
            <w:shd w:val="clear" w:color="auto" w:fill="948A54" w:themeFill="background2" w:themeFillShade="80"/>
          </w:tcPr>
          <w:p w14:paraId="7566D80D" w14:textId="77777777" w:rsidR="006E020E" w:rsidRPr="00626FCE" w:rsidRDefault="006E020E" w:rsidP="00626FCE">
            <w:pPr>
              <w:spacing w:before="120" w:after="120"/>
              <w:rPr>
                <w:sz w:val="16"/>
                <w:szCs w:val="16"/>
              </w:rPr>
            </w:pPr>
          </w:p>
        </w:tc>
        <w:tc>
          <w:tcPr>
            <w:tcW w:w="709" w:type="dxa"/>
            <w:shd w:val="clear" w:color="auto" w:fill="948A54" w:themeFill="background2" w:themeFillShade="80"/>
          </w:tcPr>
          <w:p w14:paraId="057B63F6" w14:textId="77777777" w:rsidR="006E020E" w:rsidRPr="00626FCE" w:rsidRDefault="006E020E" w:rsidP="00626FCE">
            <w:pPr>
              <w:spacing w:before="120" w:after="120"/>
              <w:rPr>
                <w:sz w:val="16"/>
                <w:szCs w:val="16"/>
              </w:rPr>
            </w:pPr>
          </w:p>
        </w:tc>
        <w:tc>
          <w:tcPr>
            <w:tcW w:w="709" w:type="dxa"/>
            <w:shd w:val="clear" w:color="auto" w:fill="948A54" w:themeFill="background2" w:themeFillShade="80"/>
          </w:tcPr>
          <w:p w14:paraId="69B683F2" w14:textId="77777777" w:rsidR="006E020E" w:rsidRPr="00626FCE" w:rsidRDefault="006E020E" w:rsidP="00626FCE">
            <w:pPr>
              <w:spacing w:before="120" w:after="120"/>
              <w:rPr>
                <w:sz w:val="16"/>
                <w:szCs w:val="16"/>
              </w:rPr>
            </w:pPr>
          </w:p>
        </w:tc>
        <w:tc>
          <w:tcPr>
            <w:tcW w:w="709" w:type="dxa"/>
            <w:shd w:val="clear" w:color="auto" w:fill="948A54" w:themeFill="background2" w:themeFillShade="80"/>
          </w:tcPr>
          <w:p w14:paraId="19F0C1DE" w14:textId="77777777" w:rsidR="006E020E" w:rsidRPr="00626FCE" w:rsidRDefault="006E020E" w:rsidP="00626FCE">
            <w:pPr>
              <w:spacing w:before="120" w:after="120"/>
              <w:rPr>
                <w:sz w:val="16"/>
                <w:szCs w:val="16"/>
              </w:rPr>
            </w:pPr>
          </w:p>
        </w:tc>
      </w:tr>
      <w:tr w:rsidR="00035227" w:rsidRPr="00626FCE" w14:paraId="45A16C79" w14:textId="77777777" w:rsidTr="00035227">
        <w:trPr>
          <w:trHeight w:val="446"/>
        </w:trPr>
        <w:tc>
          <w:tcPr>
            <w:tcW w:w="1864" w:type="dxa"/>
            <w:shd w:val="clear" w:color="auto" w:fill="D9D9D9" w:themeFill="background1" w:themeFillShade="D9"/>
          </w:tcPr>
          <w:p w14:paraId="0E5763D6" w14:textId="77777777" w:rsidR="006E020E" w:rsidRPr="00626FCE" w:rsidRDefault="006E020E" w:rsidP="00626FCE">
            <w:pPr>
              <w:spacing w:before="120" w:after="120"/>
              <w:rPr>
                <w:b/>
                <w:sz w:val="18"/>
                <w:szCs w:val="16"/>
              </w:rPr>
            </w:pPr>
          </w:p>
        </w:tc>
        <w:tc>
          <w:tcPr>
            <w:tcW w:w="706" w:type="dxa"/>
            <w:noWrap/>
          </w:tcPr>
          <w:p w14:paraId="499DB82C" w14:textId="77777777" w:rsidR="006E020E" w:rsidRPr="00626FCE" w:rsidRDefault="006E020E" w:rsidP="00626FCE">
            <w:pPr>
              <w:spacing w:before="120" w:after="120"/>
              <w:rPr>
                <w:sz w:val="16"/>
                <w:szCs w:val="16"/>
              </w:rPr>
            </w:pPr>
          </w:p>
        </w:tc>
        <w:tc>
          <w:tcPr>
            <w:tcW w:w="709" w:type="dxa"/>
            <w:gridSpan w:val="2"/>
          </w:tcPr>
          <w:p w14:paraId="42AF4900" w14:textId="77777777" w:rsidR="006E020E" w:rsidRPr="00626FCE" w:rsidRDefault="006E020E" w:rsidP="00626FCE">
            <w:pPr>
              <w:spacing w:before="120" w:after="120"/>
              <w:rPr>
                <w:sz w:val="16"/>
                <w:szCs w:val="16"/>
              </w:rPr>
            </w:pPr>
          </w:p>
        </w:tc>
        <w:tc>
          <w:tcPr>
            <w:tcW w:w="709" w:type="dxa"/>
            <w:shd w:val="clear" w:color="auto" w:fill="FFFFFF" w:themeFill="background1"/>
          </w:tcPr>
          <w:p w14:paraId="599056BF" w14:textId="77777777" w:rsidR="006E020E" w:rsidRPr="00626FCE" w:rsidRDefault="006E020E" w:rsidP="00626FCE">
            <w:pPr>
              <w:spacing w:before="120" w:after="120"/>
              <w:rPr>
                <w:sz w:val="16"/>
                <w:szCs w:val="16"/>
              </w:rPr>
            </w:pPr>
            <w:commentRangeStart w:id="75"/>
            <w:commentRangeEnd w:id="75"/>
            <w:r w:rsidRPr="00626FCE">
              <w:rPr>
                <w:rStyle w:val="CommentReference"/>
              </w:rPr>
              <w:commentReference w:id="75"/>
            </w:r>
          </w:p>
        </w:tc>
        <w:tc>
          <w:tcPr>
            <w:tcW w:w="733" w:type="dxa"/>
            <w:shd w:val="clear" w:color="auto" w:fill="FFFFFF" w:themeFill="background1"/>
          </w:tcPr>
          <w:p w14:paraId="115CBDBF" w14:textId="77777777" w:rsidR="006E020E" w:rsidRPr="00626FCE" w:rsidRDefault="006E020E" w:rsidP="00626FCE">
            <w:pPr>
              <w:spacing w:before="120" w:after="120"/>
              <w:rPr>
                <w:sz w:val="16"/>
                <w:szCs w:val="16"/>
              </w:rPr>
            </w:pPr>
          </w:p>
        </w:tc>
        <w:tc>
          <w:tcPr>
            <w:tcW w:w="543" w:type="dxa"/>
            <w:shd w:val="clear" w:color="auto" w:fill="FFFFFF" w:themeFill="background1"/>
          </w:tcPr>
          <w:p w14:paraId="2DE8127E" w14:textId="77777777" w:rsidR="006E020E" w:rsidRPr="00626FCE" w:rsidRDefault="006E020E" w:rsidP="00626FCE">
            <w:pPr>
              <w:spacing w:before="120" w:after="120"/>
              <w:rPr>
                <w:sz w:val="16"/>
                <w:szCs w:val="16"/>
              </w:rPr>
            </w:pPr>
          </w:p>
        </w:tc>
        <w:tc>
          <w:tcPr>
            <w:tcW w:w="567" w:type="dxa"/>
            <w:shd w:val="clear" w:color="auto" w:fill="FFFFFF" w:themeFill="background1"/>
          </w:tcPr>
          <w:p w14:paraId="3B1A37E7" w14:textId="77777777" w:rsidR="006E020E" w:rsidRPr="00626FCE" w:rsidRDefault="006E020E" w:rsidP="00626FCE">
            <w:pPr>
              <w:spacing w:before="120" w:after="120"/>
              <w:rPr>
                <w:sz w:val="16"/>
                <w:szCs w:val="16"/>
              </w:rPr>
            </w:pPr>
          </w:p>
        </w:tc>
        <w:tc>
          <w:tcPr>
            <w:tcW w:w="567" w:type="dxa"/>
            <w:shd w:val="clear" w:color="auto" w:fill="FFFFFF" w:themeFill="background1"/>
          </w:tcPr>
          <w:p w14:paraId="77DF615F" w14:textId="77777777" w:rsidR="006E020E" w:rsidRPr="00626FCE" w:rsidRDefault="006E020E" w:rsidP="00626FCE">
            <w:pPr>
              <w:spacing w:before="120" w:after="120"/>
              <w:rPr>
                <w:sz w:val="16"/>
                <w:szCs w:val="16"/>
              </w:rPr>
            </w:pPr>
          </w:p>
        </w:tc>
        <w:tc>
          <w:tcPr>
            <w:tcW w:w="680" w:type="dxa"/>
            <w:shd w:val="clear" w:color="auto" w:fill="FFFFFF" w:themeFill="background1"/>
          </w:tcPr>
          <w:p w14:paraId="4FA76C27" w14:textId="77777777" w:rsidR="006E020E" w:rsidRPr="00626FCE" w:rsidRDefault="006E020E" w:rsidP="00626FCE">
            <w:pPr>
              <w:spacing w:before="120" w:after="120"/>
              <w:rPr>
                <w:sz w:val="16"/>
                <w:szCs w:val="16"/>
              </w:rPr>
            </w:pPr>
          </w:p>
        </w:tc>
        <w:tc>
          <w:tcPr>
            <w:tcW w:w="692" w:type="dxa"/>
          </w:tcPr>
          <w:p w14:paraId="64ECEAB5" w14:textId="77777777" w:rsidR="006E020E" w:rsidRPr="00626FCE" w:rsidRDefault="006E020E" w:rsidP="00626FCE">
            <w:pPr>
              <w:spacing w:before="120" w:after="120"/>
              <w:rPr>
                <w:sz w:val="16"/>
                <w:szCs w:val="16"/>
              </w:rPr>
            </w:pPr>
          </w:p>
        </w:tc>
        <w:tc>
          <w:tcPr>
            <w:tcW w:w="754" w:type="dxa"/>
          </w:tcPr>
          <w:p w14:paraId="6FF51A16" w14:textId="77777777" w:rsidR="006E020E" w:rsidRPr="00626FCE" w:rsidRDefault="006E020E" w:rsidP="00626FCE">
            <w:pPr>
              <w:spacing w:before="120" w:after="120"/>
              <w:rPr>
                <w:sz w:val="16"/>
                <w:szCs w:val="16"/>
              </w:rPr>
            </w:pPr>
          </w:p>
        </w:tc>
        <w:tc>
          <w:tcPr>
            <w:tcW w:w="709" w:type="dxa"/>
          </w:tcPr>
          <w:p w14:paraId="28F6B342" w14:textId="77777777" w:rsidR="006E020E" w:rsidRPr="00626FCE" w:rsidRDefault="006E020E" w:rsidP="00626FCE">
            <w:pPr>
              <w:spacing w:before="120" w:after="120"/>
              <w:rPr>
                <w:sz w:val="16"/>
                <w:szCs w:val="16"/>
              </w:rPr>
            </w:pPr>
          </w:p>
        </w:tc>
        <w:tc>
          <w:tcPr>
            <w:tcW w:w="567" w:type="dxa"/>
          </w:tcPr>
          <w:p w14:paraId="1B47A8CC" w14:textId="77777777" w:rsidR="006E020E" w:rsidRPr="00626FCE" w:rsidRDefault="006E020E" w:rsidP="00626FCE">
            <w:pPr>
              <w:spacing w:before="120" w:after="120"/>
              <w:rPr>
                <w:sz w:val="16"/>
                <w:szCs w:val="16"/>
              </w:rPr>
            </w:pPr>
          </w:p>
        </w:tc>
        <w:tc>
          <w:tcPr>
            <w:tcW w:w="708" w:type="dxa"/>
          </w:tcPr>
          <w:p w14:paraId="272347F8" w14:textId="77777777" w:rsidR="006E020E" w:rsidRPr="00626FCE" w:rsidRDefault="006E020E" w:rsidP="00626FCE">
            <w:pPr>
              <w:spacing w:before="120" w:after="120"/>
              <w:rPr>
                <w:sz w:val="16"/>
                <w:szCs w:val="16"/>
              </w:rPr>
            </w:pPr>
          </w:p>
        </w:tc>
        <w:tc>
          <w:tcPr>
            <w:tcW w:w="709" w:type="dxa"/>
          </w:tcPr>
          <w:p w14:paraId="0F8CAEDE" w14:textId="77777777" w:rsidR="006E020E" w:rsidRPr="00626FCE" w:rsidRDefault="006E020E" w:rsidP="00626FCE">
            <w:pPr>
              <w:spacing w:before="120" w:after="120"/>
              <w:rPr>
                <w:sz w:val="16"/>
                <w:szCs w:val="16"/>
              </w:rPr>
            </w:pPr>
          </w:p>
        </w:tc>
        <w:tc>
          <w:tcPr>
            <w:tcW w:w="709" w:type="dxa"/>
          </w:tcPr>
          <w:p w14:paraId="231D2FDA" w14:textId="77777777" w:rsidR="006E020E" w:rsidRPr="00626FCE" w:rsidRDefault="006E020E" w:rsidP="00626FCE">
            <w:pPr>
              <w:spacing w:before="120" w:after="120"/>
              <w:rPr>
                <w:sz w:val="16"/>
                <w:szCs w:val="16"/>
              </w:rPr>
            </w:pPr>
          </w:p>
        </w:tc>
        <w:tc>
          <w:tcPr>
            <w:tcW w:w="709" w:type="dxa"/>
          </w:tcPr>
          <w:p w14:paraId="31C17053" w14:textId="77777777" w:rsidR="006E020E" w:rsidRPr="00626FCE" w:rsidRDefault="006E020E" w:rsidP="00626FCE">
            <w:pPr>
              <w:spacing w:before="120" w:after="120"/>
              <w:rPr>
                <w:sz w:val="16"/>
                <w:szCs w:val="16"/>
              </w:rPr>
            </w:pPr>
          </w:p>
        </w:tc>
      </w:tr>
      <w:tr w:rsidR="00035227" w:rsidRPr="00626FCE" w14:paraId="526E7250" w14:textId="77777777" w:rsidTr="00E52108">
        <w:trPr>
          <w:trHeight w:val="348"/>
        </w:trPr>
        <w:tc>
          <w:tcPr>
            <w:tcW w:w="1864" w:type="dxa"/>
            <w:shd w:val="clear" w:color="auto" w:fill="D9D9D9" w:themeFill="background1" w:themeFillShade="D9"/>
            <w:hideMark/>
          </w:tcPr>
          <w:p w14:paraId="5CCB2F2E" w14:textId="60CF62EA" w:rsidR="006E020E" w:rsidRPr="00626FCE" w:rsidRDefault="00035227" w:rsidP="00626FCE">
            <w:pPr>
              <w:spacing w:before="120" w:after="120"/>
              <w:rPr>
                <w:b/>
                <w:bCs/>
                <w:sz w:val="18"/>
                <w:szCs w:val="18"/>
              </w:rPr>
            </w:pPr>
            <w:r w:rsidRPr="00035227">
              <w:rPr>
                <w:b/>
                <w:bCs/>
                <w:sz w:val="18"/>
                <w:szCs w:val="18"/>
              </w:rPr>
              <w:t>WP2 - OSS Establishment, and Governance</w:t>
            </w:r>
          </w:p>
        </w:tc>
        <w:tc>
          <w:tcPr>
            <w:tcW w:w="706" w:type="dxa"/>
            <w:shd w:val="clear" w:color="auto" w:fill="948A54" w:themeFill="background2" w:themeFillShade="80"/>
            <w:noWrap/>
            <w:hideMark/>
          </w:tcPr>
          <w:p w14:paraId="79DDCDA7" w14:textId="77777777" w:rsidR="006E020E" w:rsidRPr="00626FCE" w:rsidRDefault="006E020E" w:rsidP="00626FCE">
            <w:pPr>
              <w:spacing w:before="120" w:after="120"/>
              <w:rPr>
                <w:sz w:val="16"/>
                <w:szCs w:val="16"/>
              </w:rPr>
            </w:pPr>
          </w:p>
        </w:tc>
        <w:tc>
          <w:tcPr>
            <w:tcW w:w="709" w:type="dxa"/>
            <w:gridSpan w:val="2"/>
            <w:shd w:val="clear" w:color="auto" w:fill="948A54" w:themeFill="background2" w:themeFillShade="80"/>
          </w:tcPr>
          <w:p w14:paraId="4D27669E" w14:textId="77777777" w:rsidR="006E020E" w:rsidRPr="00626FCE" w:rsidRDefault="006E020E" w:rsidP="00626FCE">
            <w:pPr>
              <w:spacing w:before="120" w:after="120"/>
              <w:rPr>
                <w:sz w:val="16"/>
                <w:szCs w:val="16"/>
              </w:rPr>
            </w:pPr>
          </w:p>
        </w:tc>
        <w:tc>
          <w:tcPr>
            <w:tcW w:w="709" w:type="dxa"/>
            <w:shd w:val="clear" w:color="auto" w:fill="948A54" w:themeFill="background2" w:themeFillShade="80"/>
          </w:tcPr>
          <w:p w14:paraId="7B98AB6A" w14:textId="77777777" w:rsidR="006E020E" w:rsidRPr="00626FCE" w:rsidRDefault="006E020E" w:rsidP="00626FCE">
            <w:pPr>
              <w:spacing w:before="120" w:after="120"/>
              <w:rPr>
                <w:sz w:val="16"/>
                <w:szCs w:val="16"/>
              </w:rPr>
            </w:pPr>
          </w:p>
        </w:tc>
        <w:tc>
          <w:tcPr>
            <w:tcW w:w="733" w:type="dxa"/>
            <w:shd w:val="clear" w:color="auto" w:fill="948A54" w:themeFill="background2" w:themeFillShade="80"/>
          </w:tcPr>
          <w:p w14:paraId="2AF4F08E" w14:textId="77777777" w:rsidR="006E020E" w:rsidRPr="00626FCE" w:rsidRDefault="006E020E" w:rsidP="00626FCE">
            <w:pPr>
              <w:spacing w:before="120" w:after="120"/>
              <w:rPr>
                <w:sz w:val="16"/>
                <w:szCs w:val="16"/>
              </w:rPr>
            </w:pPr>
          </w:p>
        </w:tc>
        <w:tc>
          <w:tcPr>
            <w:tcW w:w="543" w:type="dxa"/>
            <w:shd w:val="clear" w:color="auto" w:fill="948A54" w:themeFill="background2" w:themeFillShade="80"/>
          </w:tcPr>
          <w:p w14:paraId="11BD328F" w14:textId="77777777" w:rsidR="006E020E" w:rsidRPr="00626FCE" w:rsidRDefault="006E020E" w:rsidP="00626FCE">
            <w:pPr>
              <w:spacing w:before="120" w:after="120"/>
              <w:rPr>
                <w:sz w:val="16"/>
                <w:szCs w:val="16"/>
              </w:rPr>
            </w:pPr>
          </w:p>
        </w:tc>
        <w:tc>
          <w:tcPr>
            <w:tcW w:w="567" w:type="dxa"/>
            <w:shd w:val="clear" w:color="auto" w:fill="948A54" w:themeFill="background2" w:themeFillShade="80"/>
          </w:tcPr>
          <w:p w14:paraId="2249498E" w14:textId="77777777" w:rsidR="006E020E" w:rsidRPr="00626FCE" w:rsidRDefault="006E020E" w:rsidP="00626FCE">
            <w:pPr>
              <w:spacing w:before="120" w:after="120"/>
              <w:rPr>
                <w:sz w:val="16"/>
                <w:szCs w:val="16"/>
              </w:rPr>
            </w:pPr>
          </w:p>
        </w:tc>
        <w:tc>
          <w:tcPr>
            <w:tcW w:w="567" w:type="dxa"/>
            <w:shd w:val="clear" w:color="auto" w:fill="948A54" w:themeFill="background2" w:themeFillShade="80"/>
          </w:tcPr>
          <w:p w14:paraId="70978980" w14:textId="77777777" w:rsidR="006E020E" w:rsidRPr="00626FCE" w:rsidRDefault="006E020E" w:rsidP="00626FCE">
            <w:pPr>
              <w:spacing w:before="120" w:after="120"/>
              <w:rPr>
                <w:sz w:val="16"/>
                <w:szCs w:val="16"/>
              </w:rPr>
            </w:pPr>
          </w:p>
        </w:tc>
        <w:tc>
          <w:tcPr>
            <w:tcW w:w="680" w:type="dxa"/>
            <w:shd w:val="clear" w:color="auto" w:fill="948A54" w:themeFill="background2" w:themeFillShade="80"/>
          </w:tcPr>
          <w:p w14:paraId="0082E732" w14:textId="77777777" w:rsidR="006E020E" w:rsidRPr="00626FCE" w:rsidRDefault="006E020E" w:rsidP="00626FCE">
            <w:pPr>
              <w:spacing w:before="120" w:after="120"/>
              <w:rPr>
                <w:sz w:val="16"/>
                <w:szCs w:val="16"/>
              </w:rPr>
            </w:pPr>
          </w:p>
        </w:tc>
        <w:tc>
          <w:tcPr>
            <w:tcW w:w="692" w:type="dxa"/>
            <w:shd w:val="clear" w:color="auto" w:fill="948A54" w:themeFill="background2" w:themeFillShade="80"/>
          </w:tcPr>
          <w:p w14:paraId="38EC07A9" w14:textId="77777777" w:rsidR="006E020E" w:rsidRPr="00626FCE" w:rsidRDefault="006E020E" w:rsidP="00626FCE">
            <w:pPr>
              <w:spacing w:before="120" w:after="120"/>
              <w:rPr>
                <w:sz w:val="16"/>
                <w:szCs w:val="16"/>
              </w:rPr>
            </w:pPr>
          </w:p>
        </w:tc>
        <w:tc>
          <w:tcPr>
            <w:tcW w:w="754" w:type="dxa"/>
            <w:shd w:val="clear" w:color="auto" w:fill="948A54" w:themeFill="background2" w:themeFillShade="80"/>
          </w:tcPr>
          <w:p w14:paraId="51EEB576" w14:textId="77777777" w:rsidR="006E020E" w:rsidRPr="00626FCE" w:rsidRDefault="006E020E" w:rsidP="00626FCE">
            <w:pPr>
              <w:spacing w:before="120" w:after="120"/>
              <w:rPr>
                <w:sz w:val="16"/>
                <w:szCs w:val="16"/>
              </w:rPr>
            </w:pPr>
          </w:p>
        </w:tc>
        <w:tc>
          <w:tcPr>
            <w:tcW w:w="709" w:type="dxa"/>
            <w:shd w:val="clear" w:color="auto" w:fill="948A54" w:themeFill="background2" w:themeFillShade="80"/>
          </w:tcPr>
          <w:p w14:paraId="4DB457B8" w14:textId="77777777" w:rsidR="006E020E" w:rsidRPr="00626FCE" w:rsidRDefault="006E020E" w:rsidP="00626FCE">
            <w:pPr>
              <w:spacing w:before="120" w:after="120"/>
              <w:rPr>
                <w:sz w:val="16"/>
                <w:szCs w:val="16"/>
              </w:rPr>
            </w:pPr>
          </w:p>
        </w:tc>
        <w:tc>
          <w:tcPr>
            <w:tcW w:w="567" w:type="dxa"/>
            <w:shd w:val="clear" w:color="auto" w:fill="948A54" w:themeFill="background2" w:themeFillShade="80"/>
          </w:tcPr>
          <w:p w14:paraId="1A95FE3F" w14:textId="77777777" w:rsidR="006E020E" w:rsidRPr="00626FCE" w:rsidRDefault="006E020E" w:rsidP="00626FCE">
            <w:pPr>
              <w:spacing w:before="120" w:after="120"/>
              <w:rPr>
                <w:sz w:val="16"/>
                <w:szCs w:val="16"/>
              </w:rPr>
            </w:pPr>
          </w:p>
        </w:tc>
        <w:tc>
          <w:tcPr>
            <w:tcW w:w="708" w:type="dxa"/>
            <w:shd w:val="clear" w:color="auto" w:fill="948A54" w:themeFill="background2" w:themeFillShade="80"/>
          </w:tcPr>
          <w:p w14:paraId="0747668B" w14:textId="77777777" w:rsidR="006E020E" w:rsidRPr="00626FCE" w:rsidRDefault="006E020E" w:rsidP="00626FCE">
            <w:pPr>
              <w:spacing w:before="120" w:after="120"/>
              <w:rPr>
                <w:sz w:val="16"/>
                <w:szCs w:val="16"/>
              </w:rPr>
            </w:pPr>
          </w:p>
        </w:tc>
        <w:tc>
          <w:tcPr>
            <w:tcW w:w="709" w:type="dxa"/>
            <w:shd w:val="clear" w:color="auto" w:fill="948A54" w:themeFill="background2" w:themeFillShade="80"/>
          </w:tcPr>
          <w:p w14:paraId="5935AA0D" w14:textId="77777777" w:rsidR="006E020E" w:rsidRPr="00626FCE" w:rsidRDefault="006E020E" w:rsidP="00626FCE">
            <w:pPr>
              <w:spacing w:before="120" w:after="120"/>
              <w:rPr>
                <w:sz w:val="16"/>
                <w:szCs w:val="16"/>
              </w:rPr>
            </w:pPr>
          </w:p>
        </w:tc>
        <w:tc>
          <w:tcPr>
            <w:tcW w:w="709" w:type="dxa"/>
            <w:shd w:val="clear" w:color="auto" w:fill="948A54" w:themeFill="background2" w:themeFillShade="80"/>
          </w:tcPr>
          <w:p w14:paraId="7AC9A077" w14:textId="77777777" w:rsidR="006E020E" w:rsidRPr="00626FCE" w:rsidRDefault="006E020E" w:rsidP="00626FCE">
            <w:pPr>
              <w:spacing w:before="120" w:after="120"/>
              <w:rPr>
                <w:sz w:val="16"/>
                <w:szCs w:val="16"/>
              </w:rPr>
            </w:pPr>
          </w:p>
        </w:tc>
        <w:tc>
          <w:tcPr>
            <w:tcW w:w="709" w:type="dxa"/>
            <w:shd w:val="clear" w:color="auto" w:fill="948A54" w:themeFill="background2" w:themeFillShade="80"/>
          </w:tcPr>
          <w:p w14:paraId="241DFD14" w14:textId="77777777" w:rsidR="006E020E" w:rsidRPr="00626FCE" w:rsidRDefault="006E020E" w:rsidP="00626FCE">
            <w:pPr>
              <w:spacing w:before="120" w:after="120"/>
              <w:rPr>
                <w:sz w:val="16"/>
                <w:szCs w:val="16"/>
              </w:rPr>
            </w:pPr>
          </w:p>
        </w:tc>
      </w:tr>
      <w:tr w:rsidR="00035227" w:rsidRPr="00626FCE" w14:paraId="3D29A08A" w14:textId="77777777" w:rsidTr="00035227">
        <w:trPr>
          <w:trHeight w:val="348"/>
        </w:trPr>
        <w:tc>
          <w:tcPr>
            <w:tcW w:w="1864" w:type="dxa"/>
            <w:shd w:val="clear" w:color="auto" w:fill="D9D9D9" w:themeFill="background1" w:themeFillShade="D9"/>
          </w:tcPr>
          <w:p w14:paraId="72245534" w14:textId="77777777" w:rsidR="006E020E" w:rsidRPr="00626FCE" w:rsidRDefault="006E020E" w:rsidP="00626FCE">
            <w:pPr>
              <w:spacing w:before="120" w:after="120"/>
              <w:rPr>
                <w:b/>
                <w:sz w:val="18"/>
                <w:szCs w:val="16"/>
              </w:rPr>
            </w:pPr>
          </w:p>
        </w:tc>
        <w:tc>
          <w:tcPr>
            <w:tcW w:w="706" w:type="dxa"/>
            <w:noWrap/>
          </w:tcPr>
          <w:p w14:paraId="76E5AC8A" w14:textId="77777777" w:rsidR="006E020E" w:rsidRPr="00626FCE" w:rsidRDefault="006E020E" w:rsidP="00626FCE">
            <w:pPr>
              <w:spacing w:before="120" w:after="120"/>
              <w:rPr>
                <w:sz w:val="16"/>
                <w:szCs w:val="16"/>
              </w:rPr>
            </w:pPr>
          </w:p>
        </w:tc>
        <w:tc>
          <w:tcPr>
            <w:tcW w:w="709" w:type="dxa"/>
            <w:gridSpan w:val="2"/>
          </w:tcPr>
          <w:p w14:paraId="641925B0" w14:textId="77777777" w:rsidR="006E020E" w:rsidRPr="00626FCE" w:rsidRDefault="006E020E" w:rsidP="00626FCE">
            <w:pPr>
              <w:spacing w:before="120" w:after="120"/>
              <w:rPr>
                <w:sz w:val="16"/>
                <w:szCs w:val="16"/>
              </w:rPr>
            </w:pPr>
          </w:p>
        </w:tc>
        <w:tc>
          <w:tcPr>
            <w:tcW w:w="709" w:type="dxa"/>
          </w:tcPr>
          <w:p w14:paraId="33C7BF02" w14:textId="77777777" w:rsidR="006E020E" w:rsidRPr="00626FCE" w:rsidRDefault="006E020E" w:rsidP="00626FCE">
            <w:pPr>
              <w:spacing w:before="120" w:after="120"/>
              <w:rPr>
                <w:sz w:val="16"/>
                <w:szCs w:val="16"/>
              </w:rPr>
            </w:pPr>
          </w:p>
        </w:tc>
        <w:tc>
          <w:tcPr>
            <w:tcW w:w="733" w:type="dxa"/>
          </w:tcPr>
          <w:p w14:paraId="10F7830D" w14:textId="77777777" w:rsidR="006E020E" w:rsidRPr="00626FCE" w:rsidRDefault="006E020E" w:rsidP="00626FCE">
            <w:pPr>
              <w:spacing w:before="120" w:after="120"/>
              <w:rPr>
                <w:sz w:val="16"/>
                <w:szCs w:val="16"/>
              </w:rPr>
            </w:pPr>
          </w:p>
        </w:tc>
        <w:tc>
          <w:tcPr>
            <w:tcW w:w="543" w:type="dxa"/>
          </w:tcPr>
          <w:p w14:paraId="026B3C9A" w14:textId="77777777" w:rsidR="006E020E" w:rsidRPr="00626FCE" w:rsidRDefault="006E020E" w:rsidP="00626FCE">
            <w:pPr>
              <w:spacing w:before="120" w:after="120"/>
              <w:rPr>
                <w:sz w:val="16"/>
                <w:szCs w:val="16"/>
              </w:rPr>
            </w:pPr>
          </w:p>
        </w:tc>
        <w:tc>
          <w:tcPr>
            <w:tcW w:w="567" w:type="dxa"/>
          </w:tcPr>
          <w:p w14:paraId="6700A03B" w14:textId="77777777" w:rsidR="006E020E" w:rsidRPr="00626FCE" w:rsidRDefault="006E020E" w:rsidP="00626FCE">
            <w:pPr>
              <w:spacing w:before="120" w:after="120"/>
              <w:rPr>
                <w:sz w:val="16"/>
                <w:szCs w:val="16"/>
              </w:rPr>
            </w:pPr>
          </w:p>
        </w:tc>
        <w:tc>
          <w:tcPr>
            <w:tcW w:w="567" w:type="dxa"/>
          </w:tcPr>
          <w:p w14:paraId="1E0FF1CC" w14:textId="77777777" w:rsidR="006E020E" w:rsidRPr="00626FCE" w:rsidRDefault="006E020E" w:rsidP="00626FCE">
            <w:pPr>
              <w:spacing w:before="120" w:after="120"/>
              <w:rPr>
                <w:sz w:val="16"/>
                <w:szCs w:val="16"/>
              </w:rPr>
            </w:pPr>
          </w:p>
        </w:tc>
        <w:tc>
          <w:tcPr>
            <w:tcW w:w="680" w:type="dxa"/>
          </w:tcPr>
          <w:p w14:paraId="64BBDAFA" w14:textId="77777777" w:rsidR="006E020E" w:rsidRPr="00626FCE" w:rsidRDefault="006E020E" w:rsidP="00626FCE">
            <w:pPr>
              <w:spacing w:before="120" w:after="120"/>
              <w:rPr>
                <w:sz w:val="16"/>
                <w:szCs w:val="16"/>
              </w:rPr>
            </w:pPr>
          </w:p>
        </w:tc>
        <w:tc>
          <w:tcPr>
            <w:tcW w:w="692" w:type="dxa"/>
          </w:tcPr>
          <w:p w14:paraId="15CC87AF" w14:textId="77777777" w:rsidR="006E020E" w:rsidRPr="00626FCE" w:rsidRDefault="006E020E" w:rsidP="00626FCE">
            <w:pPr>
              <w:spacing w:before="120" w:after="120"/>
              <w:rPr>
                <w:sz w:val="16"/>
                <w:szCs w:val="16"/>
              </w:rPr>
            </w:pPr>
          </w:p>
        </w:tc>
        <w:tc>
          <w:tcPr>
            <w:tcW w:w="754" w:type="dxa"/>
          </w:tcPr>
          <w:p w14:paraId="627DF666" w14:textId="77777777" w:rsidR="006E020E" w:rsidRPr="00626FCE" w:rsidRDefault="006E020E" w:rsidP="00626FCE">
            <w:pPr>
              <w:spacing w:before="120" w:after="120"/>
              <w:rPr>
                <w:sz w:val="16"/>
                <w:szCs w:val="16"/>
              </w:rPr>
            </w:pPr>
          </w:p>
        </w:tc>
        <w:tc>
          <w:tcPr>
            <w:tcW w:w="709" w:type="dxa"/>
          </w:tcPr>
          <w:p w14:paraId="15629F3E" w14:textId="77777777" w:rsidR="006E020E" w:rsidRPr="00626FCE" w:rsidRDefault="006E020E" w:rsidP="00626FCE">
            <w:pPr>
              <w:spacing w:before="120" w:after="120"/>
              <w:rPr>
                <w:sz w:val="16"/>
                <w:szCs w:val="16"/>
              </w:rPr>
            </w:pPr>
          </w:p>
        </w:tc>
        <w:tc>
          <w:tcPr>
            <w:tcW w:w="567" w:type="dxa"/>
          </w:tcPr>
          <w:p w14:paraId="0383CE7E" w14:textId="77777777" w:rsidR="006E020E" w:rsidRPr="00626FCE" w:rsidRDefault="006E020E" w:rsidP="00626FCE">
            <w:pPr>
              <w:spacing w:before="120" w:after="120"/>
              <w:rPr>
                <w:sz w:val="16"/>
                <w:szCs w:val="16"/>
              </w:rPr>
            </w:pPr>
          </w:p>
        </w:tc>
        <w:tc>
          <w:tcPr>
            <w:tcW w:w="708" w:type="dxa"/>
          </w:tcPr>
          <w:p w14:paraId="72955764" w14:textId="77777777" w:rsidR="006E020E" w:rsidRPr="00626FCE" w:rsidRDefault="006E020E" w:rsidP="00626FCE">
            <w:pPr>
              <w:spacing w:before="120" w:after="120"/>
              <w:rPr>
                <w:sz w:val="16"/>
                <w:szCs w:val="16"/>
              </w:rPr>
            </w:pPr>
          </w:p>
        </w:tc>
        <w:tc>
          <w:tcPr>
            <w:tcW w:w="709" w:type="dxa"/>
          </w:tcPr>
          <w:p w14:paraId="66468A31" w14:textId="77777777" w:rsidR="006E020E" w:rsidRPr="00626FCE" w:rsidRDefault="006E020E" w:rsidP="00626FCE">
            <w:pPr>
              <w:spacing w:before="120" w:after="120"/>
              <w:rPr>
                <w:sz w:val="16"/>
                <w:szCs w:val="16"/>
              </w:rPr>
            </w:pPr>
          </w:p>
        </w:tc>
        <w:tc>
          <w:tcPr>
            <w:tcW w:w="709" w:type="dxa"/>
          </w:tcPr>
          <w:p w14:paraId="3B30652C" w14:textId="77777777" w:rsidR="006E020E" w:rsidRPr="00626FCE" w:rsidRDefault="006E020E" w:rsidP="00626FCE">
            <w:pPr>
              <w:spacing w:before="120" w:after="120"/>
              <w:rPr>
                <w:sz w:val="16"/>
                <w:szCs w:val="16"/>
              </w:rPr>
            </w:pPr>
          </w:p>
        </w:tc>
        <w:tc>
          <w:tcPr>
            <w:tcW w:w="709" w:type="dxa"/>
          </w:tcPr>
          <w:p w14:paraId="4AA62DFD" w14:textId="77777777" w:rsidR="006E020E" w:rsidRPr="00626FCE" w:rsidRDefault="006E020E" w:rsidP="00626FCE">
            <w:pPr>
              <w:spacing w:before="120" w:after="120"/>
              <w:rPr>
                <w:sz w:val="16"/>
                <w:szCs w:val="16"/>
              </w:rPr>
            </w:pPr>
          </w:p>
        </w:tc>
      </w:tr>
      <w:tr w:rsidR="00035227" w:rsidRPr="00626FCE" w14:paraId="546246C5" w14:textId="77777777" w:rsidTr="00035227">
        <w:trPr>
          <w:trHeight w:val="348"/>
        </w:trPr>
        <w:tc>
          <w:tcPr>
            <w:tcW w:w="1864" w:type="dxa"/>
            <w:shd w:val="clear" w:color="auto" w:fill="D9D9D9" w:themeFill="background1" w:themeFillShade="D9"/>
            <w:hideMark/>
          </w:tcPr>
          <w:p w14:paraId="0100AA4C" w14:textId="6C129AEF" w:rsidR="00035227" w:rsidRPr="00035227" w:rsidRDefault="00035227" w:rsidP="00626FCE">
            <w:pPr>
              <w:spacing w:before="120" w:after="120"/>
              <w:rPr>
                <w:b/>
                <w:bCs/>
                <w:sz w:val="18"/>
                <w:szCs w:val="18"/>
                <w:lang w:val="en-US"/>
              </w:rPr>
            </w:pPr>
            <w:r w:rsidRPr="00035227">
              <w:rPr>
                <w:b/>
                <w:bCs/>
                <w:sz w:val="18"/>
                <w:szCs w:val="18"/>
              </w:rPr>
              <w:t>T 2.1 - Establishment of the OSS</w:t>
            </w:r>
          </w:p>
        </w:tc>
        <w:tc>
          <w:tcPr>
            <w:tcW w:w="2857" w:type="dxa"/>
            <w:gridSpan w:val="5"/>
            <w:shd w:val="clear" w:color="auto" w:fill="C4BC96" w:themeFill="background2" w:themeFillShade="BF"/>
            <w:noWrap/>
            <w:hideMark/>
          </w:tcPr>
          <w:p w14:paraId="5845F092" w14:textId="341081A7" w:rsidR="00035227" w:rsidRPr="00035227" w:rsidRDefault="00035227" w:rsidP="00035227">
            <w:pPr>
              <w:spacing w:before="120" w:after="120"/>
              <w:jc w:val="center"/>
              <w:rPr>
                <w:b/>
                <w:bCs/>
                <w:sz w:val="16"/>
                <w:szCs w:val="16"/>
              </w:rPr>
            </w:pPr>
            <w:r w:rsidRPr="00035227">
              <w:rPr>
                <w:rFonts w:ascii="CIDFont+F1" w:eastAsia="CIDFont+F1" w:hAnsiTheme="minorHAnsi" w:cs="CIDFont+F1"/>
                <w:b/>
                <w:bCs/>
                <w:color w:val="595959"/>
                <w:sz w:val="21"/>
                <w:szCs w:val="21"/>
                <w:lang w:val="el-GR"/>
              </w:rPr>
              <w:t>Establishment</w:t>
            </w:r>
          </w:p>
        </w:tc>
        <w:tc>
          <w:tcPr>
            <w:tcW w:w="5079" w:type="dxa"/>
            <w:gridSpan w:val="8"/>
            <w:shd w:val="clear" w:color="auto" w:fill="C4BC96" w:themeFill="background2" w:themeFillShade="BF"/>
          </w:tcPr>
          <w:p w14:paraId="706133F0" w14:textId="4419FCC2" w:rsidR="00035227" w:rsidRPr="00626FCE" w:rsidRDefault="00035227" w:rsidP="00035227">
            <w:pPr>
              <w:spacing w:before="120" w:after="120"/>
              <w:jc w:val="center"/>
              <w:rPr>
                <w:sz w:val="16"/>
                <w:szCs w:val="16"/>
              </w:rPr>
            </w:pPr>
            <w:r w:rsidRPr="00035227">
              <w:rPr>
                <w:rFonts w:ascii="CIDFont+F1" w:eastAsia="CIDFont+F1" w:hAnsiTheme="minorHAnsi" w:cs="CIDFont+F1"/>
                <w:b/>
                <w:bCs/>
                <w:color w:val="595959"/>
                <w:sz w:val="21"/>
                <w:szCs w:val="21"/>
                <w:lang w:val="el-GR"/>
              </w:rPr>
              <w:t>Testing &amp; Validation</w:t>
            </w:r>
          </w:p>
        </w:tc>
        <w:tc>
          <w:tcPr>
            <w:tcW w:w="2835" w:type="dxa"/>
            <w:gridSpan w:val="4"/>
            <w:shd w:val="clear" w:color="auto" w:fill="C4BC96" w:themeFill="background2" w:themeFillShade="BF"/>
          </w:tcPr>
          <w:p w14:paraId="0290AB57" w14:textId="1514D534" w:rsidR="00035227" w:rsidRPr="00626FCE" w:rsidRDefault="00035227" w:rsidP="00035227">
            <w:pPr>
              <w:spacing w:before="120" w:after="120"/>
              <w:jc w:val="center"/>
              <w:rPr>
                <w:sz w:val="16"/>
                <w:szCs w:val="16"/>
              </w:rPr>
            </w:pPr>
            <w:r w:rsidRPr="00035227">
              <w:rPr>
                <w:rFonts w:ascii="CIDFont+F1" w:eastAsia="CIDFont+F1" w:hAnsiTheme="minorHAnsi" w:cs="CIDFont+F1"/>
                <w:b/>
                <w:bCs/>
                <w:color w:val="595959"/>
                <w:sz w:val="21"/>
                <w:szCs w:val="21"/>
                <w:lang w:val="el-GR"/>
              </w:rPr>
              <w:t>Full operation</w:t>
            </w:r>
          </w:p>
        </w:tc>
      </w:tr>
      <w:tr w:rsidR="0099595B" w:rsidRPr="00626FCE" w14:paraId="11796C63" w14:textId="77777777" w:rsidTr="00C07C4B">
        <w:trPr>
          <w:trHeight w:val="348"/>
        </w:trPr>
        <w:tc>
          <w:tcPr>
            <w:tcW w:w="1864" w:type="dxa"/>
            <w:shd w:val="clear" w:color="auto" w:fill="D9D9D9" w:themeFill="background1" w:themeFillShade="D9"/>
          </w:tcPr>
          <w:p w14:paraId="5941D75F" w14:textId="77777777" w:rsidR="0099595B" w:rsidRPr="00626FCE" w:rsidRDefault="0099595B" w:rsidP="00626FCE">
            <w:pPr>
              <w:spacing w:before="120" w:after="120"/>
              <w:rPr>
                <w:b/>
                <w:sz w:val="18"/>
                <w:szCs w:val="16"/>
              </w:rPr>
            </w:pPr>
          </w:p>
        </w:tc>
        <w:tc>
          <w:tcPr>
            <w:tcW w:w="3967" w:type="dxa"/>
            <w:gridSpan w:val="7"/>
            <w:shd w:val="clear" w:color="auto" w:fill="C00000"/>
            <w:noWrap/>
          </w:tcPr>
          <w:p w14:paraId="62F46BF1" w14:textId="77777777" w:rsidR="0099595B" w:rsidRPr="00626FCE" w:rsidRDefault="0099595B" w:rsidP="00626FCE">
            <w:pPr>
              <w:spacing w:before="120" w:after="120"/>
              <w:rPr>
                <w:sz w:val="16"/>
                <w:szCs w:val="16"/>
              </w:rPr>
            </w:pPr>
          </w:p>
        </w:tc>
        <w:tc>
          <w:tcPr>
            <w:tcW w:w="567" w:type="dxa"/>
          </w:tcPr>
          <w:p w14:paraId="55DDF5DC" w14:textId="77777777" w:rsidR="0099595B" w:rsidRPr="00626FCE" w:rsidRDefault="0099595B" w:rsidP="00626FCE">
            <w:pPr>
              <w:spacing w:before="120" w:after="120"/>
              <w:rPr>
                <w:sz w:val="16"/>
                <w:szCs w:val="16"/>
              </w:rPr>
            </w:pPr>
          </w:p>
        </w:tc>
        <w:tc>
          <w:tcPr>
            <w:tcW w:w="680" w:type="dxa"/>
          </w:tcPr>
          <w:p w14:paraId="3F2DD5AF" w14:textId="77777777" w:rsidR="0099595B" w:rsidRPr="00626FCE" w:rsidRDefault="0099595B" w:rsidP="00626FCE">
            <w:pPr>
              <w:spacing w:before="120" w:after="120"/>
              <w:rPr>
                <w:sz w:val="16"/>
                <w:szCs w:val="16"/>
              </w:rPr>
            </w:pPr>
          </w:p>
        </w:tc>
        <w:tc>
          <w:tcPr>
            <w:tcW w:w="692" w:type="dxa"/>
          </w:tcPr>
          <w:p w14:paraId="5C6B6F77" w14:textId="77777777" w:rsidR="0099595B" w:rsidRPr="00626FCE" w:rsidRDefault="0099595B" w:rsidP="00626FCE">
            <w:pPr>
              <w:spacing w:before="120" w:after="120"/>
              <w:rPr>
                <w:sz w:val="16"/>
                <w:szCs w:val="16"/>
              </w:rPr>
            </w:pPr>
          </w:p>
        </w:tc>
        <w:tc>
          <w:tcPr>
            <w:tcW w:w="754" w:type="dxa"/>
            <w:shd w:val="clear" w:color="auto" w:fill="FFFFFF" w:themeFill="background1"/>
          </w:tcPr>
          <w:p w14:paraId="20A020B8" w14:textId="77777777" w:rsidR="0099595B" w:rsidRPr="00626FCE" w:rsidRDefault="0099595B" w:rsidP="00626FCE">
            <w:pPr>
              <w:spacing w:before="120" w:after="120"/>
              <w:rPr>
                <w:sz w:val="16"/>
                <w:szCs w:val="16"/>
              </w:rPr>
            </w:pPr>
          </w:p>
        </w:tc>
        <w:tc>
          <w:tcPr>
            <w:tcW w:w="709" w:type="dxa"/>
            <w:shd w:val="clear" w:color="auto" w:fill="FFFFFF" w:themeFill="background1"/>
          </w:tcPr>
          <w:p w14:paraId="3A13E951" w14:textId="77777777" w:rsidR="0099595B" w:rsidRPr="00626FCE" w:rsidRDefault="0099595B" w:rsidP="00626FCE">
            <w:pPr>
              <w:spacing w:before="120" w:after="120"/>
              <w:rPr>
                <w:sz w:val="16"/>
                <w:szCs w:val="16"/>
              </w:rPr>
            </w:pPr>
          </w:p>
        </w:tc>
        <w:tc>
          <w:tcPr>
            <w:tcW w:w="567" w:type="dxa"/>
            <w:shd w:val="clear" w:color="auto" w:fill="FFFFFF" w:themeFill="background1"/>
          </w:tcPr>
          <w:p w14:paraId="28EAA44A" w14:textId="77777777" w:rsidR="0099595B" w:rsidRPr="00626FCE" w:rsidRDefault="0099595B" w:rsidP="00626FCE">
            <w:pPr>
              <w:spacing w:before="120" w:after="120"/>
              <w:rPr>
                <w:sz w:val="16"/>
                <w:szCs w:val="16"/>
              </w:rPr>
            </w:pPr>
          </w:p>
        </w:tc>
        <w:tc>
          <w:tcPr>
            <w:tcW w:w="708" w:type="dxa"/>
            <w:shd w:val="clear" w:color="auto" w:fill="FFFFFF" w:themeFill="background1"/>
          </w:tcPr>
          <w:p w14:paraId="4CAD78E2" w14:textId="77777777" w:rsidR="0099595B" w:rsidRPr="00626FCE" w:rsidRDefault="0099595B" w:rsidP="00626FCE">
            <w:pPr>
              <w:spacing w:before="120" w:after="120"/>
              <w:rPr>
                <w:sz w:val="16"/>
                <w:szCs w:val="16"/>
              </w:rPr>
            </w:pPr>
          </w:p>
        </w:tc>
        <w:tc>
          <w:tcPr>
            <w:tcW w:w="709" w:type="dxa"/>
            <w:shd w:val="clear" w:color="auto" w:fill="FFFFFF" w:themeFill="background1"/>
          </w:tcPr>
          <w:p w14:paraId="36035350" w14:textId="77777777" w:rsidR="0099595B" w:rsidRPr="00626FCE" w:rsidRDefault="0099595B" w:rsidP="00626FCE">
            <w:pPr>
              <w:spacing w:before="120" w:after="120"/>
              <w:rPr>
                <w:sz w:val="16"/>
                <w:szCs w:val="16"/>
              </w:rPr>
            </w:pPr>
          </w:p>
        </w:tc>
        <w:tc>
          <w:tcPr>
            <w:tcW w:w="709" w:type="dxa"/>
            <w:shd w:val="clear" w:color="auto" w:fill="FFFFFF" w:themeFill="background1"/>
          </w:tcPr>
          <w:p w14:paraId="389FFC67" w14:textId="77777777" w:rsidR="0099595B" w:rsidRPr="00626FCE" w:rsidRDefault="0099595B" w:rsidP="00626FCE">
            <w:pPr>
              <w:spacing w:before="120" w:after="120"/>
              <w:rPr>
                <w:sz w:val="16"/>
                <w:szCs w:val="16"/>
              </w:rPr>
            </w:pPr>
          </w:p>
        </w:tc>
        <w:tc>
          <w:tcPr>
            <w:tcW w:w="709" w:type="dxa"/>
            <w:shd w:val="clear" w:color="auto" w:fill="FFFFFF" w:themeFill="background1"/>
          </w:tcPr>
          <w:p w14:paraId="6CA2DB2D" w14:textId="77777777" w:rsidR="0099595B" w:rsidRPr="00626FCE" w:rsidRDefault="0099595B" w:rsidP="00626FCE">
            <w:pPr>
              <w:spacing w:before="120" w:after="120"/>
              <w:rPr>
                <w:sz w:val="16"/>
                <w:szCs w:val="16"/>
              </w:rPr>
            </w:pPr>
          </w:p>
        </w:tc>
      </w:tr>
      <w:tr w:rsidR="00F56275" w:rsidRPr="00626FCE" w14:paraId="387F163E" w14:textId="77777777" w:rsidTr="00F56275">
        <w:trPr>
          <w:trHeight w:val="348"/>
        </w:trPr>
        <w:tc>
          <w:tcPr>
            <w:tcW w:w="1864" w:type="dxa"/>
            <w:shd w:val="clear" w:color="auto" w:fill="D9D9D9" w:themeFill="background1" w:themeFillShade="D9"/>
          </w:tcPr>
          <w:p w14:paraId="6F75F0AC" w14:textId="7557DEAF" w:rsidR="00F56275" w:rsidRPr="00F56275" w:rsidRDefault="00F56275" w:rsidP="00626FCE">
            <w:pPr>
              <w:spacing w:before="120" w:after="120"/>
              <w:rPr>
                <w:b/>
                <w:sz w:val="18"/>
                <w:szCs w:val="16"/>
                <w:lang w:val="en-US"/>
              </w:rPr>
            </w:pPr>
            <w:r w:rsidRPr="00F56275">
              <w:rPr>
                <w:b/>
                <w:sz w:val="18"/>
                <w:szCs w:val="16"/>
                <w:lang w:val="en-US"/>
              </w:rPr>
              <w:t>T 2.2 - Quality Assurance Plan, QAP</w:t>
            </w:r>
          </w:p>
        </w:tc>
        <w:tc>
          <w:tcPr>
            <w:tcW w:w="714" w:type="dxa"/>
            <w:gridSpan w:val="2"/>
            <w:shd w:val="clear" w:color="auto" w:fill="FFFFFF" w:themeFill="background1"/>
            <w:noWrap/>
          </w:tcPr>
          <w:p w14:paraId="6307C7E1" w14:textId="77777777" w:rsidR="00F56275" w:rsidRPr="00626FCE" w:rsidRDefault="00F56275" w:rsidP="00626FCE">
            <w:pPr>
              <w:spacing w:before="120" w:after="120"/>
              <w:rPr>
                <w:sz w:val="16"/>
                <w:szCs w:val="16"/>
              </w:rPr>
            </w:pPr>
          </w:p>
        </w:tc>
        <w:tc>
          <w:tcPr>
            <w:tcW w:w="2143" w:type="dxa"/>
            <w:gridSpan w:val="3"/>
            <w:shd w:val="clear" w:color="auto" w:fill="C4BC96" w:themeFill="background2" w:themeFillShade="BF"/>
          </w:tcPr>
          <w:p w14:paraId="16C7E84B" w14:textId="09C57C3C" w:rsidR="00F56275" w:rsidRPr="00626FCE" w:rsidRDefault="00F56275" w:rsidP="00F56275">
            <w:pPr>
              <w:spacing w:before="120" w:after="120"/>
              <w:jc w:val="center"/>
              <w:rPr>
                <w:sz w:val="16"/>
                <w:szCs w:val="16"/>
              </w:rPr>
            </w:pPr>
            <w:r w:rsidRPr="00F56275">
              <w:rPr>
                <w:rFonts w:ascii="CIDFont+F1" w:eastAsia="CIDFont+F1" w:hAnsiTheme="minorHAnsi" w:cs="CIDFont+F1"/>
                <w:b/>
                <w:bCs/>
                <w:color w:val="595959"/>
                <w:sz w:val="21"/>
                <w:szCs w:val="21"/>
                <w:lang w:val="el-GR"/>
              </w:rPr>
              <w:t>Development</w:t>
            </w:r>
          </w:p>
        </w:tc>
        <w:tc>
          <w:tcPr>
            <w:tcW w:w="5079" w:type="dxa"/>
            <w:gridSpan w:val="8"/>
            <w:shd w:val="clear" w:color="auto" w:fill="C4BC96" w:themeFill="background2" w:themeFillShade="BF"/>
          </w:tcPr>
          <w:p w14:paraId="2DBDC43E" w14:textId="6005D0E5" w:rsidR="00F56275" w:rsidRPr="00626FCE" w:rsidRDefault="00F56275" w:rsidP="00F56275">
            <w:pPr>
              <w:spacing w:before="120" w:after="120"/>
              <w:jc w:val="center"/>
              <w:rPr>
                <w:sz w:val="16"/>
                <w:szCs w:val="16"/>
              </w:rPr>
            </w:pPr>
            <w:r w:rsidRPr="00F56275">
              <w:rPr>
                <w:rFonts w:ascii="CIDFont+F1" w:eastAsia="CIDFont+F1" w:hAnsiTheme="minorHAnsi" w:cs="CIDFont+F1"/>
                <w:b/>
                <w:bCs/>
                <w:color w:val="595959"/>
                <w:sz w:val="21"/>
                <w:szCs w:val="21"/>
                <w:lang w:val="el-GR"/>
              </w:rPr>
              <w:t>Revisions</w:t>
            </w:r>
          </w:p>
        </w:tc>
        <w:tc>
          <w:tcPr>
            <w:tcW w:w="708" w:type="dxa"/>
            <w:shd w:val="clear" w:color="auto" w:fill="C4BC96" w:themeFill="background2" w:themeFillShade="BF"/>
          </w:tcPr>
          <w:p w14:paraId="23B723FE" w14:textId="77777777" w:rsidR="00F56275" w:rsidRPr="00626FCE" w:rsidRDefault="00F56275" w:rsidP="00626FCE">
            <w:pPr>
              <w:spacing w:before="120" w:after="120"/>
              <w:rPr>
                <w:sz w:val="16"/>
                <w:szCs w:val="16"/>
              </w:rPr>
            </w:pPr>
          </w:p>
        </w:tc>
        <w:tc>
          <w:tcPr>
            <w:tcW w:w="709" w:type="dxa"/>
            <w:shd w:val="clear" w:color="auto" w:fill="FFFFFF" w:themeFill="background1"/>
          </w:tcPr>
          <w:p w14:paraId="43EC8218" w14:textId="77777777" w:rsidR="00F56275" w:rsidRPr="00626FCE" w:rsidRDefault="00F56275" w:rsidP="00626FCE">
            <w:pPr>
              <w:spacing w:before="120" w:after="120"/>
              <w:rPr>
                <w:sz w:val="16"/>
                <w:szCs w:val="16"/>
              </w:rPr>
            </w:pPr>
          </w:p>
        </w:tc>
        <w:tc>
          <w:tcPr>
            <w:tcW w:w="709" w:type="dxa"/>
            <w:shd w:val="clear" w:color="auto" w:fill="FFFFFF" w:themeFill="background1"/>
          </w:tcPr>
          <w:p w14:paraId="63479CBF" w14:textId="77777777" w:rsidR="00F56275" w:rsidRPr="00626FCE" w:rsidRDefault="00F56275" w:rsidP="00626FCE">
            <w:pPr>
              <w:spacing w:before="120" w:after="120"/>
              <w:rPr>
                <w:sz w:val="16"/>
                <w:szCs w:val="16"/>
              </w:rPr>
            </w:pPr>
          </w:p>
        </w:tc>
        <w:tc>
          <w:tcPr>
            <w:tcW w:w="709" w:type="dxa"/>
            <w:shd w:val="clear" w:color="auto" w:fill="FFFFFF" w:themeFill="background1"/>
          </w:tcPr>
          <w:p w14:paraId="0CF89BD6" w14:textId="394B959B" w:rsidR="00F56275" w:rsidRPr="00626FCE" w:rsidRDefault="00F56275" w:rsidP="00626FCE">
            <w:pPr>
              <w:spacing w:before="120" w:after="120"/>
              <w:rPr>
                <w:sz w:val="16"/>
                <w:szCs w:val="16"/>
              </w:rPr>
            </w:pPr>
          </w:p>
        </w:tc>
      </w:tr>
      <w:tr w:rsidR="00F56275" w:rsidRPr="00626FCE" w14:paraId="24D911D1" w14:textId="77777777" w:rsidTr="00F56275">
        <w:trPr>
          <w:trHeight w:val="348"/>
        </w:trPr>
        <w:tc>
          <w:tcPr>
            <w:tcW w:w="1864" w:type="dxa"/>
            <w:shd w:val="clear" w:color="auto" w:fill="D9D9D9" w:themeFill="background1" w:themeFillShade="D9"/>
          </w:tcPr>
          <w:p w14:paraId="7E851685" w14:textId="77777777" w:rsidR="00F56275" w:rsidRPr="00626FCE" w:rsidRDefault="00F56275" w:rsidP="00626FCE">
            <w:pPr>
              <w:spacing w:before="120" w:after="120"/>
              <w:rPr>
                <w:b/>
                <w:sz w:val="18"/>
                <w:szCs w:val="16"/>
              </w:rPr>
            </w:pPr>
          </w:p>
        </w:tc>
        <w:tc>
          <w:tcPr>
            <w:tcW w:w="706" w:type="dxa"/>
            <w:shd w:val="clear" w:color="auto" w:fill="FFFFFF" w:themeFill="background1"/>
            <w:noWrap/>
          </w:tcPr>
          <w:p w14:paraId="52BDEFE4" w14:textId="77777777" w:rsidR="00F56275" w:rsidRPr="00626FCE" w:rsidRDefault="00F56275" w:rsidP="00626FCE">
            <w:pPr>
              <w:spacing w:before="120" w:after="120"/>
              <w:rPr>
                <w:sz w:val="16"/>
                <w:szCs w:val="16"/>
              </w:rPr>
            </w:pPr>
          </w:p>
        </w:tc>
        <w:tc>
          <w:tcPr>
            <w:tcW w:w="709" w:type="dxa"/>
            <w:gridSpan w:val="2"/>
            <w:shd w:val="clear" w:color="auto" w:fill="FFFFFF" w:themeFill="background1"/>
          </w:tcPr>
          <w:p w14:paraId="5BA8D62B" w14:textId="77777777" w:rsidR="00F56275" w:rsidRPr="00626FCE" w:rsidRDefault="00F56275" w:rsidP="00626FCE">
            <w:pPr>
              <w:spacing w:before="120" w:after="120"/>
              <w:rPr>
                <w:sz w:val="16"/>
                <w:szCs w:val="16"/>
              </w:rPr>
            </w:pPr>
          </w:p>
        </w:tc>
        <w:tc>
          <w:tcPr>
            <w:tcW w:w="709" w:type="dxa"/>
            <w:shd w:val="clear" w:color="auto" w:fill="FFFFFF" w:themeFill="background1"/>
          </w:tcPr>
          <w:p w14:paraId="772D0F60" w14:textId="77777777" w:rsidR="00F56275" w:rsidRPr="00626FCE" w:rsidRDefault="00F56275" w:rsidP="00626FCE">
            <w:pPr>
              <w:spacing w:before="120" w:after="120"/>
              <w:rPr>
                <w:sz w:val="16"/>
                <w:szCs w:val="16"/>
              </w:rPr>
            </w:pPr>
          </w:p>
        </w:tc>
        <w:tc>
          <w:tcPr>
            <w:tcW w:w="733" w:type="dxa"/>
            <w:shd w:val="clear" w:color="auto" w:fill="FFFFFF" w:themeFill="background1"/>
          </w:tcPr>
          <w:p w14:paraId="16B3DB53" w14:textId="77777777" w:rsidR="00F56275" w:rsidRPr="00626FCE" w:rsidRDefault="00F56275" w:rsidP="00626FCE">
            <w:pPr>
              <w:spacing w:before="120" w:after="120"/>
              <w:rPr>
                <w:sz w:val="16"/>
                <w:szCs w:val="16"/>
              </w:rPr>
            </w:pPr>
          </w:p>
        </w:tc>
        <w:tc>
          <w:tcPr>
            <w:tcW w:w="543" w:type="dxa"/>
            <w:shd w:val="clear" w:color="auto" w:fill="FFFFFF" w:themeFill="background1"/>
          </w:tcPr>
          <w:p w14:paraId="0CF1C5F7" w14:textId="77777777" w:rsidR="00F56275" w:rsidRPr="00626FCE" w:rsidRDefault="00F56275" w:rsidP="00626FCE">
            <w:pPr>
              <w:spacing w:before="120" w:after="120"/>
              <w:rPr>
                <w:sz w:val="16"/>
                <w:szCs w:val="16"/>
              </w:rPr>
            </w:pPr>
          </w:p>
        </w:tc>
        <w:tc>
          <w:tcPr>
            <w:tcW w:w="567" w:type="dxa"/>
            <w:shd w:val="clear" w:color="auto" w:fill="FFFFFF" w:themeFill="background1"/>
          </w:tcPr>
          <w:p w14:paraId="32443ACC" w14:textId="77777777" w:rsidR="00F56275" w:rsidRPr="00626FCE" w:rsidRDefault="00F56275" w:rsidP="00626FCE">
            <w:pPr>
              <w:spacing w:before="120" w:after="120"/>
              <w:rPr>
                <w:sz w:val="16"/>
                <w:szCs w:val="16"/>
              </w:rPr>
            </w:pPr>
          </w:p>
        </w:tc>
        <w:tc>
          <w:tcPr>
            <w:tcW w:w="567" w:type="dxa"/>
          </w:tcPr>
          <w:p w14:paraId="7E906212" w14:textId="77777777" w:rsidR="00F56275" w:rsidRPr="00626FCE" w:rsidRDefault="00F56275" w:rsidP="00626FCE">
            <w:pPr>
              <w:spacing w:before="120" w:after="120"/>
              <w:rPr>
                <w:sz w:val="16"/>
                <w:szCs w:val="16"/>
              </w:rPr>
            </w:pPr>
          </w:p>
        </w:tc>
        <w:tc>
          <w:tcPr>
            <w:tcW w:w="680" w:type="dxa"/>
          </w:tcPr>
          <w:p w14:paraId="040F5510" w14:textId="77777777" w:rsidR="00F56275" w:rsidRPr="00626FCE" w:rsidRDefault="00F56275" w:rsidP="00626FCE">
            <w:pPr>
              <w:spacing w:before="120" w:after="120"/>
              <w:rPr>
                <w:sz w:val="16"/>
                <w:szCs w:val="16"/>
              </w:rPr>
            </w:pPr>
          </w:p>
        </w:tc>
        <w:tc>
          <w:tcPr>
            <w:tcW w:w="692" w:type="dxa"/>
          </w:tcPr>
          <w:p w14:paraId="5B3EF87D" w14:textId="77777777" w:rsidR="00F56275" w:rsidRPr="00626FCE" w:rsidRDefault="00F56275" w:rsidP="00626FCE">
            <w:pPr>
              <w:spacing w:before="120" w:after="120"/>
              <w:rPr>
                <w:sz w:val="16"/>
                <w:szCs w:val="16"/>
              </w:rPr>
            </w:pPr>
          </w:p>
        </w:tc>
        <w:tc>
          <w:tcPr>
            <w:tcW w:w="754" w:type="dxa"/>
            <w:shd w:val="clear" w:color="auto" w:fill="FFFFFF" w:themeFill="background1"/>
          </w:tcPr>
          <w:p w14:paraId="19CFBDA9" w14:textId="77777777" w:rsidR="00F56275" w:rsidRPr="00626FCE" w:rsidRDefault="00F56275" w:rsidP="00626FCE">
            <w:pPr>
              <w:spacing w:before="120" w:after="120"/>
              <w:rPr>
                <w:sz w:val="16"/>
                <w:szCs w:val="16"/>
              </w:rPr>
            </w:pPr>
          </w:p>
        </w:tc>
        <w:tc>
          <w:tcPr>
            <w:tcW w:w="709" w:type="dxa"/>
            <w:shd w:val="clear" w:color="auto" w:fill="FFFFFF" w:themeFill="background1"/>
          </w:tcPr>
          <w:p w14:paraId="51ABC599" w14:textId="77777777" w:rsidR="00F56275" w:rsidRPr="00626FCE" w:rsidRDefault="00F56275" w:rsidP="00626FCE">
            <w:pPr>
              <w:spacing w:before="120" w:after="120"/>
              <w:rPr>
                <w:sz w:val="16"/>
                <w:szCs w:val="16"/>
              </w:rPr>
            </w:pPr>
          </w:p>
        </w:tc>
        <w:tc>
          <w:tcPr>
            <w:tcW w:w="567" w:type="dxa"/>
            <w:shd w:val="clear" w:color="auto" w:fill="FFFFFF" w:themeFill="background1"/>
          </w:tcPr>
          <w:p w14:paraId="45C86A2E" w14:textId="77777777" w:rsidR="00F56275" w:rsidRPr="00626FCE" w:rsidRDefault="00F56275" w:rsidP="00626FCE">
            <w:pPr>
              <w:spacing w:before="120" w:after="120"/>
              <w:rPr>
                <w:sz w:val="16"/>
                <w:szCs w:val="16"/>
              </w:rPr>
            </w:pPr>
          </w:p>
        </w:tc>
        <w:tc>
          <w:tcPr>
            <w:tcW w:w="708" w:type="dxa"/>
            <w:shd w:val="clear" w:color="auto" w:fill="FFFFFF" w:themeFill="background1"/>
          </w:tcPr>
          <w:p w14:paraId="349E3A42" w14:textId="77777777" w:rsidR="00F56275" w:rsidRPr="00626FCE" w:rsidRDefault="00F56275" w:rsidP="00626FCE">
            <w:pPr>
              <w:spacing w:before="120" w:after="120"/>
              <w:rPr>
                <w:sz w:val="16"/>
                <w:szCs w:val="16"/>
              </w:rPr>
            </w:pPr>
          </w:p>
        </w:tc>
        <w:tc>
          <w:tcPr>
            <w:tcW w:w="709" w:type="dxa"/>
            <w:shd w:val="clear" w:color="auto" w:fill="FFFFFF" w:themeFill="background1"/>
          </w:tcPr>
          <w:p w14:paraId="352DBDC2" w14:textId="77777777" w:rsidR="00F56275" w:rsidRPr="00626FCE" w:rsidRDefault="00F56275" w:rsidP="00626FCE">
            <w:pPr>
              <w:spacing w:before="120" w:after="120"/>
              <w:rPr>
                <w:sz w:val="16"/>
                <w:szCs w:val="16"/>
              </w:rPr>
            </w:pPr>
          </w:p>
        </w:tc>
        <w:tc>
          <w:tcPr>
            <w:tcW w:w="709" w:type="dxa"/>
            <w:shd w:val="clear" w:color="auto" w:fill="FFFFFF" w:themeFill="background1"/>
          </w:tcPr>
          <w:p w14:paraId="36D595C4" w14:textId="77777777" w:rsidR="00F56275" w:rsidRPr="00626FCE" w:rsidRDefault="00F56275" w:rsidP="00626FCE">
            <w:pPr>
              <w:spacing w:before="120" w:after="120"/>
              <w:rPr>
                <w:sz w:val="16"/>
                <w:szCs w:val="16"/>
              </w:rPr>
            </w:pPr>
          </w:p>
        </w:tc>
        <w:tc>
          <w:tcPr>
            <w:tcW w:w="709" w:type="dxa"/>
            <w:shd w:val="clear" w:color="auto" w:fill="FFFFFF" w:themeFill="background1"/>
          </w:tcPr>
          <w:p w14:paraId="3ADF5553" w14:textId="77777777" w:rsidR="00F56275" w:rsidRPr="00626FCE" w:rsidRDefault="00F56275" w:rsidP="00626FCE">
            <w:pPr>
              <w:spacing w:before="120" w:after="120"/>
              <w:rPr>
                <w:sz w:val="16"/>
                <w:szCs w:val="16"/>
              </w:rPr>
            </w:pPr>
          </w:p>
        </w:tc>
      </w:tr>
      <w:tr w:rsidR="00F56275" w:rsidRPr="00626FCE" w14:paraId="0F0D400C" w14:textId="77777777" w:rsidTr="00E52108">
        <w:trPr>
          <w:trHeight w:val="348"/>
        </w:trPr>
        <w:tc>
          <w:tcPr>
            <w:tcW w:w="1864" w:type="dxa"/>
            <w:shd w:val="clear" w:color="auto" w:fill="D9D9D9" w:themeFill="background1" w:themeFillShade="D9"/>
          </w:tcPr>
          <w:p w14:paraId="5BFAE8C9" w14:textId="396A364E" w:rsidR="00F56275" w:rsidRPr="00626FCE" w:rsidRDefault="00F56275" w:rsidP="00626FCE">
            <w:pPr>
              <w:spacing w:before="120" w:after="120"/>
              <w:rPr>
                <w:b/>
                <w:sz w:val="18"/>
                <w:szCs w:val="16"/>
              </w:rPr>
            </w:pPr>
            <w:r w:rsidRPr="00F56275">
              <w:rPr>
                <w:b/>
                <w:sz w:val="18"/>
                <w:szCs w:val="16"/>
              </w:rPr>
              <w:lastRenderedPageBreak/>
              <w:t>WP3 - OSS Services Development</w:t>
            </w:r>
          </w:p>
        </w:tc>
        <w:tc>
          <w:tcPr>
            <w:tcW w:w="706" w:type="dxa"/>
            <w:shd w:val="clear" w:color="auto" w:fill="948A54" w:themeFill="background2" w:themeFillShade="80"/>
            <w:noWrap/>
          </w:tcPr>
          <w:p w14:paraId="43C159E2" w14:textId="77777777" w:rsidR="00F56275" w:rsidRPr="00626FCE" w:rsidRDefault="00F56275" w:rsidP="00626FCE">
            <w:pPr>
              <w:spacing w:before="120" w:after="120"/>
              <w:rPr>
                <w:sz w:val="16"/>
                <w:szCs w:val="16"/>
              </w:rPr>
            </w:pPr>
          </w:p>
        </w:tc>
        <w:tc>
          <w:tcPr>
            <w:tcW w:w="709" w:type="dxa"/>
            <w:gridSpan w:val="2"/>
            <w:shd w:val="clear" w:color="auto" w:fill="948A54" w:themeFill="background2" w:themeFillShade="80"/>
          </w:tcPr>
          <w:p w14:paraId="6BA21E66" w14:textId="77777777" w:rsidR="00F56275" w:rsidRPr="00626FCE" w:rsidRDefault="00F56275" w:rsidP="00626FCE">
            <w:pPr>
              <w:spacing w:before="120" w:after="120"/>
              <w:rPr>
                <w:sz w:val="16"/>
                <w:szCs w:val="16"/>
              </w:rPr>
            </w:pPr>
          </w:p>
        </w:tc>
        <w:tc>
          <w:tcPr>
            <w:tcW w:w="709" w:type="dxa"/>
            <w:shd w:val="clear" w:color="auto" w:fill="948A54" w:themeFill="background2" w:themeFillShade="80"/>
          </w:tcPr>
          <w:p w14:paraId="45750D17" w14:textId="77777777" w:rsidR="00F56275" w:rsidRPr="00626FCE" w:rsidRDefault="00F56275" w:rsidP="00626FCE">
            <w:pPr>
              <w:spacing w:before="120" w:after="120"/>
              <w:rPr>
                <w:sz w:val="16"/>
                <w:szCs w:val="16"/>
              </w:rPr>
            </w:pPr>
          </w:p>
        </w:tc>
        <w:tc>
          <w:tcPr>
            <w:tcW w:w="733" w:type="dxa"/>
            <w:shd w:val="clear" w:color="auto" w:fill="948A54" w:themeFill="background2" w:themeFillShade="80"/>
          </w:tcPr>
          <w:p w14:paraId="368403B2" w14:textId="77777777" w:rsidR="00F56275" w:rsidRPr="00626FCE" w:rsidRDefault="00F56275" w:rsidP="00626FCE">
            <w:pPr>
              <w:spacing w:before="120" w:after="120"/>
              <w:rPr>
                <w:sz w:val="16"/>
                <w:szCs w:val="16"/>
              </w:rPr>
            </w:pPr>
          </w:p>
        </w:tc>
        <w:tc>
          <w:tcPr>
            <w:tcW w:w="543" w:type="dxa"/>
            <w:shd w:val="clear" w:color="auto" w:fill="948A54" w:themeFill="background2" w:themeFillShade="80"/>
          </w:tcPr>
          <w:p w14:paraId="018EA36D" w14:textId="77777777" w:rsidR="00F56275" w:rsidRPr="00626FCE" w:rsidRDefault="00F56275" w:rsidP="00626FCE">
            <w:pPr>
              <w:spacing w:before="120" w:after="120"/>
              <w:rPr>
                <w:sz w:val="16"/>
                <w:szCs w:val="16"/>
              </w:rPr>
            </w:pPr>
          </w:p>
        </w:tc>
        <w:tc>
          <w:tcPr>
            <w:tcW w:w="567" w:type="dxa"/>
            <w:shd w:val="clear" w:color="auto" w:fill="948A54" w:themeFill="background2" w:themeFillShade="80"/>
          </w:tcPr>
          <w:p w14:paraId="58204551" w14:textId="77777777" w:rsidR="00F56275" w:rsidRPr="00626FCE" w:rsidRDefault="00F56275" w:rsidP="00626FCE">
            <w:pPr>
              <w:spacing w:before="120" w:after="120"/>
              <w:rPr>
                <w:sz w:val="16"/>
                <w:szCs w:val="16"/>
              </w:rPr>
            </w:pPr>
          </w:p>
        </w:tc>
        <w:tc>
          <w:tcPr>
            <w:tcW w:w="567" w:type="dxa"/>
            <w:shd w:val="clear" w:color="auto" w:fill="FFFFFF" w:themeFill="background1"/>
          </w:tcPr>
          <w:p w14:paraId="69102185" w14:textId="77777777" w:rsidR="00F56275" w:rsidRPr="00626FCE" w:rsidRDefault="00F56275" w:rsidP="00626FCE">
            <w:pPr>
              <w:spacing w:before="120" w:after="120"/>
              <w:rPr>
                <w:sz w:val="16"/>
                <w:szCs w:val="16"/>
              </w:rPr>
            </w:pPr>
          </w:p>
        </w:tc>
        <w:tc>
          <w:tcPr>
            <w:tcW w:w="680" w:type="dxa"/>
          </w:tcPr>
          <w:p w14:paraId="2AE2E29B" w14:textId="77777777" w:rsidR="00F56275" w:rsidRPr="00626FCE" w:rsidRDefault="00F56275" w:rsidP="00626FCE">
            <w:pPr>
              <w:spacing w:before="120" w:after="120"/>
              <w:rPr>
                <w:sz w:val="16"/>
                <w:szCs w:val="16"/>
              </w:rPr>
            </w:pPr>
          </w:p>
        </w:tc>
        <w:tc>
          <w:tcPr>
            <w:tcW w:w="692" w:type="dxa"/>
          </w:tcPr>
          <w:p w14:paraId="5D1C0E60" w14:textId="77777777" w:rsidR="00F56275" w:rsidRPr="00626FCE" w:rsidRDefault="00F56275" w:rsidP="00626FCE">
            <w:pPr>
              <w:spacing w:before="120" w:after="120"/>
              <w:rPr>
                <w:sz w:val="16"/>
                <w:szCs w:val="16"/>
              </w:rPr>
            </w:pPr>
          </w:p>
        </w:tc>
        <w:tc>
          <w:tcPr>
            <w:tcW w:w="754" w:type="dxa"/>
            <w:shd w:val="clear" w:color="auto" w:fill="FFFFFF" w:themeFill="background1"/>
          </w:tcPr>
          <w:p w14:paraId="18607050" w14:textId="77777777" w:rsidR="00F56275" w:rsidRPr="00626FCE" w:rsidRDefault="00F56275" w:rsidP="00626FCE">
            <w:pPr>
              <w:spacing w:before="120" w:after="120"/>
              <w:rPr>
                <w:sz w:val="16"/>
                <w:szCs w:val="16"/>
              </w:rPr>
            </w:pPr>
          </w:p>
        </w:tc>
        <w:tc>
          <w:tcPr>
            <w:tcW w:w="709" w:type="dxa"/>
            <w:shd w:val="clear" w:color="auto" w:fill="FFFFFF" w:themeFill="background1"/>
          </w:tcPr>
          <w:p w14:paraId="46C17512" w14:textId="77777777" w:rsidR="00F56275" w:rsidRPr="00626FCE" w:rsidRDefault="00F56275" w:rsidP="00626FCE">
            <w:pPr>
              <w:spacing w:before="120" w:after="120"/>
              <w:rPr>
                <w:sz w:val="16"/>
                <w:szCs w:val="16"/>
              </w:rPr>
            </w:pPr>
          </w:p>
        </w:tc>
        <w:tc>
          <w:tcPr>
            <w:tcW w:w="567" w:type="dxa"/>
            <w:shd w:val="clear" w:color="auto" w:fill="FFFFFF" w:themeFill="background1"/>
          </w:tcPr>
          <w:p w14:paraId="06B4FC60" w14:textId="77777777" w:rsidR="00F56275" w:rsidRPr="00626FCE" w:rsidRDefault="00F56275" w:rsidP="00626FCE">
            <w:pPr>
              <w:spacing w:before="120" w:after="120"/>
              <w:rPr>
                <w:sz w:val="16"/>
                <w:szCs w:val="16"/>
              </w:rPr>
            </w:pPr>
          </w:p>
        </w:tc>
        <w:tc>
          <w:tcPr>
            <w:tcW w:w="708" w:type="dxa"/>
            <w:shd w:val="clear" w:color="auto" w:fill="FFFFFF" w:themeFill="background1"/>
          </w:tcPr>
          <w:p w14:paraId="68429144" w14:textId="77777777" w:rsidR="00F56275" w:rsidRPr="00626FCE" w:rsidRDefault="00F56275" w:rsidP="00626FCE">
            <w:pPr>
              <w:spacing w:before="120" w:after="120"/>
              <w:rPr>
                <w:sz w:val="16"/>
                <w:szCs w:val="16"/>
              </w:rPr>
            </w:pPr>
          </w:p>
        </w:tc>
        <w:tc>
          <w:tcPr>
            <w:tcW w:w="709" w:type="dxa"/>
            <w:shd w:val="clear" w:color="auto" w:fill="FFFFFF" w:themeFill="background1"/>
          </w:tcPr>
          <w:p w14:paraId="5CCBC5DA" w14:textId="77777777" w:rsidR="00F56275" w:rsidRPr="00626FCE" w:rsidRDefault="00F56275" w:rsidP="00626FCE">
            <w:pPr>
              <w:spacing w:before="120" w:after="120"/>
              <w:rPr>
                <w:sz w:val="16"/>
                <w:szCs w:val="16"/>
              </w:rPr>
            </w:pPr>
          </w:p>
        </w:tc>
        <w:tc>
          <w:tcPr>
            <w:tcW w:w="709" w:type="dxa"/>
            <w:shd w:val="clear" w:color="auto" w:fill="FFFFFF" w:themeFill="background1"/>
          </w:tcPr>
          <w:p w14:paraId="10722878" w14:textId="77777777" w:rsidR="00F56275" w:rsidRPr="00626FCE" w:rsidRDefault="00F56275" w:rsidP="00626FCE">
            <w:pPr>
              <w:spacing w:before="120" w:after="120"/>
              <w:rPr>
                <w:sz w:val="16"/>
                <w:szCs w:val="16"/>
              </w:rPr>
            </w:pPr>
          </w:p>
        </w:tc>
        <w:tc>
          <w:tcPr>
            <w:tcW w:w="709" w:type="dxa"/>
            <w:shd w:val="clear" w:color="auto" w:fill="FFFFFF" w:themeFill="background1"/>
          </w:tcPr>
          <w:p w14:paraId="06874922" w14:textId="77777777" w:rsidR="00F56275" w:rsidRPr="00626FCE" w:rsidRDefault="00F56275" w:rsidP="00626FCE">
            <w:pPr>
              <w:spacing w:before="120" w:after="120"/>
              <w:rPr>
                <w:sz w:val="16"/>
                <w:szCs w:val="16"/>
              </w:rPr>
            </w:pPr>
          </w:p>
        </w:tc>
      </w:tr>
      <w:tr w:rsidR="00F56275" w:rsidRPr="00626FCE" w14:paraId="2197DFA4" w14:textId="77777777" w:rsidTr="0099595B">
        <w:trPr>
          <w:trHeight w:val="348"/>
        </w:trPr>
        <w:tc>
          <w:tcPr>
            <w:tcW w:w="1864" w:type="dxa"/>
            <w:shd w:val="clear" w:color="auto" w:fill="D9D9D9" w:themeFill="background1" w:themeFillShade="D9"/>
          </w:tcPr>
          <w:p w14:paraId="0A5EC3A9" w14:textId="77777777" w:rsidR="00F56275" w:rsidRPr="00626FCE" w:rsidRDefault="00F56275" w:rsidP="00626FCE">
            <w:pPr>
              <w:spacing w:before="120" w:after="120"/>
              <w:rPr>
                <w:b/>
                <w:sz w:val="18"/>
                <w:szCs w:val="16"/>
              </w:rPr>
            </w:pPr>
          </w:p>
        </w:tc>
        <w:tc>
          <w:tcPr>
            <w:tcW w:w="706" w:type="dxa"/>
            <w:shd w:val="clear" w:color="auto" w:fill="C00000"/>
            <w:noWrap/>
          </w:tcPr>
          <w:p w14:paraId="7084DFD1" w14:textId="77777777" w:rsidR="00F56275" w:rsidRPr="00626FCE" w:rsidRDefault="00F56275" w:rsidP="00626FCE">
            <w:pPr>
              <w:spacing w:before="120" w:after="120"/>
              <w:rPr>
                <w:sz w:val="16"/>
                <w:szCs w:val="16"/>
              </w:rPr>
            </w:pPr>
          </w:p>
        </w:tc>
        <w:tc>
          <w:tcPr>
            <w:tcW w:w="709" w:type="dxa"/>
            <w:gridSpan w:val="2"/>
            <w:shd w:val="clear" w:color="auto" w:fill="C00000"/>
          </w:tcPr>
          <w:p w14:paraId="348B4252" w14:textId="77777777" w:rsidR="00F56275" w:rsidRPr="00626FCE" w:rsidRDefault="00F56275" w:rsidP="00626FCE">
            <w:pPr>
              <w:spacing w:before="120" w:after="120"/>
              <w:rPr>
                <w:sz w:val="16"/>
                <w:szCs w:val="16"/>
              </w:rPr>
            </w:pPr>
          </w:p>
        </w:tc>
        <w:tc>
          <w:tcPr>
            <w:tcW w:w="709" w:type="dxa"/>
            <w:shd w:val="clear" w:color="auto" w:fill="C00000"/>
          </w:tcPr>
          <w:p w14:paraId="5D7C251F" w14:textId="77777777" w:rsidR="00F56275" w:rsidRPr="00626FCE" w:rsidRDefault="00F56275" w:rsidP="00626FCE">
            <w:pPr>
              <w:spacing w:before="120" w:after="120"/>
              <w:rPr>
                <w:sz w:val="16"/>
                <w:szCs w:val="16"/>
              </w:rPr>
            </w:pPr>
          </w:p>
        </w:tc>
        <w:tc>
          <w:tcPr>
            <w:tcW w:w="733" w:type="dxa"/>
            <w:shd w:val="clear" w:color="auto" w:fill="C00000"/>
          </w:tcPr>
          <w:p w14:paraId="7EA8EE39" w14:textId="77777777" w:rsidR="00F56275" w:rsidRPr="00626FCE" w:rsidRDefault="00F56275" w:rsidP="00626FCE">
            <w:pPr>
              <w:spacing w:before="120" w:after="120"/>
              <w:rPr>
                <w:sz w:val="16"/>
                <w:szCs w:val="16"/>
              </w:rPr>
            </w:pPr>
          </w:p>
        </w:tc>
        <w:tc>
          <w:tcPr>
            <w:tcW w:w="543" w:type="dxa"/>
            <w:shd w:val="clear" w:color="auto" w:fill="C00000"/>
          </w:tcPr>
          <w:p w14:paraId="31C80A5A" w14:textId="77777777" w:rsidR="00F56275" w:rsidRPr="00626FCE" w:rsidRDefault="00F56275" w:rsidP="00626FCE">
            <w:pPr>
              <w:spacing w:before="120" w:after="120"/>
              <w:rPr>
                <w:sz w:val="16"/>
                <w:szCs w:val="16"/>
              </w:rPr>
            </w:pPr>
          </w:p>
        </w:tc>
        <w:tc>
          <w:tcPr>
            <w:tcW w:w="567" w:type="dxa"/>
            <w:shd w:val="clear" w:color="auto" w:fill="C00000"/>
          </w:tcPr>
          <w:p w14:paraId="6241EC18" w14:textId="77777777" w:rsidR="00F56275" w:rsidRPr="00626FCE" w:rsidRDefault="00F56275" w:rsidP="00626FCE">
            <w:pPr>
              <w:spacing w:before="120" w:after="120"/>
              <w:rPr>
                <w:sz w:val="16"/>
                <w:szCs w:val="16"/>
              </w:rPr>
            </w:pPr>
          </w:p>
        </w:tc>
        <w:tc>
          <w:tcPr>
            <w:tcW w:w="567" w:type="dxa"/>
            <w:shd w:val="clear" w:color="auto" w:fill="C00000"/>
          </w:tcPr>
          <w:p w14:paraId="160B46EA" w14:textId="77777777" w:rsidR="00F56275" w:rsidRPr="00626FCE" w:rsidRDefault="00F56275" w:rsidP="00626FCE">
            <w:pPr>
              <w:spacing w:before="120" w:after="120"/>
              <w:rPr>
                <w:sz w:val="16"/>
                <w:szCs w:val="16"/>
              </w:rPr>
            </w:pPr>
          </w:p>
        </w:tc>
        <w:tc>
          <w:tcPr>
            <w:tcW w:w="680" w:type="dxa"/>
          </w:tcPr>
          <w:p w14:paraId="49AC2B97" w14:textId="77777777" w:rsidR="00F56275" w:rsidRPr="00626FCE" w:rsidRDefault="00F56275" w:rsidP="00626FCE">
            <w:pPr>
              <w:spacing w:before="120" w:after="120"/>
              <w:rPr>
                <w:sz w:val="16"/>
                <w:szCs w:val="16"/>
              </w:rPr>
            </w:pPr>
          </w:p>
        </w:tc>
        <w:tc>
          <w:tcPr>
            <w:tcW w:w="692" w:type="dxa"/>
          </w:tcPr>
          <w:p w14:paraId="6D111C9D" w14:textId="77777777" w:rsidR="00F56275" w:rsidRPr="00626FCE" w:rsidRDefault="00F56275" w:rsidP="00626FCE">
            <w:pPr>
              <w:spacing w:before="120" w:after="120"/>
              <w:rPr>
                <w:sz w:val="16"/>
                <w:szCs w:val="16"/>
              </w:rPr>
            </w:pPr>
          </w:p>
        </w:tc>
        <w:tc>
          <w:tcPr>
            <w:tcW w:w="754" w:type="dxa"/>
            <w:shd w:val="clear" w:color="auto" w:fill="FFFFFF" w:themeFill="background1"/>
          </w:tcPr>
          <w:p w14:paraId="4483AE4B" w14:textId="77777777" w:rsidR="00F56275" w:rsidRPr="00626FCE" w:rsidRDefault="00F56275" w:rsidP="00626FCE">
            <w:pPr>
              <w:spacing w:before="120" w:after="120"/>
              <w:rPr>
                <w:sz w:val="16"/>
                <w:szCs w:val="16"/>
              </w:rPr>
            </w:pPr>
          </w:p>
        </w:tc>
        <w:tc>
          <w:tcPr>
            <w:tcW w:w="709" w:type="dxa"/>
            <w:shd w:val="clear" w:color="auto" w:fill="FFFFFF" w:themeFill="background1"/>
          </w:tcPr>
          <w:p w14:paraId="0AC24572" w14:textId="77777777" w:rsidR="00F56275" w:rsidRPr="00626FCE" w:rsidRDefault="00F56275" w:rsidP="00626FCE">
            <w:pPr>
              <w:spacing w:before="120" w:after="120"/>
              <w:rPr>
                <w:sz w:val="16"/>
                <w:szCs w:val="16"/>
              </w:rPr>
            </w:pPr>
          </w:p>
        </w:tc>
        <w:tc>
          <w:tcPr>
            <w:tcW w:w="567" w:type="dxa"/>
            <w:shd w:val="clear" w:color="auto" w:fill="FFFFFF" w:themeFill="background1"/>
          </w:tcPr>
          <w:p w14:paraId="59EEE3DB" w14:textId="77777777" w:rsidR="00F56275" w:rsidRPr="00626FCE" w:rsidRDefault="00F56275" w:rsidP="00626FCE">
            <w:pPr>
              <w:spacing w:before="120" w:after="120"/>
              <w:rPr>
                <w:sz w:val="16"/>
                <w:szCs w:val="16"/>
              </w:rPr>
            </w:pPr>
          </w:p>
        </w:tc>
        <w:tc>
          <w:tcPr>
            <w:tcW w:w="708" w:type="dxa"/>
            <w:shd w:val="clear" w:color="auto" w:fill="FFFFFF" w:themeFill="background1"/>
          </w:tcPr>
          <w:p w14:paraId="3CA8204D" w14:textId="77777777" w:rsidR="00F56275" w:rsidRPr="00626FCE" w:rsidRDefault="00F56275" w:rsidP="00626FCE">
            <w:pPr>
              <w:spacing w:before="120" w:after="120"/>
              <w:rPr>
                <w:sz w:val="16"/>
                <w:szCs w:val="16"/>
              </w:rPr>
            </w:pPr>
          </w:p>
        </w:tc>
        <w:tc>
          <w:tcPr>
            <w:tcW w:w="709" w:type="dxa"/>
            <w:shd w:val="clear" w:color="auto" w:fill="FFFFFF" w:themeFill="background1"/>
          </w:tcPr>
          <w:p w14:paraId="18EBF85A" w14:textId="77777777" w:rsidR="00F56275" w:rsidRPr="00626FCE" w:rsidRDefault="00F56275" w:rsidP="00626FCE">
            <w:pPr>
              <w:spacing w:before="120" w:after="120"/>
              <w:rPr>
                <w:sz w:val="16"/>
                <w:szCs w:val="16"/>
              </w:rPr>
            </w:pPr>
          </w:p>
        </w:tc>
        <w:tc>
          <w:tcPr>
            <w:tcW w:w="709" w:type="dxa"/>
            <w:shd w:val="clear" w:color="auto" w:fill="FFFFFF" w:themeFill="background1"/>
          </w:tcPr>
          <w:p w14:paraId="2FA34806" w14:textId="77777777" w:rsidR="00F56275" w:rsidRPr="00626FCE" w:rsidRDefault="00F56275" w:rsidP="00626FCE">
            <w:pPr>
              <w:spacing w:before="120" w:after="120"/>
              <w:rPr>
                <w:sz w:val="16"/>
                <w:szCs w:val="16"/>
              </w:rPr>
            </w:pPr>
          </w:p>
        </w:tc>
        <w:tc>
          <w:tcPr>
            <w:tcW w:w="709" w:type="dxa"/>
            <w:shd w:val="clear" w:color="auto" w:fill="FFFFFF" w:themeFill="background1"/>
          </w:tcPr>
          <w:p w14:paraId="260ED1EB" w14:textId="77777777" w:rsidR="00F56275" w:rsidRPr="00626FCE" w:rsidRDefault="00F56275" w:rsidP="00626FCE">
            <w:pPr>
              <w:spacing w:before="120" w:after="120"/>
              <w:rPr>
                <w:sz w:val="16"/>
                <w:szCs w:val="16"/>
              </w:rPr>
            </w:pPr>
          </w:p>
        </w:tc>
      </w:tr>
      <w:tr w:rsidR="00F56275" w:rsidRPr="00626FCE" w14:paraId="2B9AA3AC" w14:textId="77777777" w:rsidTr="0099595B">
        <w:trPr>
          <w:trHeight w:val="348"/>
        </w:trPr>
        <w:tc>
          <w:tcPr>
            <w:tcW w:w="1864" w:type="dxa"/>
            <w:shd w:val="clear" w:color="auto" w:fill="D9D9D9" w:themeFill="background1" w:themeFillShade="D9"/>
          </w:tcPr>
          <w:p w14:paraId="0D01FEC1" w14:textId="532542ED" w:rsidR="00F56275" w:rsidRPr="00626FCE" w:rsidRDefault="0099595B" w:rsidP="00626FCE">
            <w:pPr>
              <w:spacing w:before="120" w:after="120"/>
              <w:rPr>
                <w:b/>
                <w:sz w:val="18"/>
                <w:szCs w:val="16"/>
              </w:rPr>
            </w:pPr>
            <w:r w:rsidRPr="0099595B">
              <w:rPr>
                <w:b/>
                <w:sz w:val="18"/>
                <w:szCs w:val="16"/>
              </w:rPr>
              <w:t>T 3.1 - Co-creation of services – Dialogues with stakeholder groups</w:t>
            </w:r>
          </w:p>
        </w:tc>
        <w:tc>
          <w:tcPr>
            <w:tcW w:w="706" w:type="dxa"/>
            <w:shd w:val="clear" w:color="auto" w:fill="C4BC96" w:themeFill="background2" w:themeFillShade="BF"/>
            <w:noWrap/>
          </w:tcPr>
          <w:p w14:paraId="2096E6A4" w14:textId="77777777" w:rsidR="00F56275" w:rsidRPr="00626FCE" w:rsidRDefault="00F56275" w:rsidP="00626FCE">
            <w:pPr>
              <w:spacing w:before="120" w:after="120"/>
              <w:rPr>
                <w:sz w:val="16"/>
                <w:szCs w:val="16"/>
              </w:rPr>
            </w:pPr>
          </w:p>
        </w:tc>
        <w:tc>
          <w:tcPr>
            <w:tcW w:w="709" w:type="dxa"/>
            <w:gridSpan w:val="2"/>
            <w:shd w:val="clear" w:color="auto" w:fill="C4BC96" w:themeFill="background2" w:themeFillShade="BF"/>
          </w:tcPr>
          <w:p w14:paraId="581AE1B7" w14:textId="77777777" w:rsidR="00F56275" w:rsidRPr="00626FCE" w:rsidRDefault="00F56275" w:rsidP="00626FCE">
            <w:pPr>
              <w:spacing w:before="120" w:after="120"/>
              <w:rPr>
                <w:sz w:val="16"/>
                <w:szCs w:val="16"/>
              </w:rPr>
            </w:pPr>
          </w:p>
        </w:tc>
        <w:tc>
          <w:tcPr>
            <w:tcW w:w="709" w:type="dxa"/>
            <w:shd w:val="clear" w:color="auto" w:fill="FFFFFF" w:themeFill="background1"/>
          </w:tcPr>
          <w:p w14:paraId="1A5215E8" w14:textId="77777777" w:rsidR="00F56275" w:rsidRPr="00626FCE" w:rsidRDefault="00F56275" w:rsidP="00626FCE">
            <w:pPr>
              <w:spacing w:before="120" w:after="120"/>
              <w:rPr>
                <w:sz w:val="16"/>
                <w:szCs w:val="16"/>
              </w:rPr>
            </w:pPr>
          </w:p>
        </w:tc>
        <w:tc>
          <w:tcPr>
            <w:tcW w:w="733" w:type="dxa"/>
            <w:shd w:val="clear" w:color="auto" w:fill="FFFFFF" w:themeFill="background1"/>
          </w:tcPr>
          <w:p w14:paraId="5A1F1263" w14:textId="77777777" w:rsidR="00F56275" w:rsidRPr="00626FCE" w:rsidRDefault="00F56275" w:rsidP="00626FCE">
            <w:pPr>
              <w:spacing w:before="120" w:after="120"/>
              <w:rPr>
                <w:sz w:val="16"/>
                <w:szCs w:val="16"/>
              </w:rPr>
            </w:pPr>
          </w:p>
        </w:tc>
        <w:tc>
          <w:tcPr>
            <w:tcW w:w="543" w:type="dxa"/>
            <w:shd w:val="clear" w:color="auto" w:fill="FFFFFF" w:themeFill="background1"/>
          </w:tcPr>
          <w:p w14:paraId="75114723" w14:textId="77777777" w:rsidR="00F56275" w:rsidRPr="00626FCE" w:rsidRDefault="00F56275" w:rsidP="00626FCE">
            <w:pPr>
              <w:spacing w:before="120" w:after="120"/>
              <w:rPr>
                <w:sz w:val="16"/>
                <w:szCs w:val="16"/>
              </w:rPr>
            </w:pPr>
          </w:p>
        </w:tc>
        <w:tc>
          <w:tcPr>
            <w:tcW w:w="567" w:type="dxa"/>
            <w:shd w:val="clear" w:color="auto" w:fill="FFFFFF" w:themeFill="background1"/>
          </w:tcPr>
          <w:p w14:paraId="32E30E7D" w14:textId="77777777" w:rsidR="00F56275" w:rsidRPr="00626FCE" w:rsidRDefault="00F56275" w:rsidP="00626FCE">
            <w:pPr>
              <w:spacing w:before="120" w:after="120"/>
              <w:rPr>
                <w:sz w:val="16"/>
                <w:szCs w:val="16"/>
              </w:rPr>
            </w:pPr>
          </w:p>
        </w:tc>
        <w:tc>
          <w:tcPr>
            <w:tcW w:w="567" w:type="dxa"/>
          </w:tcPr>
          <w:p w14:paraId="4BAFA627" w14:textId="77777777" w:rsidR="00F56275" w:rsidRPr="00626FCE" w:rsidRDefault="00F56275" w:rsidP="00626FCE">
            <w:pPr>
              <w:spacing w:before="120" w:after="120"/>
              <w:rPr>
                <w:sz w:val="16"/>
                <w:szCs w:val="16"/>
              </w:rPr>
            </w:pPr>
          </w:p>
        </w:tc>
        <w:tc>
          <w:tcPr>
            <w:tcW w:w="680" w:type="dxa"/>
          </w:tcPr>
          <w:p w14:paraId="2C8610B8" w14:textId="77777777" w:rsidR="00F56275" w:rsidRPr="00626FCE" w:rsidRDefault="00F56275" w:rsidP="00626FCE">
            <w:pPr>
              <w:spacing w:before="120" w:after="120"/>
              <w:rPr>
                <w:sz w:val="16"/>
                <w:szCs w:val="16"/>
              </w:rPr>
            </w:pPr>
          </w:p>
        </w:tc>
        <w:tc>
          <w:tcPr>
            <w:tcW w:w="692" w:type="dxa"/>
          </w:tcPr>
          <w:p w14:paraId="2E3C218F" w14:textId="77777777" w:rsidR="00F56275" w:rsidRPr="00626FCE" w:rsidRDefault="00F56275" w:rsidP="00626FCE">
            <w:pPr>
              <w:spacing w:before="120" w:after="120"/>
              <w:rPr>
                <w:sz w:val="16"/>
                <w:szCs w:val="16"/>
              </w:rPr>
            </w:pPr>
          </w:p>
        </w:tc>
        <w:tc>
          <w:tcPr>
            <w:tcW w:w="754" w:type="dxa"/>
            <w:shd w:val="clear" w:color="auto" w:fill="FFFFFF" w:themeFill="background1"/>
          </w:tcPr>
          <w:p w14:paraId="53E04610" w14:textId="77777777" w:rsidR="00F56275" w:rsidRPr="00626FCE" w:rsidRDefault="00F56275" w:rsidP="00626FCE">
            <w:pPr>
              <w:spacing w:before="120" w:after="120"/>
              <w:rPr>
                <w:sz w:val="16"/>
                <w:szCs w:val="16"/>
              </w:rPr>
            </w:pPr>
          </w:p>
        </w:tc>
        <w:tc>
          <w:tcPr>
            <w:tcW w:w="709" w:type="dxa"/>
            <w:shd w:val="clear" w:color="auto" w:fill="FFFFFF" w:themeFill="background1"/>
          </w:tcPr>
          <w:p w14:paraId="5DECA8DB" w14:textId="77777777" w:rsidR="00F56275" w:rsidRPr="00626FCE" w:rsidRDefault="00F56275" w:rsidP="00626FCE">
            <w:pPr>
              <w:spacing w:before="120" w:after="120"/>
              <w:rPr>
                <w:sz w:val="16"/>
                <w:szCs w:val="16"/>
              </w:rPr>
            </w:pPr>
          </w:p>
        </w:tc>
        <w:tc>
          <w:tcPr>
            <w:tcW w:w="567" w:type="dxa"/>
            <w:shd w:val="clear" w:color="auto" w:fill="FFFFFF" w:themeFill="background1"/>
          </w:tcPr>
          <w:p w14:paraId="5B16B99E" w14:textId="77777777" w:rsidR="00F56275" w:rsidRPr="00626FCE" w:rsidRDefault="00F56275" w:rsidP="00626FCE">
            <w:pPr>
              <w:spacing w:before="120" w:after="120"/>
              <w:rPr>
                <w:sz w:val="16"/>
                <w:szCs w:val="16"/>
              </w:rPr>
            </w:pPr>
          </w:p>
        </w:tc>
        <w:tc>
          <w:tcPr>
            <w:tcW w:w="708" w:type="dxa"/>
            <w:shd w:val="clear" w:color="auto" w:fill="FFFFFF" w:themeFill="background1"/>
          </w:tcPr>
          <w:p w14:paraId="11DBB6FF" w14:textId="77777777" w:rsidR="00F56275" w:rsidRPr="00626FCE" w:rsidRDefault="00F56275" w:rsidP="00626FCE">
            <w:pPr>
              <w:spacing w:before="120" w:after="120"/>
              <w:rPr>
                <w:sz w:val="16"/>
                <w:szCs w:val="16"/>
              </w:rPr>
            </w:pPr>
          </w:p>
        </w:tc>
        <w:tc>
          <w:tcPr>
            <w:tcW w:w="709" w:type="dxa"/>
            <w:shd w:val="clear" w:color="auto" w:fill="FFFFFF" w:themeFill="background1"/>
          </w:tcPr>
          <w:p w14:paraId="35080AE3" w14:textId="77777777" w:rsidR="00F56275" w:rsidRPr="00626FCE" w:rsidRDefault="00F56275" w:rsidP="00626FCE">
            <w:pPr>
              <w:spacing w:before="120" w:after="120"/>
              <w:rPr>
                <w:sz w:val="16"/>
                <w:szCs w:val="16"/>
              </w:rPr>
            </w:pPr>
          </w:p>
        </w:tc>
        <w:tc>
          <w:tcPr>
            <w:tcW w:w="709" w:type="dxa"/>
            <w:shd w:val="clear" w:color="auto" w:fill="FFFFFF" w:themeFill="background1"/>
          </w:tcPr>
          <w:p w14:paraId="10966D6D" w14:textId="77777777" w:rsidR="00F56275" w:rsidRPr="00626FCE" w:rsidRDefault="00F56275" w:rsidP="00626FCE">
            <w:pPr>
              <w:spacing w:before="120" w:after="120"/>
              <w:rPr>
                <w:sz w:val="16"/>
                <w:szCs w:val="16"/>
              </w:rPr>
            </w:pPr>
          </w:p>
        </w:tc>
        <w:tc>
          <w:tcPr>
            <w:tcW w:w="709" w:type="dxa"/>
            <w:shd w:val="clear" w:color="auto" w:fill="FFFFFF" w:themeFill="background1"/>
          </w:tcPr>
          <w:p w14:paraId="75F0A298" w14:textId="77777777" w:rsidR="00F56275" w:rsidRPr="00626FCE" w:rsidRDefault="00F56275" w:rsidP="00626FCE">
            <w:pPr>
              <w:spacing w:before="120" w:after="120"/>
              <w:rPr>
                <w:sz w:val="16"/>
                <w:szCs w:val="16"/>
              </w:rPr>
            </w:pPr>
          </w:p>
        </w:tc>
      </w:tr>
      <w:tr w:rsidR="00F56275" w:rsidRPr="00626FCE" w14:paraId="25815C48" w14:textId="77777777" w:rsidTr="0099595B">
        <w:trPr>
          <w:trHeight w:val="348"/>
        </w:trPr>
        <w:tc>
          <w:tcPr>
            <w:tcW w:w="1864" w:type="dxa"/>
            <w:shd w:val="clear" w:color="auto" w:fill="D9D9D9" w:themeFill="background1" w:themeFillShade="D9"/>
          </w:tcPr>
          <w:p w14:paraId="6685BA19" w14:textId="77777777" w:rsidR="00F56275" w:rsidRPr="00626FCE" w:rsidRDefault="00F56275" w:rsidP="00626FCE">
            <w:pPr>
              <w:spacing w:before="120" w:after="120"/>
              <w:rPr>
                <w:b/>
                <w:sz w:val="18"/>
                <w:szCs w:val="16"/>
              </w:rPr>
            </w:pPr>
          </w:p>
        </w:tc>
        <w:tc>
          <w:tcPr>
            <w:tcW w:w="706" w:type="dxa"/>
            <w:shd w:val="clear" w:color="auto" w:fill="FFFFFF" w:themeFill="background1"/>
            <w:noWrap/>
          </w:tcPr>
          <w:p w14:paraId="33414F43" w14:textId="77777777" w:rsidR="00F56275" w:rsidRPr="00626FCE" w:rsidRDefault="00F56275" w:rsidP="00626FCE">
            <w:pPr>
              <w:spacing w:before="120" w:after="120"/>
              <w:rPr>
                <w:sz w:val="16"/>
                <w:szCs w:val="16"/>
              </w:rPr>
            </w:pPr>
          </w:p>
        </w:tc>
        <w:tc>
          <w:tcPr>
            <w:tcW w:w="709" w:type="dxa"/>
            <w:gridSpan w:val="2"/>
            <w:shd w:val="clear" w:color="auto" w:fill="FFFFFF" w:themeFill="background1"/>
          </w:tcPr>
          <w:p w14:paraId="6B8A92AE" w14:textId="77777777" w:rsidR="00F56275" w:rsidRPr="00626FCE" w:rsidRDefault="00F56275" w:rsidP="00626FCE">
            <w:pPr>
              <w:spacing w:before="120" w:after="120"/>
              <w:rPr>
                <w:sz w:val="16"/>
                <w:szCs w:val="16"/>
              </w:rPr>
            </w:pPr>
          </w:p>
        </w:tc>
        <w:tc>
          <w:tcPr>
            <w:tcW w:w="709" w:type="dxa"/>
            <w:shd w:val="clear" w:color="auto" w:fill="FFFFFF" w:themeFill="background1"/>
          </w:tcPr>
          <w:p w14:paraId="3E2A1925" w14:textId="77777777" w:rsidR="00F56275" w:rsidRPr="00626FCE" w:rsidRDefault="00F56275" w:rsidP="00626FCE">
            <w:pPr>
              <w:spacing w:before="120" w:after="120"/>
              <w:rPr>
                <w:sz w:val="16"/>
                <w:szCs w:val="16"/>
              </w:rPr>
            </w:pPr>
          </w:p>
        </w:tc>
        <w:tc>
          <w:tcPr>
            <w:tcW w:w="733" w:type="dxa"/>
            <w:shd w:val="clear" w:color="auto" w:fill="FFFFFF" w:themeFill="background1"/>
          </w:tcPr>
          <w:p w14:paraId="701364B3" w14:textId="77777777" w:rsidR="00F56275" w:rsidRPr="00626FCE" w:rsidRDefault="00F56275" w:rsidP="00626FCE">
            <w:pPr>
              <w:spacing w:before="120" w:after="120"/>
              <w:rPr>
                <w:sz w:val="16"/>
                <w:szCs w:val="16"/>
              </w:rPr>
            </w:pPr>
          </w:p>
        </w:tc>
        <w:tc>
          <w:tcPr>
            <w:tcW w:w="543" w:type="dxa"/>
            <w:shd w:val="clear" w:color="auto" w:fill="FFFFFF" w:themeFill="background1"/>
          </w:tcPr>
          <w:p w14:paraId="330B1313" w14:textId="77777777" w:rsidR="00F56275" w:rsidRPr="00626FCE" w:rsidRDefault="00F56275" w:rsidP="00626FCE">
            <w:pPr>
              <w:spacing w:before="120" w:after="120"/>
              <w:rPr>
                <w:sz w:val="16"/>
                <w:szCs w:val="16"/>
              </w:rPr>
            </w:pPr>
          </w:p>
        </w:tc>
        <w:tc>
          <w:tcPr>
            <w:tcW w:w="567" w:type="dxa"/>
            <w:shd w:val="clear" w:color="auto" w:fill="FFFFFF" w:themeFill="background1"/>
          </w:tcPr>
          <w:p w14:paraId="4AE7970B" w14:textId="77777777" w:rsidR="00F56275" w:rsidRPr="00626FCE" w:rsidRDefault="00F56275" w:rsidP="00626FCE">
            <w:pPr>
              <w:spacing w:before="120" w:after="120"/>
              <w:rPr>
                <w:sz w:val="16"/>
                <w:szCs w:val="16"/>
              </w:rPr>
            </w:pPr>
          </w:p>
        </w:tc>
        <w:tc>
          <w:tcPr>
            <w:tcW w:w="567" w:type="dxa"/>
          </w:tcPr>
          <w:p w14:paraId="319A645A" w14:textId="77777777" w:rsidR="00F56275" w:rsidRPr="00626FCE" w:rsidRDefault="00F56275" w:rsidP="00626FCE">
            <w:pPr>
              <w:spacing w:before="120" w:after="120"/>
              <w:rPr>
                <w:sz w:val="16"/>
                <w:szCs w:val="16"/>
              </w:rPr>
            </w:pPr>
          </w:p>
        </w:tc>
        <w:tc>
          <w:tcPr>
            <w:tcW w:w="680" w:type="dxa"/>
          </w:tcPr>
          <w:p w14:paraId="0B08A4FE" w14:textId="77777777" w:rsidR="00F56275" w:rsidRPr="00626FCE" w:rsidRDefault="00F56275" w:rsidP="00626FCE">
            <w:pPr>
              <w:spacing w:before="120" w:after="120"/>
              <w:rPr>
                <w:sz w:val="16"/>
                <w:szCs w:val="16"/>
              </w:rPr>
            </w:pPr>
          </w:p>
        </w:tc>
        <w:tc>
          <w:tcPr>
            <w:tcW w:w="692" w:type="dxa"/>
          </w:tcPr>
          <w:p w14:paraId="65AE6502" w14:textId="77777777" w:rsidR="00F56275" w:rsidRPr="00626FCE" w:rsidRDefault="00F56275" w:rsidP="00626FCE">
            <w:pPr>
              <w:spacing w:before="120" w:after="120"/>
              <w:rPr>
                <w:sz w:val="16"/>
                <w:szCs w:val="16"/>
              </w:rPr>
            </w:pPr>
          </w:p>
        </w:tc>
        <w:tc>
          <w:tcPr>
            <w:tcW w:w="754" w:type="dxa"/>
            <w:shd w:val="clear" w:color="auto" w:fill="FFFFFF" w:themeFill="background1"/>
          </w:tcPr>
          <w:p w14:paraId="6E65FB87" w14:textId="77777777" w:rsidR="00F56275" w:rsidRPr="00626FCE" w:rsidRDefault="00F56275" w:rsidP="00626FCE">
            <w:pPr>
              <w:spacing w:before="120" w:after="120"/>
              <w:rPr>
                <w:sz w:val="16"/>
                <w:szCs w:val="16"/>
              </w:rPr>
            </w:pPr>
          </w:p>
        </w:tc>
        <w:tc>
          <w:tcPr>
            <w:tcW w:w="709" w:type="dxa"/>
            <w:shd w:val="clear" w:color="auto" w:fill="FFFFFF" w:themeFill="background1"/>
          </w:tcPr>
          <w:p w14:paraId="596F6945" w14:textId="77777777" w:rsidR="00F56275" w:rsidRPr="00626FCE" w:rsidRDefault="00F56275" w:rsidP="00626FCE">
            <w:pPr>
              <w:spacing w:before="120" w:after="120"/>
              <w:rPr>
                <w:sz w:val="16"/>
                <w:szCs w:val="16"/>
              </w:rPr>
            </w:pPr>
          </w:p>
        </w:tc>
        <w:tc>
          <w:tcPr>
            <w:tcW w:w="567" w:type="dxa"/>
            <w:shd w:val="clear" w:color="auto" w:fill="FFFFFF" w:themeFill="background1"/>
          </w:tcPr>
          <w:p w14:paraId="22266664" w14:textId="77777777" w:rsidR="00F56275" w:rsidRPr="00626FCE" w:rsidRDefault="00F56275" w:rsidP="00626FCE">
            <w:pPr>
              <w:spacing w:before="120" w:after="120"/>
              <w:rPr>
                <w:sz w:val="16"/>
                <w:szCs w:val="16"/>
              </w:rPr>
            </w:pPr>
          </w:p>
        </w:tc>
        <w:tc>
          <w:tcPr>
            <w:tcW w:w="708" w:type="dxa"/>
            <w:shd w:val="clear" w:color="auto" w:fill="FFFFFF" w:themeFill="background1"/>
          </w:tcPr>
          <w:p w14:paraId="3632DA81" w14:textId="77777777" w:rsidR="00F56275" w:rsidRPr="00626FCE" w:rsidRDefault="00F56275" w:rsidP="00626FCE">
            <w:pPr>
              <w:spacing w:before="120" w:after="120"/>
              <w:rPr>
                <w:sz w:val="16"/>
                <w:szCs w:val="16"/>
              </w:rPr>
            </w:pPr>
          </w:p>
        </w:tc>
        <w:tc>
          <w:tcPr>
            <w:tcW w:w="709" w:type="dxa"/>
            <w:shd w:val="clear" w:color="auto" w:fill="FFFFFF" w:themeFill="background1"/>
          </w:tcPr>
          <w:p w14:paraId="57F547FA" w14:textId="77777777" w:rsidR="00F56275" w:rsidRPr="00626FCE" w:rsidRDefault="00F56275" w:rsidP="00626FCE">
            <w:pPr>
              <w:spacing w:before="120" w:after="120"/>
              <w:rPr>
                <w:sz w:val="16"/>
                <w:szCs w:val="16"/>
              </w:rPr>
            </w:pPr>
          </w:p>
        </w:tc>
        <w:tc>
          <w:tcPr>
            <w:tcW w:w="709" w:type="dxa"/>
            <w:shd w:val="clear" w:color="auto" w:fill="FFFFFF" w:themeFill="background1"/>
          </w:tcPr>
          <w:p w14:paraId="77D715BD" w14:textId="77777777" w:rsidR="00F56275" w:rsidRPr="00626FCE" w:rsidRDefault="00F56275" w:rsidP="00626FCE">
            <w:pPr>
              <w:spacing w:before="120" w:after="120"/>
              <w:rPr>
                <w:sz w:val="16"/>
                <w:szCs w:val="16"/>
              </w:rPr>
            </w:pPr>
          </w:p>
        </w:tc>
        <w:tc>
          <w:tcPr>
            <w:tcW w:w="709" w:type="dxa"/>
            <w:shd w:val="clear" w:color="auto" w:fill="FFFFFF" w:themeFill="background1"/>
          </w:tcPr>
          <w:p w14:paraId="1169DE49" w14:textId="77777777" w:rsidR="00F56275" w:rsidRPr="00626FCE" w:rsidRDefault="00F56275" w:rsidP="00626FCE">
            <w:pPr>
              <w:spacing w:before="120" w:after="120"/>
              <w:rPr>
                <w:sz w:val="16"/>
                <w:szCs w:val="16"/>
              </w:rPr>
            </w:pPr>
          </w:p>
        </w:tc>
      </w:tr>
      <w:tr w:rsidR="00F56275" w:rsidRPr="00626FCE" w14:paraId="5BB7E293" w14:textId="77777777" w:rsidTr="0099595B">
        <w:trPr>
          <w:trHeight w:val="348"/>
        </w:trPr>
        <w:tc>
          <w:tcPr>
            <w:tcW w:w="1864" w:type="dxa"/>
            <w:shd w:val="clear" w:color="auto" w:fill="D9D9D9" w:themeFill="background1" w:themeFillShade="D9"/>
          </w:tcPr>
          <w:p w14:paraId="1647EBC3" w14:textId="45ECBD27" w:rsidR="00F56275" w:rsidRPr="00626FCE" w:rsidRDefault="0099595B" w:rsidP="00626FCE">
            <w:pPr>
              <w:spacing w:before="120" w:after="120"/>
              <w:rPr>
                <w:b/>
                <w:sz w:val="18"/>
                <w:szCs w:val="16"/>
              </w:rPr>
            </w:pPr>
            <w:r w:rsidRPr="0099595B">
              <w:rPr>
                <w:b/>
                <w:sz w:val="18"/>
                <w:szCs w:val="16"/>
              </w:rPr>
              <w:t>T 3.2 - Development of integrated services and support material</w:t>
            </w:r>
          </w:p>
        </w:tc>
        <w:tc>
          <w:tcPr>
            <w:tcW w:w="706" w:type="dxa"/>
            <w:shd w:val="clear" w:color="auto" w:fill="C4BC96" w:themeFill="background2" w:themeFillShade="BF"/>
            <w:noWrap/>
          </w:tcPr>
          <w:p w14:paraId="602C5EB8" w14:textId="77777777" w:rsidR="00F56275" w:rsidRPr="00626FCE" w:rsidRDefault="00F56275" w:rsidP="00626FCE">
            <w:pPr>
              <w:spacing w:before="120" w:after="120"/>
              <w:rPr>
                <w:sz w:val="16"/>
                <w:szCs w:val="16"/>
              </w:rPr>
            </w:pPr>
          </w:p>
        </w:tc>
        <w:tc>
          <w:tcPr>
            <w:tcW w:w="709" w:type="dxa"/>
            <w:gridSpan w:val="2"/>
            <w:shd w:val="clear" w:color="auto" w:fill="C4BC96" w:themeFill="background2" w:themeFillShade="BF"/>
          </w:tcPr>
          <w:p w14:paraId="213AB29B" w14:textId="77777777" w:rsidR="00F56275" w:rsidRPr="00626FCE" w:rsidRDefault="00F56275" w:rsidP="00626FCE">
            <w:pPr>
              <w:spacing w:before="120" w:after="120"/>
              <w:rPr>
                <w:sz w:val="16"/>
                <w:szCs w:val="16"/>
              </w:rPr>
            </w:pPr>
          </w:p>
        </w:tc>
        <w:tc>
          <w:tcPr>
            <w:tcW w:w="709" w:type="dxa"/>
            <w:shd w:val="clear" w:color="auto" w:fill="C4BC96" w:themeFill="background2" w:themeFillShade="BF"/>
          </w:tcPr>
          <w:p w14:paraId="63E29E27" w14:textId="77777777" w:rsidR="00F56275" w:rsidRPr="00626FCE" w:rsidRDefault="00F56275" w:rsidP="00626FCE">
            <w:pPr>
              <w:spacing w:before="120" w:after="120"/>
              <w:rPr>
                <w:sz w:val="16"/>
                <w:szCs w:val="16"/>
              </w:rPr>
            </w:pPr>
          </w:p>
        </w:tc>
        <w:tc>
          <w:tcPr>
            <w:tcW w:w="733" w:type="dxa"/>
            <w:shd w:val="clear" w:color="auto" w:fill="C4BC96" w:themeFill="background2" w:themeFillShade="BF"/>
          </w:tcPr>
          <w:p w14:paraId="07DA20B4" w14:textId="77777777" w:rsidR="00F56275" w:rsidRPr="00626FCE" w:rsidRDefault="00F56275" w:rsidP="00626FCE">
            <w:pPr>
              <w:spacing w:before="120" w:after="120"/>
              <w:rPr>
                <w:sz w:val="16"/>
                <w:szCs w:val="16"/>
              </w:rPr>
            </w:pPr>
          </w:p>
        </w:tc>
        <w:tc>
          <w:tcPr>
            <w:tcW w:w="543" w:type="dxa"/>
            <w:shd w:val="clear" w:color="auto" w:fill="C4BC96" w:themeFill="background2" w:themeFillShade="BF"/>
          </w:tcPr>
          <w:p w14:paraId="56254765" w14:textId="77777777" w:rsidR="00F56275" w:rsidRPr="00626FCE" w:rsidRDefault="00F56275" w:rsidP="00626FCE">
            <w:pPr>
              <w:spacing w:before="120" w:after="120"/>
              <w:rPr>
                <w:sz w:val="16"/>
                <w:szCs w:val="16"/>
              </w:rPr>
            </w:pPr>
          </w:p>
        </w:tc>
        <w:tc>
          <w:tcPr>
            <w:tcW w:w="567" w:type="dxa"/>
            <w:shd w:val="clear" w:color="auto" w:fill="C4BC96" w:themeFill="background2" w:themeFillShade="BF"/>
          </w:tcPr>
          <w:p w14:paraId="6F30DBC2" w14:textId="77777777" w:rsidR="00F56275" w:rsidRPr="00626FCE" w:rsidRDefault="00F56275" w:rsidP="00626FCE">
            <w:pPr>
              <w:spacing w:before="120" w:after="120"/>
              <w:rPr>
                <w:sz w:val="16"/>
                <w:szCs w:val="16"/>
              </w:rPr>
            </w:pPr>
          </w:p>
        </w:tc>
        <w:tc>
          <w:tcPr>
            <w:tcW w:w="567" w:type="dxa"/>
          </w:tcPr>
          <w:p w14:paraId="406B9B29" w14:textId="77777777" w:rsidR="00F56275" w:rsidRPr="00626FCE" w:rsidRDefault="00F56275" w:rsidP="00626FCE">
            <w:pPr>
              <w:spacing w:before="120" w:after="120"/>
              <w:rPr>
                <w:sz w:val="16"/>
                <w:szCs w:val="16"/>
              </w:rPr>
            </w:pPr>
          </w:p>
        </w:tc>
        <w:tc>
          <w:tcPr>
            <w:tcW w:w="680" w:type="dxa"/>
          </w:tcPr>
          <w:p w14:paraId="7B2C4D21" w14:textId="77777777" w:rsidR="00F56275" w:rsidRPr="00626FCE" w:rsidRDefault="00F56275" w:rsidP="00626FCE">
            <w:pPr>
              <w:spacing w:before="120" w:after="120"/>
              <w:rPr>
                <w:sz w:val="16"/>
                <w:szCs w:val="16"/>
              </w:rPr>
            </w:pPr>
          </w:p>
        </w:tc>
        <w:tc>
          <w:tcPr>
            <w:tcW w:w="692" w:type="dxa"/>
          </w:tcPr>
          <w:p w14:paraId="6D97F800" w14:textId="77777777" w:rsidR="00F56275" w:rsidRPr="00626FCE" w:rsidRDefault="00F56275" w:rsidP="00626FCE">
            <w:pPr>
              <w:spacing w:before="120" w:after="120"/>
              <w:rPr>
                <w:sz w:val="16"/>
                <w:szCs w:val="16"/>
              </w:rPr>
            </w:pPr>
          </w:p>
        </w:tc>
        <w:tc>
          <w:tcPr>
            <w:tcW w:w="754" w:type="dxa"/>
            <w:shd w:val="clear" w:color="auto" w:fill="FFFFFF" w:themeFill="background1"/>
          </w:tcPr>
          <w:p w14:paraId="7A121281" w14:textId="77777777" w:rsidR="00F56275" w:rsidRPr="00626FCE" w:rsidRDefault="00F56275" w:rsidP="00626FCE">
            <w:pPr>
              <w:spacing w:before="120" w:after="120"/>
              <w:rPr>
                <w:sz w:val="16"/>
                <w:szCs w:val="16"/>
              </w:rPr>
            </w:pPr>
          </w:p>
        </w:tc>
        <w:tc>
          <w:tcPr>
            <w:tcW w:w="709" w:type="dxa"/>
            <w:shd w:val="clear" w:color="auto" w:fill="FFFFFF" w:themeFill="background1"/>
          </w:tcPr>
          <w:p w14:paraId="225CDE78" w14:textId="77777777" w:rsidR="00F56275" w:rsidRPr="00626FCE" w:rsidRDefault="00F56275" w:rsidP="00626FCE">
            <w:pPr>
              <w:spacing w:before="120" w:after="120"/>
              <w:rPr>
                <w:sz w:val="16"/>
                <w:szCs w:val="16"/>
              </w:rPr>
            </w:pPr>
          </w:p>
        </w:tc>
        <w:tc>
          <w:tcPr>
            <w:tcW w:w="567" w:type="dxa"/>
            <w:shd w:val="clear" w:color="auto" w:fill="FFFFFF" w:themeFill="background1"/>
          </w:tcPr>
          <w:p w14:paraId="5FCF61F5" w14:textId="77777777" w:rsidR="00F56275" w:rsidRPr="00626FCE" w:rsidRDefault="00F56275" w:rsidP="00626FCE">
            <w:pPr>
              <w:spacing w:before="120" w:after="120"/>
              <w:rPr>
                <w:sz w:val="16"/>
                <w:szCs w:val="16"/>
              </w:rPr>
            </w:pPr>
          </w:p>
        </w:tc>
        <w:tc>
          <w:tcPr>
            <w:tcW w:w="708" w:type="dxa"/>
            <w:shd w:val="clear" w:color="auto" w:fill="FFFFFF" w:themeFill="background1"/>
          </w:tcPr>
          <w:p w14:paraId="31EDCEF8" w14:textId="77777777" w:rsidR="00F56275" w:rsidRPr="00626FCE" w:rsidRDefault="00F56275" w:rsidP="00626FCE">
            <w:pPr>
              <w:spacing w:before="120" w:after="120"/>
              <w:rPr>
                <w:sz w:val="16"/>
                <w:szCs w:val="16"/>
              </w:rPr>
            </w:pPr>
          </w:p>
        </w:tc>
        <w:tc>
          <w:tcPr>
            <w:tcW w:w="709" w:type="dxa"/>
            <w:shd w:val="clear" w:color="auto" w:fill="FFFFFF" w:themeFill="background1"/>
          </w:tcPr>
          <w:p w14:paraId="0B29C734" w14:textId="77777777" w:rsidR="00F56275" w:rsidRPr="00626FCE" w:rsidRDefault="00F56275" w:rsidP="00626FCE">
            <w:pPr>
              <w:spacing w:before="120" w:after="120"/>
              <w:rPr>
                <w:sz w:val="16"/>
                <w:szCs w:val="16"/>
              </w:rPr>
            </w:pPr>
          </w:p>
        </w:tc>
        <w:tc>
          <w:tcPr>
            <w:tcW w:w="709" w:type="dxa"/>
            <w:shd w:val="clear" w:color="auto" w:fill="FFFFFF" w:themeFill="background1"/>
          </w:tcPr>
          <w:p w14:paraId="5CCBD7D3" w14:textId="77777777" w:rsidR="00F56275" w:rsidRPr="00626FCE" w:rsidRDefault="00F56275" w:rsidP="00626FCE">
            <w:pPr>
              <w:spacing w:before="120" w:after="120"/>
              <w:rPr>
                <w:sz w:val="16"/>
                <w:szCs w:val="16"/>
              </w:rPr>
            </w:pPr>
          </w:p>
        </w:tc>
        <w:tc>
          <w:tcPr>
            <w:tcW w:w="709" w:type="dxa"/>
            <w:shd w:val="clear" w:color="auto" w:fill="FFFFFF" w:themeFill="background1"/>
          </w:tcPr>
          <w:p w14:paraId="1323B3DD" w14:textId="77777777" w:rsidR="00F56275" w:rsidRPr="00626FCE" w:rsidRDefault="00F56275" w:rsidP="00626FCE">
            <w:pPr>
              <w:spacing w:before="120" w:after="120"/>
              <w:rPr>
                <w:sz w:val="16"/>
                <w:szCs w:val="16"/>
              </w:rPr>
            </w:pPr>
          </w:p>
        </w:tc>
      </w:tr>
      <w:tr w:rsidR="00F56275" w:rsidRPr="00626FCE" w14:paraId="4E6E086E" w14:textId="77777777" w:rsidTr="0099595B">
        <w:trPr>
          <w:trHeight w:val="348"/>
        </w:trPr>
        <w:tc>
          <w:tcPr>
            <w:tcW w:w="1864" w:type="dxa"/>
            <w:shd w:val="clear" w:color="auto" w:fill="D9D9D9" w:themeFill="background1" w:themeFillShade="D9"/>
          </w:tcPr>
          <w:p w14:paraId="387C1192" w14:textId="77777777" w:rsidR="00F56275" w:rsidRPr="00626FCE" w:rsidRDefault="00F56275" w:rsidP="00626FCE">
            <w:pPr>
              <w:spacing w:before="120" w:after="120"/>
              <w:rPr>
                <w:b/>
                <w:sz w:val="18"/>
                <w:szCs w:val="16"/>
              </w:rPr>
            </w:pPr>
          </w:p>
        </w:tc>
        <w:tc>
          <w:tcPr>
            <w:tcW w:w="706" w:type="dxa"/>
            <w:shd w:val="clear" w:color="auto" w:fill="FFFFFF" w:themeFill="background1"/>
            <w:noWrap/>
          </w:tcPr>
          <w:p w14:paraId="0ABAE4A9" w14:textId="77777777" w:rsidR="00F56275" w:rsidRPr="00626FCE" w:rsidRDefault="00F56275" w:rsidP="00626FCE">
            <w:pPr>
              <w:spacing w:before="120" w:after="120"/>
              <w:rPr>
                <w:sz w:val="16"/>
                <w:szCs w:val="16"/>
              </w:rPr>
            </w:pPr>
          </w:p>
        </w:tc>
        <w:tc>
          <w:tcPr>
            <w:tcW w:w="709" w:type="dxa"/>
            <w:gridSpan w:val="2"/>
            <w:shd w:val="clear" w:color="auto" w:fill="FFFFFF" w:themeFill="background1"/>
          </w:tcPr>
          <w:p w14:paraId="3EE2D9F9" w14:textId="77777777" w:rsidR="00F56275" w:rsidRPr="00626FCE" w:rsidRDefault="00F56275" w:rsidP="00626FCE">
            <w:pPr>
              <w:spacing w:before="120" w:after="120"/>
              <w:rPr>
                <w:sz w:val="16"/>
                <w:szCs w:val="16"/>
              </w:rPr>
            </w:pPr>
          </w:p>
        </w:tc>
        <w:tc>
          <w:tcPr>
            <w:tcW w:w="709" w:type="dxa"/>
            <w:shd w:val="clear" w:color="auto" w:fill="FFFFFF" w:themeFill="background1"/>
          </w:tcPr>
          <w:p w14:paraId="1FD0F03D" w14:textId="77777777" w:rsidR="00F56275" w:rsidRPr="00626FCE" w:rsidRDefault="00F56275" w:rsidP="00626FCE">
            <w:pPr>
              <w:spacing w:before="120" w:after="120"/>
              <w:rPr>
                <w:sz w:val="16"/>
                <w:szCs w:val="16"/>
              </w:rPr>
            </w:pPr>
          </w:p>
        </w:tc>
        <w:tc>
          <w:tcPr>
            <w:tcW w:w="733" w:type="dxa"/>
            <w:shd w:val="clear" w:color="auto" w:fill="FFFFFF" w:themeFill="background1"/>
          </w:tcPr>
          <w:p w14:paraId="2D9D1247" w14:textId="77777777" w:rsidR="00F56275" w:rsidRPr="00626FCE" w:rsidRDefault="00F56275" w:rsidP="00626FCE">
            <w:pPr>
              <w:spacing w:before="120" w:after="120"/>
              <w:rPr>
                <w:sz w:val="16"/>
                <w:szCs w:val="16"/>
              </w:rPr>
            </w:pPr>
          </w:p>
        </w:tc>
        <w:tc>
          <w:tcPr>
            <w:tcW w:w="543" w:type="dxa"/>
            <w:shd w:val="clear" w:color="auto" w:fill="FFFFFF" w:themeFill="background1"/>
          </w:tcPr>
          <w:p w14:paraId="7DD2F785" w14:textId="77777777" w:rsidR="00F56275" w:rsidRPr="00626FCE" w:rsidRDefault="00F56275" w:rsidP="00626FCE">
            <w:pPr>
              <w:spacing w:before="120" w:after="120"/>
              <w:rPr>
                <w:sz w:val="16"/>
                <w:szCs w:val="16"/>
              </w:rPr>
            </w:pPr>
          </w:p>
        </w:tc>
        <w:tc>
          <w:tcPr>
            <w:tcW w:w="567" w:type="dxa"/>
            <w:shd w:val="clear" w:color="auto" w:fill="FFFFFF" w:themeFill="background1"/>
          </w:tcPr>
          <w:p w14:paraId="216E9F55" w14:textId="77777777" w:rsidR="00F56275" w:rsidRPr="00626FCE" w:rsidRDefault="00F56275" w:rsidP="00626FCE">
            <w:pPr>
              <w:spacing w:before="120" w:after="120"/>
              <w:rPr>
                <w:sz w:val="16"/>
                <w:szCs w:val="16"/>
              </w:rPr>
            </w:pPr>
          </w:p>
        </w:tc>
        <w:tc>
          <w:tcPr>
            <w:tcW w:w="567" w:type="dxa"/>
          </w:tcPr>
          <w:p w14:paraId="2BE336A7" w14:textId="77777777" w:rsidR="00F56275" w:rsidRPr="00626FCE" w:rsidRDefault="00F56275" w:rsidP="00626FCE">
            <w:pPr>
              <w:spacing w:before="120" w:after="120"/>
              <w:rPr>
                <w:sz w:val="16"/>
                <w:szCs w:val="16"/>
              </w:rPr>
            </w:pPr>
          </w:p>
        </w:tc>
        <w:tc>
          <w:tcPr>
            <w:tcW w:w="680" w:type="dxa"/>
          </w:tcPr>
          <w:p w14:paraId="46B4760A" w14:textId="77777777" w:rsidR="00F56275" w:rsidRPr="00626FCE" w:rsidRDefault="00F56275" w:rsidP="00626FCE">
            <w:pPr>
              <w:spacing w:before="120" w:after="120"/>
              <w:rPr>
                <w:sz w:val="16"/>
                <w:szCs w:val="16"/>
              </w:rPr>
            </w:pPr>
          </w:p>
        </w:tc>
        <w:tc>
          <w:tcPr>
            <w:tcW w:w="692" w:type="dxa"/>
          </w:tcPr>
          <w:p w14:paraId="14214184" w14:textId="77777777" w:rsidR="00F56275" w:rsidRPr="00626FCE" w:rsidRDefault="00F56275" w:rsidP="00626FCE">
            <w:pPr>
              <w:spacing w:before="120" w:after="120"/>
              <w:rPr>
                <w:sz w:val="16"/>
                <w:szCs w:val="16"/>
              </w:rPr>
            </w:pPr>
          </w:p>
        </w:tc>
        <w:tc>
          <w:tcPr>
            <w:tcW w:w="754" w:type="dxa"/>
            <w:shd w:val="clear" w:color="auto" w:fill="FFFFFF" w:themeFill="background1"/>
          </w:tcPr>
          <w:p w14:paraId="5ADB1D4C" w14:textId="77777777" w:rsidR="00F56275" w:rsidRPr="00626FCE" w:rsidRDefault="00F56275" w:rsidP="00626FCE">
            <w:pPr>
              <w:spacing w:before="120" w:after="120"/>
              <w:rPr>
                <w:sz w:val="16"/>
                <w:szCs w:val="16"/>
              </w:rPr>
            </w:pPr>
          </w:p>
        </w:tc>
        <w:tc>
          <w:tcPr>
            <w:tcW w:w="709" w:type="dxa"/>
            <w:shd w:val="clear" w:color="auto" w:fill="FFFFFF" w:themeFill="background1"/>
          </w:tcPr>
          <w:p w14:paraId="22FFDD3B" w14:textId="77777777" w:rsidR="00F56275" w:rsidRPr="00626FCE" w:rsidRDefault="00F56275" w:rsidP="00626FCE">
            <w:pPr>
              <w:spacing w:before="120" w:after="120"/>
              <w:rPr>
                <w:sz w:val="16"/>
                <w:szCs w:val="16"/>
              </w:rPr>
            </w:pPr>
          </w:p>
        </w:tc>
        <w:tc>
          <w:tcPr>
            <w:tcW w:w="567" w:type="dxa"/>
            <w:shd w:val="clear" w:color="auto" w:fill="FFFFFF" w:themeFill="background1"/>
          </w:tcPr>
          <w:p w14:paraId="4CD6D422" w14:textId="77777777" w:rsidR="00F56275" w:rsidRPr="00626FCE" w:rsidRDefault="00F56275" w:rsidP="00626FCE">
            <w:pPr>
              <w:spacing w:before="120" w:after="120"/>
              <w:rPr>
                <w:sz w:val="16"/>
                <w:szCs w:val="16"/>
              </w:rPr>
            </w:pPr>
          </w:p>
        </w:tc>
        <w:tc>
          <w:tcPr>
            <w:tcW w:w="708" w:type="dxa"/>
            <w:shd w:val="clear" w:color="auto" w:fill="FFFFFF" w:themeFill="background1"/>
          </w:tcPr>
          <w:p w14:paraId="689502ED" w14:textId="77777777" w:rsidR="00F56275" w:rsidRPr="00626FCE" w:rsidRDefault="00F56275" w:rsidP="00626FCE">
            <w:pPr>
              <w:spacing w:before="120" w:after="120"/>
              <w:rPr>
                <w:sz w:val="16"/>
                <w:szCs w:val="16"/>
              </w:rPr>
            </w:pPr>
          </w:p>
        </w:tc>
        <w:tc>
          <w:tcPr>
            <w:tcW w:w="709" w:type="dxa"/>
            <w:shd w:val="clear" w:color="auto" w:fill="FFFFFF" w:themeFill="background1"/>
          </w:tcPr>
          <w:p w14:paraId="379E317D" w14:textId="77777777" w:rsidR="00F56275" w:rsidRPr="00626FCE" w:rsidRDefault="00F56275" w:rsidP="00626FCE">
            <w:pPr>
              <w:spacing w:before="120" w:after="120"/>
              <w:rPr>
                <w:sz w:val="16"/>
                <w:szCs w:val="16"/>
              </w:rPr>
            </w:pPr>
          </w:p>
        </w:tc>
        <w:tc>
          <w:tcPr>
            <w:tcW w:w="709" w:type="dxa"/>
            <w:shd w:val="clear" w:color="auto" w:fill="FFFFFF" w:themeFill="background1"/>
          </w:tcPr>
          <w:p w14:paraId="4ADD57C2" w14:textId="77777777" w:rsidR="00F56275" w:rsidRPr="00626FCE" w:rsidRDefault="00F56275" w:rsidP="00626FCE">
            <w:pPr>
              <w:spacing w:before="120" w:after="120"/>
              <w:rPr>
                <w:sz w:val="16"/>
                <w:szCs w:val="16"/>
              </w:rPr>
            </w:pPr>
          </w:p>
        </w:tc>
        <w:tc>
          <w:tcPr>
            <w:tcW w:w="709" w:type="dxa"/>
            <w:shd w:val="clear" w:color="auto" w:fill="FFFFFF" w:themeFill="background1"/>
          </w:tcPr>
          <w:p w14:paraId="287C9507" w14:textId="77777777" w:rsidR="00F56275" w:rsidRPr="00626FCE" w:rsidRDefault="00F56275" w:rsidP="00626FCE">
            <w:pPr>
              <w:spacing w:before="120" w:after="120"/>
              <w:rPr>
                <w:sz w:val="16"/>
                <w:szCs w:val="16"/>
              </w:rPr>
            </w:pPr>
          </w:p>
        </w:tc>
      </w:tr>
      <w:tr w:rsidR="00F56275" w:rsidRPr="00626FCE" w14:paraId="3A39A988" w14:textId="77777777" w:rsidTr="0099595B">
        <w:trPr>
          <w:trHeight w:val="348"/>
        </w:trPr>
        <w:tc>
          <w:tcPr>
            <w:tcW w:w="1864" w:type="dxa"/>
            <w:shd w:val="clear" w:color="auto" w:fill="D9D9D9" w:themeFill="background1" w:themeFillShade="D9"/>
          </w:tcPr>
          <w:p w14:paraId="2161F562" w14:textId="51855247" w:rsidR="00F56275" w:rsidRPr="00626FCE" w:rsidRDefault="0099595B" w:rsidP="00626FCE">
            <w:pPr>
              <w:spacing w:before="120" w:after="120"/>
              <w:rPr>
                <w:b/>
                <w:sz w:val="18"/>
                <w:szCs w:val="16"/>
              </w:rPr>
            </w:pPr>
            <w:r w:rsidRPr="0099595B">
              <w:rPr>
                <w:b/>
                <w:sz w:val="18"/>
                <w:szCs w:val="16"/>
              </w:rPr>
              <w:t>T 3.3 - Financing solutions</w:t>
            </w:r>
          </w:p>
        </w:tc>
        <w:tc>
          <w:tcPr>
            <w:tcW w:w="706" w:type="dxa"/>
            <w:shd w:val="clear" w:color="auto" w:fill="C4BC96" w:themeFill="background2" w:themeFillShade="BF"/>
            <w:noWrap/>
          </w:tcPr>
          <w:p w14:paraId="460F7F80" w14:textId="77777777" w:rsidR="00F56275" w:rsidRPr="00626FCE" w:rsidRDefault="00F56275" w:rsidP="00626FCE">
            <w:pPr>
              <w:spacing w:before="120" w:after="120"/>
              <w:rPr>
                <w:sz w:val="16"/>
                <w:szCs w:val="16"/>
              </w:rPr>
            </w:pPr>
          </w:p>
        </w:tc>
        <w:tc>
          <w:tcPr>
            <w:tcW w:w="709" w:type="dxa"/>
            <w:gridSpan w:val="2"/>
            <w:shd w:val="clear" w:color="auto" w:fill="C4BC96" w:themeFill="background2" w:themeFillShade="BF"/>
          </w:tcPr>
          <w:p w14:paraId="5B9B359A" w14:textId="77777777" w:rsidR="00F56275" w:rsidRPr="00626FCE" w:rsidRDefault="00F56275" w:rsidP="00626FCE">
            <w:pPr>
              <w:spacing w:before="120" w:after="120"/>
              <w:rPr>
                <w:sz w:val="16"/>
                <w:szCs w:val="16"/>
              </w:rPr>
            </w:pPr>
          </w:p>
        </w:tc>
        <w:tc>
          <w:tcPr>
            <w:tcW w:w="709" w:type="dxa"/>
            <w:shd w:val="clear" w:color="auto" w:fill="C4BC96" w:themeFill="background2" w:themeFillShade="BF"/>
          </w:tcPr>
          <w:p w14:paraId="6C64488F" w14:textId="77777777" w:rsidR="00F56275" w:rsidRPr="00626FCE" w:rsidRDefault="00F56275" w:rsidP="00626FCE">
            <w:pPr>
              <w:spacing w:before="120" w:after="120"/>
              <w:rPr>
                <w:sz w:val="16"/>
                <w:szCs w:val="16"/>
              </w:rPr>
            </w:pPr>
          </w:p>
        </w:tc>
        <w:tc>
          <w:tcPr>
            <w:tcW w:w="733" w:type="dxa"/>
            <w:shd w:val="clear" w:color="auto" w:fill="C4BC96" w:themeFill="background2" w:themeFillShade="BF"/>
          </w:tcPr>
          <w:p w14:paraId="5E407A34" w14:textId="77777777" w:rsidR="00F56275" w:rsidRPr="00626FCE" w:rsidRDefault="00F56275" w:rsidP="00626FCE">
            <w:pPr>
              <w:spacing w:before="120" w:after="120"/>
              <w:rPr>
                <w:sz w:val="16"/>
                <w:szCs w:val="16"/>
              </w:rPr>
            </w:pPr>
          </w:p>
        </w:tc>
        <w:tc>
          <w:tcPr>
            <w:tcW w:w="543" w:type="dxa"/>
            <w:shd w:val="clear" w:color="auto" w:fill="C4BC96" w:themeFill="background2" w:themeFillShade="BF"/>
          </w:tcPr>
          <w:p w14:paraId="6A9CF83A" w14:textId="77777777" w:rsidR="00F56275" w:rsidRPr="00626FCE" w:rsidRDefault="00F56275" w:rsidP="00626FCE">
            <w:pPr>
              <w:spacing w:before="120" w:after="120"/>
              <w:rPr>
                <w:sz w:val="16"/>
                <w:szCs w:val="16"/>
              </w:rPr>
            </w:pPr>
          </w:p>
        </w:tc>
        <w:tc>
          <w:tcPr>
            <w:tcW w:w="567" w:type="dxa"/>
            <w:shd w:val="clear" w:color="auto" w:fill="C4BC96" w:themeFill="background2" w:themeFillShade="BF"/>
          </w:tcPr>
          <w:p w14:paraId="22EBB305" w14:textId="77777777" w:rsidR="00F56275" w:rsidRPr="00626FCE" w:rsidRDefault="00F56275" w:rsidP="00626FCE">
            <w:pPr>
              <w:spacing w:before="120" w:after="120"/>
              <w:rPr>
                <w:sz w:val="16"/>
                <w:szCs w:val="16"/>
              </w:rPr>
            </w:pPr>
          </w:p>
        </w:tc>
        <w:tc>
          <w:tcPr>
            <w:tcW w:w="567" w:type="dxa"/>
          </w:tcPr>
          <w:p w14:paraId="473F9A83" w14:textId="77777777" w:rsidR="00F56275" w:rsidRPr="00626FCE" w:rsidRDefault="00F56275" w:rsidP="00626FCE">
            <w:pPr>
              <w:spacing w:before="120" w:after="120"/>
              <w:rPr>
                <w:sz w:val="16"/>
                <w:szCs w:val="16"/>
              </w:rPr>
            </w:pPr>
          </w:p>
        </w:tc>
        <w:tc>
          <w:tcPr>
            <w:tcW w:w="680" w:type="dxa"/>
          </w:tcPr>
          <w:p w14:paraId="6E17694E" w14:textId="77777777" w:rsidR="00F56275" w:rsidRPr="00626FCE" w:rsidRDefault="00F56275" w:rsidP="00626FCE">
            <w:pPr>
              <w:spacing w:before="120" w:after="120"/>
              <w:rPr>
                <w:sz w:val="16"/>
                <w:szCs w:val="16"/>
              </w:rPr>
            </w:pPr>
          </w:p>
        </w:tc>
        <w:tc>
          <w:tcPr>
            <w:tcW w:w="692" w:type="dxa"/>
          </w:tcPr>
          <w:p w14:paraId="132FCDC0" w14:textId="77777777" w:rsidR="00F56275" w:rsidRPr="00626FCE" w:rsidRDefault="00F56275" w:rsidP="00626FCE">
            <w:pPr>
              <w:spacing w:before="120" w:after="120"/>
              <w:rPr>
                <w:sz w:val="16"/>
                <w:szCs w:val="16"/>
              </w:rPr>
            </w:pPr>
          </w:p>
        </w:tc>
        <w:tc>
          <w:tcPr>
            <w:tcW w:w="754" w:type="dxa"/>
            <w:shd w:val="clear" w:color="auto" w:fill="FFFFFF" w:themeFill="background1"/>
          </w:tcPr>
          <w:p w14:paraId="2BF4EE55" w14:textId="77777777" w:rsidR="00F56275" w:rsidRPr="00626FCE" w:rsidRDefault="00F56275" w:rsidP="00626FCE">
            <w:pPr>
              <w:spacing w:before="120" w:after="120"/>
              <w:rPr>
                <w:sz w:val="16"/>
                <w:szCs w:val="16"/>
              </w:rPr>
            </w:pPr>
          </w:p>
        </w:tc>
        <w:tc>
          <w:tcPr>
            <w:tcW w:w="709" w:type="dxa"/>
            <w:shd w:val="clear" w:color="auto" w:fill="FFFFFF" w:themeFill="background1"/>
          </w:tcPr>
          <w:p w14:paraId="6E67F377" w14:textId="77777777" w:rsidR="00F56275" w:rsidRPr="00626FCE" w:rsidRDefault="00F56275" w:rsidP="00626FCE">
            <w:pPr>
              <w:spacing w:before="120" w:after="120"/>
              <w:rPr>
                <w:sz w:val="16"/>
                <w:szCs w:val="16"/>
              </w:rPr>
            </w:pPr>
          </w:p>
        </w:tc>
        <w:tc>
          <w:tcPr>
            <w:tcW w:w="567" w:type="dxa"/>
            <w:shd w:val="clear" w:color="auto" w:fill="FFFFFF" w:themeFill="background1"/>
          </w:tcPr>
          <w:p w14:paraId="24F40C1A" w14:textId="77777777" w:rsidR="00F56275" w:rsidRPr="00626FCE" w:rsidRDefault="00F56275" w:rsidP="00626FCE">
            <w:pPr>
              <w:spacing w:before="120" w:after="120"/>
              <w:rPr>
                <w:sz w:val="16"/>
                <w:szCs w:val="16"/>
              </w:rPr>
            </w:pPr>
          </w:p>
        </w:tc>
        <w:tc>
          <w:tcPr>
            <w:tcW w:w="708" w:type="dxa"/>
            <w:shd w:val="clear" w:color="auto" w:fill="FFFFFF" w:themeFill="background1"/>
          </w:tcPr>
          <w:p w14:paraId="4180FC44" w14:textId="77777777" w:rsidR="00F56275" w:rsidRPr="00626FCE" w:rsidRDefault="00F56275" w:rsidP="00626FCE">
            <w:pPr>
              <w:spacing w:before="120" w:after="120"/>
              <w:rPr>
                <w:sz w:val="16"/>
                <w:szCs w:val="16"/>
              </w:rPr>
            </w:pPr>
          </w:p>
        </w:tc>
        <w:tc>
          <w:tcPr>
            <w:tcW w:w="709" w:type="dxa"/>
            <w:shd w:val="clear" w:color="auto" w:fill="FFFFFF" w:themeFill="background1"/>
          </w:tcPr>
          <w:p w14:paraId="0C5A86BC" w14:textId="77777777" w:rsidR="00F56275" w:rsidRPr="00626FCE" w:rsidRDefault="00F56275" w:rsidP="00626FCE">
            <w:pPr>
              <w:spacing w:before="120" w:after="120"/>
              <w:rPr>
                <w:sz w:val="16"/>
                <w:szCs w:val="16"/>
              </w:rPr>
            </w:pPr>
          </w:p>
        </w:tc>
        <w:tc>
          <w:tcPr>
            <w:tcW w:w="709" w:type="dxa"/>
            <w:shd w:val="clear" w:color="auto" w:fill="FFFFFF" w:themeFill="background1"/>
          </w:tcPr>
          <w:p w14:paraId="07EF9F76" w14:textId="77777777" w:rsidR="00F56275" w:rsidRPr="00626FCE" w:rsidRDefault="00F56275" w:rsidP="00626FCE">
            <w:pPr>
              <w:spacing w:before="120" w:after="120"/>
              <w:rPr>
                <w:sz w:val="16"/>
                <w:szCs w:val="16"/>
              </w:rPr>
            </w:pPr>
          </w:p>
        </w:tc>
        <w:tc>
          <w:tcPr>
            <w:tcW w:w="709" w:type="dxa"/>
            <w:shd w:val="clear" w:color="auto" w:fill="FFFFFF" w:themeFill="background1"/>
          </w:tcPr>
          <w:p w14:paraId="0EC51815" w14:textId="77777777" w:rsidR="00F56275" w:rsidRPr="00626FCE" w:rsidRDefault="00F56275" w:rsidP="00626FCE">
            <w:pPr>
              <w:spacing w:before="120" w:after="120"/>
              <w:rPr>
                <w:sz w:val="16"/>
                <w:szCs w:val="16"/>
              </w:rPr>
            </w:pPr>
          </w:p>
        </w:tc>
      </w:tr>
      <w:tr w:rsidR="00F56275" w:rsidRPr="00626FCE" w14:paraId="5D048988" w14:textId="77777777" w:rsidTr="0099595B">
        <w:trPr>
          <w:trHeight w:val="348"/>
        </w:trPr>
        <w:tc>
          <w:tcPr>
            <w:tcW w:w="1864" w:type="dxa"/>
            <w:shd w:val="clear" w:color="auto" w:fill="D9D9D9" w:themeFill="background1" w:themeFillShade="D9"/>
          </w:tcPr>
          <w:p w14:paraId="5129A052" w14:textId="77777777" w:rsidR="00F56275" w:rsidRPr="00626FCE" w:rsidRDefault="00F56275" w:rsidP="00626FCE">
            <w:pPr>
              <w:spacing w:before="120" w:after="120"/>
              <w:rPr>
                <w:b/>
                <w:sz w:val="18"/>
                <w:szCs w:val="16"/>
              </w:rPr>
            </w:pPr>
          </w:p>
        </w:tc>
        <w:tc>
          <w:tcPr>
            <w:tcW w:w="706" w:type="dxa"/>
            <w:shd w:val="clear" w:color="auto" w:fill="FFFFFF" w:themeFill="background1"/>
            <w:noWrap/>
          </w:tcPr>
          <w:p w14:paraId="44F8426E" w14:textId="77777777" w:rsidR="00F56275" w:rsidRPr="00626FCE" w:rsidRDefault="00F56275" w:rsidP="00626FCE">
            <w:pPr>
              <w:spacing w:before="120" w:after="120"/>
              <w:rPr>
                <w:sz w:val="16"/>
                <w:szCs w:val="16"/>
              </w:rPr>
            </w:pPr>
          </w:p>
        </w:tc>
        <w:tc>
          <w:tcPr>
            <w:tcW w:w="709" w:type="dxa"/>
            <w:gridSpan w:val="2"/>
            <w:shd w:val="clear" w:color="auto" w:fill="FFFFFF" w:themeFill="background1"/>
          </w:tcPr>
          <w:p w14:paraId="03194B3C" w14:textId="77777777" w:rsidR="00F56275" w:rsidRPr="00626FCE" w:rsidRDefault="00F56275" w:rsidP="00626FCE">
            <w:pPr>
              <w:spacing w:before="120" w:after="120"/>
              <w:rPr>
                <w:sz w:val="16"/>
                <w:szCs w:val="16"/>
              </w:rPr>
            </w:pPr>
          </w:p>
        </w:tc>
        <w:tc>
          <w:tcPr>
            <w:tcW w:w="709" w:type="dxa"/>
            <w:shd w:val="clear" w:color="auto" w:fill="FFFFFF" w:themeFill="background1"/>
          </w:tcPr>
          <w:p w14:paraId="7C67E508" w14:textId="77777777" w:rsidR="00F56275" w:rsidRPr="00626FCE" w:rsidRDefault="00F56275" w:rsidP="00626FCE">
            <w:pPr>
              <w:spacing w:before="120" w:after="120"/>
              <w:rPr>
                <w:sz w:val="16"/>
                <w:szCs w:val="16"/>
              </w:rPr>
            </w:pPr>
          </w:p>
        </w:tc>
        <w:tc>
          <w:tcPr>
            <w:tcW w:w="733" w:type="dxa"/>
            <w:shd w:val="clear" w:color="auto" w:fill="FFFFFF" w:themeFill="background1"/>
          </w:tcPr>
          <w:p w14:paraId="38CA5281" w14:textId="77777777" w:rsidR="00F56275" w:rsidRPr="00626FCE" w:rsidRDefault="00F56275" w:rsidP="00626FCE">
            <w:pPr>
              <w:spacing w:before="120" w:after="120"/>
              <w:rPr>
                <w:sz w:val="16"/>
                <w:szCs w:val="16"/>
              </w:rPr>
            </w:pPr>
          </w:p>
        </w:tc>
        <w:tc>
          <w:tcPr>
            <w:tcW w:w="543" w:type="dxa"/>
            <w:shd w:val="clear" w:color="auto" w:fill="FFFFFF" w:themeFill="background1"/>
          </w:tcPr>
          <w:p w14:paraId="44CBED50" w14:textId="77777777" w:rsidR="00F56275" w:rsidRPr="00626FCE" w:rsidRDefault="00F56275" w:rsidP="00626FCE">
            <w:pPr>
              <w:spacing w:before="120" w:after="120"/>
              <w:rPr>
                <w:sz w:val="16"/>
                <w:szCs w:val="16"/>
              </w:rPr>
            </w:pPr>
          </w:p>
        </w:tc>
        <w:tc>
          <w:tcPr>
            <w:tcW w:w="567" w:type="dxa"/>
            <w:shd w:val="clear" w:color="auto" w:fill="FFFFFF" w:themeFill="background1"/>
          </w:tcPr>
          <w:p w14:paraId="5E5BF6B8" w14:textId="77777777" w:rsidR="00F56275" w:rsidRPr="00626FCE" w:rsidRDefault="00F56275" w:rsidP="00626FCE">
            <w:pPr>
              <w:spacing w:before="120" w:after="120"/>
              <w:rPr>
                <w:sz w:val="16"/>
                <w:szCs w:val="16"/>
              </w:rPr>
            </w:pPr>
          </w:p>
        </w:tc>
        <w:tc>
          <w:tcPr>
            <w:tcW w:w="567" w:type="dxa"/>
          </w:tcPr>
          <w:p w14:paraId="0914D6D3" w14:textId="77777777" w:rsidR="00F56275" w:rsidRPr="00626FCE" w:rsidRDefault="00F56275" w:rsidP="00626FCE">
            <w:pPr>
              <w:spacing w:before="120" w:after="120"/>
              <w:rPr>
                <w:sz w:val="16"/>
                <w:szCs w:val="16"/>
              </w:rPr>
            </w:pPr>
          </w:p>
        </w:tc>
        <w:tc>
          <w:tcPr>
            <w:tcW w:w="680" w:type="dxa"/>
          </w:tcPr>
          <w:p w14:paraId="7F82184B" w14:textId="77777777" w:rsidR="00F56275" w:rsidRPr="00626FCE" w:rsidRDefault="00F56275" w:rsidP="00626FCE">
            <w:pPr>
              <w:spacing w:before="120" w:after="120"/>
              <w:rPr>
                <w:sz w:val="16"/>
                <w:szCs w:val="16"/>
              </w:rPr>
            </w:pPr>
          </w:p>
        </w:tc>
        <w:tc>
          <w:tcPr>
            <w:tcW w:w="692" w:type="dxa"/>
          </w:tcPr>
          <w:p w14:paraId="3CEAE590" w14:textId="77777777" w:rsidR="00F56275" w:rsidRPr="00626FCE" w:rsidRDefault="00F56275" w:rsidP="00626FCE">
            <w:pPr>
              <w:spacing w:before="120" w:after="120"/>
              <w:rPr>
                <w:sz w:val="16"/>
                <w:szCs w:val="16"/>
              </w:rPr>
            </w:pPr>
          </w:p>
        </w:tc>
        <w:tc>
          <w:tcPr>
            <w:tcW w:w="754" w:type="dxa"/>
            <w:shd w:val="clear" w:color="auto" w:fill="FFFFFF" w:themeFill="background1"/>
          </w:tcPr>
          <w:p w14:paraId="1A75A9F2" w14:textId="77777777" w:rsidR="00F56275" w:rsidRPr="00626FCE" w:rsidRDefault="00F56275" w:rsidP="00626FCE">
            <w:pPr>
              <w:spacing w:before="120" w:after="120"/>
              <w:rPr>
                <w:sz w:val="16"/>
                <w:szCs w:val="16"/>
              </w:rPr>
            </w:pPr>
          </w:p>
        </w:tc>
        <w:tc>
          <w:tcPr>
            <w:tcW w:w="709" w:type="dxa"/>
            <w:shd w:val="clear" w:color="auto" w:fill="FFFFFF" w:themeFill="background1"/>
          </w:tcPr>
          <w:p w14:paraId="2F055A38" w14:textId="77777777" w:rsidR="00F56275" w:rsidRPr="00626FCE" w:rsidRDefault="00F56275" w:rsidP="00626FCE">
            <w:pPr>
              <w:spacing w:before="120" w:after="120"/>
              <w:rPr>
                <w:sz w:val="16"/>
                <w:szCs w:val="16"/>
              </w:rPr>
            </w:pPr>
          </w:p>
        </w:tc>
        <w:tc>
          <w:tcPr>
            <w:tcW w:w="567" w:type="dxa"/>
            <w:shd w:val="clear" w:color="auto" w:fill="FFFFFF" w:themeFill="background1"/>
          </w:tcPr>
          <w:p w14:paraId="7B62DDBF" w14:textId="77777777" w:rsidR="00F56275" w:rsidRPr="00626FCE" w:rsidRDefault="00F56275" w:rsidP="00626FCE">
            <w:pPr>
              <w:spacing w:before="120" w:after="120"/>
              <w:rPr>
                <w:sz w:val="16"/>
                <w:szCs w:val="16"/>
              </w:rPr>
            </w:pPr>
          </w:p>
        </w:tc>
        <w:tc>
          <w:tcPr>
            <w:tcW w:w="708" w:type="dxa"/>
            <w:shd w:val="clear" w:color="auto" w:fill="FFFFFF" w:themeFill="background1"/>
          </w:tcPr>
          <w:p w14:paraId="1AE1EC90" w14:textId="77777777" w:rsidR="00F56275" w:rsidRPr="00626FCE" w:rsidRDefault="00F56275" w:rsidP="00626FCE">
            <w:pPr>
              <w:spacing w:before="120" w:after="120"/>
              <w:rPr>
                <w:sz w:val="16"/>
                <w:szCs w:val="16"/>
              </w:rPr>
            </w:pPr>
          </w:p>
        </w:tc>
        <w:tc>
          <w:tcPr>
            <w:tcW w:w="709" w:type="dxa"/>
            <w:shd w:val="clear" w:color="auto" w:fill="FFFFFF" w:themeFill="background1"/>
          </w:tcPr>
          <w:p w14:paraId="683D13AC" w14:textId="77777777" w:rsidR="00F56275" w:rsidRPr="00626FCE" w:rsidRDefault="00F56275" w:rsidP="00626FCE">
            <w:pPr>
              <w:spacing w:before="120" w:after="120"/>
              <w:rPr>
                <w:sz w:val="16"/>
                <w:szCs w:val="16"/>
              </w:rPr>
            </w:pPr>
          </w:p>
        </w:tc>
        <w:tc>
          <w:tcPr>
            <w:tcW w:w="709" w:type="dxa"/>
            <w:shd w:val="clear" w:color="auto" w:fill="FFFFFF" w:themeFill="background1"/>
          </w:tcPr>
          <w:p w14:paraId="0A2892A4" w14:textId="77777777" w:rsidR="00F56275" w:rsidRPr="00626FCE" w:rsidRDefault="00F56275" w:rsidP="00626FCE">
            <w:pPr>
              <w:spacing w:before="120" w:after="120"/>
              <w:rPr>
                <w:sz w:val="16"/>
                <w:szCs w:val="16"/>
              </w:rPr>
            </w:pPr>
          </w:p>
        </w:tc>
        <w:tc>
          <w:tcPr>
            <w:tcW w:w="709" w:type="dxa"/>
            <w:shd w:val="clear" w:color="auto" w:fill="FFFFFF" w:themeFill="background1"/>
          </w:tcPr>
          <w:p w14:paraId="518E594C" w14:textId="77777777" w:rsidR="00F56275" w:rsidRPr="00626FCE" w:rsidRDefault="00F56275" w:rsidP="00626FCE">
            <w:pPr>
              <w:spacing w:before="120" w:after="120"/>
              <w:rPr>
                <w:sz w:val="16"/>
                <w:szCs w:val="16"/>
              </w:rPr>
            </w:pPr>
          </w:p>
        </w:tc>
      </w:tr>
      <w:tr w:rsidR="00F56275" w:rsidRPr="00626FCE" w14:paraId="5F304E29" w14:textId="77777777" w:rsidTr="0099595B">
        <w:trPr>
          <w:trHeight w:val="348"/>
        </w:trPr>
        <w:tc>
          <w:tcPr>
            <w:tcW w:w="1864" w:type="dxa"/>
            <w:shd w:val="clear" w:color="auto" w:fill="D9D9D9" w:themeFill="background1" w:themeFillShade="D9"/>
          </w:tcPr>
          <w:p w14:paraId="26F64D81" w14:textId="35B8FD8C" w:rsidR="00F56275" w:rsidRPr="00626FCE" w:rsidRDefault="0099595B" w:rsidP="00626FCE">
            <w:pPr>
              <w:spacing w:before="120" w:after="120"/>
              <w:rPr>
                <w:b/>
                <w:sz w:val="18"/>
                <w:szCs w:val="16"/>
              </w:rPr>
            </w:pPr>
            <w:r w:rsidRPr="0099595B">
              <w:rPr>
                <w:b/>
                <w:sz w:val="18"/>
                <w:szCs w:val="16"/>
              </w:rPr>
              <w:t>T 3.4 - Support materials</w:t>
            </w:r>
          </w:p>
        </w:tc>
        <w:tc>
          <w:tcPr>
            <w:tcW w:w="706" w:type="dxa"/>
            <w:shd w:val="clear" w:color="auto" w:fill="C4BC96" w:themeFill="background2" w:themeFillShade="BF"/>
            <w:noWrap/>
          </w:tcPr>
          <w:p w14:paraId="520810B3" w14:textId="77777777" w:rsidR="00F56275" w:rsidRPr="00626FCE" w:rsidRDefault="00F56275" w:rsidP="00626FCE">
            <w:pPr>
              <w:spacing w:before="120" w:after="120"/>
              <w:rPr>
                <w:sz w:val="16"/>
                <w:szCs w:val="16"/>
              </w:rPr>
            </w:pPr>
          </w:p>
        </w:tc>
        <w:tc>
          <w:tcPr>
            <w:tcW w:w="709" w:type="dxa"/>
            <w:gridSpan w:val="2"/>
            <w:shd w:val="clear" w:color="auto" w:fill="C4BC96" w:themeFill="background2" w:themeFillShade="BF"/>
          </w:tcPr>
          <w:p w14:paraId="1A7594C5" w14:textId="77777777" w:rsidR="00F56275" w:rsidRPr="00626FCE" w:rsidRDefault="00F56275" w:rsidP="00626FCE">
            <w:pPr>
              <w:spacing w:before="120" w:after="120"/>
              <w:rPr>
                <w:sz w:val="16"/>
                <w:szCs w:val="16"/>
              </w:rPr>
            </w:pPr>
          </w:p>
        </w:tc>
        <w:tc>
          <w:tcPr>
            <w:tcW w:w="709" w:type="dxa"/>
            <w:shd w:val="clear" w:color="auto" w:fill="C4BC96" w:themeFill="background2" w:themeFillShade="BF"/>
          </w:tcPr>
          <w:p w14:paraId="2BD91911" w14:textId="77777777" w:rsidR="00F56275" w:rsidRPr="00626FCE" w:rsidRDefault="00F56275" w:rsidP="00626FCE">
            <w:pPr>
              <w:spacing w:before="120" w:after="120"/>
              <w:rPr>
                <w:sz w:val="16"/>
                <w:szCs w:val="16"/>
              </w:rPr>
            </w:pPr>
          </w:p>
        </w:tc>
        <w:tc>
          <w:tcPr>
            <w:tcW w:w="733" w:type="dxa"/>
            <w:shd w:val="clear" w:color="auto" w:fill="C4BC96" w:themeFill="background2" w:themeFillShade="BF"/>
          </w:tcPr>
          <w:p w14:paraId="42A3704D" w14:textId="77777777" w:rsidR="00F56275" w:rsidRPr="00626FCE" w:rsidRDefault="00F56275" w:rsidP="00626FCE">
            <w:pPr>
              <w:spacing w:before="120" w:after="120"/>
              <w:rPr>
                <w:sz w:val="16"/>
                <w:szCs w:val="16"/>
              </w:rPr>
            </w:pPr>
          </w:p>
        </w:tc>
        <w:tc>
          <w:tcPr>
            <w:tcW w:w="543" w:type="dxa"/>
            <w:shd w:val="clear" w:color="auto" w:fill="C4BC96" w:themeFill="background2" w:themeFillShade="BF"/>
          </w:tcPr>
          <w:p w14:paraId="13180C9F" w14:textId="77777777" w:rsidR="00F56275" w:rsidRPr="00626FCE" w:rsidRDefault="00F56275" w:rsidP="00626FCE">
            <w:pPr>
              <w:spacing w:before="120" w:after="120"/>
              <w:rPr>
                <w:sz w:val="16"/>
                <w:szCs w:val="16"/>
              </w:rPr>
            </w:pPr>
          </w:p>
        </w:tc>
        <w:tc>
          <w:tcPr>
            <w:tcW w:w="567" w:type="dxa"/>
            <w:shd w:val="clear" w:color="auto" w:fill="C4BC96" w:themeFill="background2" w:themeFillShade="BF"/>
          </w:tcPr>
          <w:p w14:paraId="1CA8F0A7" w14:textId="77777777" w:rsidR="00F56275" w:rsidRPr="00626FCE" w:rsidRDefault="00F56275" w:rsidP="00626FCE">
            <w:pPr>
              <w:spacing w:before="120" w:after="120"/>
              <w:rPr>
                <w:sz w:val="16"/>
                <w:szCs w:val="16"/>
              </w:rPr>
            </w:pPr>
          </w:p>
        </w:tc>
        <w:tc>
          <w:tcPr>
            <w:tcW w:w="567" w:type="dxa"/>
          </w:tcPr>
          <w:p w14:paraId="1824F5AF" w14:textId="77777777" w:rsidR="00F56275" w:rsidRPr="00626FCE" w:rsidRDefault="00F56275" w:rsidP="00626FCE">
            <w:pPr>
              <w:spacing w:before="120" w:after="120"/>
              <w:rPr>
                <w:sz w:val="16"/>
                <w:szCs w:val="16"/>
              </w:rPr>
            </w:pPr>
          </w:p>
        </w:tc>
        <w:tc>
          <w:tcPr>
            <w:tcW w:w="680" w:type="dxa"/>
          </w:tcPr>
          <w:p w14:paraId="5CF20B32" w14:textId="77777777" w:rsidR="00F56275" w:rsidRPr="00626FCE" w:rsidRDefault="00F56275" w:rsidP="00626FCE">
            <w:pPr>
              <w:spacing w:before="120" w:after="120"/>
              <w:rPr>
                <w:sz w:val="16"/>
                <w:szCs w:val="16"/>
              </w:rPr>
            </w:pPr>
          </w:p>
        </w:tc>
        <w:tc>
          <w:tcPr>
            <w:tcW w:w="692" w:type="dxa"/>
          </w:tcPr>
          <w:p w14:paraId="4CA46816" w14:textId="77777777" w:rsidR="00F56275" w:rsidRPr="00626FCE" w:rsidRDefault="00F56275" w:rsidP="00626FCE">
            <w:pPr>
              <w:spacing w:before="120" w:after="120"/>
              <w:rPr>
                <w:sz w:val="16"/>
                <w:szCs w:val="16"/>
              </w:rPr>
            </w:pPr>
          </w:p>
        </w:tc>
        <w:tc>
          <w:tcPr>
            <w:tcW w:w="754" w:type="dxa"/>
            <w:shd w:val="clear" w:color="auto" w:fill="FFFFFF" w:themeFill="background1"/>
          </w:tcPr>
          <w:p w14:paraId="5A39F58C" w14:textId="77777777" w:rsidR="00F56275" w:rsidRPr="00626FCE" w:rsidRDefault="00F56275" w:rsidP="00626FCE">
            <w:pPr>
              <w:spacing w:before="120" w:after="120"/>
              <w:rPr>
                <w:sz w:val="16"/>
                <w:szCs w:val="16"/>
              </w:rPr>
            </w:pPr>
          </w:p>
        </w:tc>
        <w:tc>
          <w:tcPr>
            <w:tcW w:w="709" w:type="dxa"/>
            <w:shd w:val="clear" w:color="auto" w:fill="FFFFFF" w:themeFill="background1"/>
          </w:tcPr>
          <w:p w14:paraId="7C8DE8BA" w14:textId="77777777" w:rsidR="00F56275" w:rsidRPr="00626FCE" w:rsidRDefault="00F56275" w:rsidP="00626FCE">
            <w:pPr>
              <w:spacing w:before="120" w:after="120"/>
              <w:rPr>
                <w:sz w:val="16"/>
                <w:szCs w:val="16"/>
              </w:rPr>
            </w:pPr>
          </w:p>
        </w:tc>
        <w:tc>
          <w:tcPr>
            <w:tcW w:w="567" w:type="dxa"/>
            <w:shd w:val="clear" w:color="auto" w:fill="FFFFFF" w:themeFill="background1"/>
          </w:tcPr>
          <w:p w14:paraId="6B2624D9" w14:textId="77777777" w:rsidR="00F56275" w:rsidRPr="00626FCE" w:rsidRDefault="00F56275" w:rsidP="00626FCE">
            <w:pPr>
              <w:spacing w:before="120" w:after="120"/>
              <w:rPr>
                <w:sz w:val="16"/>
                <w:szCs w:val="16"/>
              </w:rPr>
            </w:pPr>
          </w:p>
        </w:tc>
        <w:tc>
          <w:tcPr>
            <w:tcW w:w="708" w:type="dxa"/>
            <w:shd w:val="clear" w:color="auto" w:fill="FFFFFF" w:themeFill="background1"/>
          </w:tcPr>
          <w:p w14:paraId="31608DA5" w14:textId="77777777" w:rsidR="00F56275" w:rsidRPr="00626FCE" w:rsidRDefault="00F56275" w:rsidP="00626FCE">
            <w:pPr>
              <w:spacing w:before="120" w:after="120"/>
              <w:rPr>
                <w:sz w:val="16"/>
                <w:szCs w:val="16"/>
              </w:rPr>
            </w:pPr>
          </w:p>
        </w:tc>
        <w:tc>
          <w:tcPr>
            <w:tcW w:w="709" w:type="dxa"/>
            <w:shd w:val="clear" w:color="auto" w:fill="FFFFFF" w:themeFill="background1"/>
          </w:tcPr>
          <w:p w14:paraId="6026D3AC" w14:textId="77777777" w:rsidR="00F56275" w:rsidRPr="00626FCE" w:rsidRDefault="00F56275" w:rsidP="00626FCE">
            <w:pPr>
              <w:spacing w:before="120" w:after="120"/>
              <w:rPr>
                <w:sz w:val="16"/>
                <w:szCs w:val="16"/>
              </w:rPr>
            </w:pPr>
          </w:p>
        </w:tc>
        <w:tc>
          <w:tcPr>
            <w:tcW w:w="709" w:type="dxa"/>
            <w:shd w:val="clear" w:color="auto" w:fill="FFFFFF" w:themeFill="background1"/>
          </w:tcPr>
          <w:p w14:paraId="4C935A6E" w14:textId="77777777" w:rsidR="00F56275" w:rsidRPr="00626FCE" w:rsidRDefault="00F56275" w:rsidP="00626FCE">
            <w:pPr>
              <w:spacing w:before="120" w:after="120"/>
              <w:rPr>
                <w:sz w:val="16"/>
                <w:szCs w:val="16"/>
              </w:rPr>
            </w:pPr>
          </w:p>
        </w:tc>
        <w:tc>
          <w:tcPr>
            <w:tcW w:w="709" w:type="dxa"/>
            <w:shd w:val="clear" w:color="auto" w:fill="FFFFFF" w:themeFill="background1"/>
          </w:tcPr>
          <w:p w14:paraId="4C010BD8" w14:textId="77777777" w:rsidR="00F56275" w:rsidRPr="00626FCE" w:rsidRDefault="00F56275" w:rsidP="00626FCE">
            <w:pPr>
              <w:spacing w:before="120" w:after="120"/>
              <w:rPr>
                <w:sz w:val="16"/>
                <w:szCs w:val="16"/>
              </w:rPr>
            </w:pPr>
          </w:p>
        </w:tc>
      </w:tr>
      <w:tr w:rsidR="00F56275" w:rsidRPr="00626FCE" w14:paraId="212F349A" w14:textId="77777777" w:rsidTr="0099595B">
        <w:trPr>
          <w:trHeight w:val="348"/>
        </w:trPr>
        <w:tc>
          <w:tcPr>
            <w:tcW w:w="1864" w:type="dxa"/>
            <w:shd w:val="clear" w:color="auto" w:fill="D9D9D9" w:themeFill="background1" w:themeFillShade="D9"/>
          </w:tcPr>
          <w:p w14:paraId="5B335BED" w14:textId="77777777" w:rsidR="00F56275" w:rsidRPr="00626FCE" w:rsidRDefault="00F56275" w:rsidP="00626FCE">
            <w:pPr>
              <w:spacing w:before="120" w:after="120"/>
              <w:rPr>
                <w:b/>
                <w:sz w:val="18"/>
                <w:szCs w:val="16"/>
              </w:rPr>
            </w:pPr>
          </w:p>
        </w:tc>
        <w:tc>
          <w:tcPr>
            <w:tcW w:w="706" w:type="dxa"/>
            <w:shd w:val="clear" w:color="auto" w:fill="FFFFFF" w:themeFill="background1"/>
            <w:noWrap/>
          </w:tcPr>
          <w:p w14:paraId="5C5A758D" w14:textId="77777777" w:rsidR="00F56275" w:rsidRPr="00626FCE" w:rsidRDefault="00F56275" w:rsidP="00626FCE">
            <w:pPr>
              <w:spacing w:before="120" w:after="120"/>
              <w:rPr>
                <w:sz w:val="16"/>
                <w:szCs w:val="16"/>
              </w:rPr>
            </w:pPr>
          </w:p>
        </w:tc>
        <w:tc>
          <w:tcPr>
            <w:tcW w:w="709" w:type="dxa"/>
            <w:gridSpan w:val="2"/>
            <w:shd w:val="clear" w:color="auto" w:fill="FFFFFF" w:themeFill="background1"/>
          </w:tcPr>
          <w:p w14:paraId="155C95FD" w14:textId="77777777" w:rsidR="00F56275" w:rsidRPr="00626FCE" w:rsidRDefault="00F56275" w:rsidP="00626FCE">
            <w:pPr>
              <w:spacing w:before="120" w:after="120"/>
              <w:rPr>
                <w:sz w:val="16"/>
                <w:szCs w:val="16"/>
              </w:rPr>
            </w:pPr>
          </w:p>
        </w:tc>
        <w:tc>
          <w:tcPr>
            <w:tcW w:w="709" w:type="dxa"/>
            <w:shd w:val="clear" w:color="auto" w:fill="FFFFFF" w:themeFill="background1"/>
          </w:tcPr>
          <w:p w14:paraId="1BF2D6BD" w14:textId="77777777" w:rsidR="00F56275" w:rsidRPr="00626FCE" w:rsidRDefault="00F56275" w:rsidP="00626FCE">
            <w:pPr>
              <w:spacing w:before="120" w:after="120"/>
              <w:rPr>
                <w:sz w:val="16"/>
                <w:szCs w:val="16"/>
              </w:rPr>
            </w:pPr>
          </w:p>
        </w:tc>
        <w:tc>
          <w:tcPr>
            <w:tcW w:w="733" w:type="dxa"/>
            <w:shd w:val="clear" w:color="auto" w:fill="FFFFFF" w:themeFill="background1"/>
          </w:tcPr>
          <w:p w14:paraId="4E24E39B" w14:textId="77777777" w:rsidR="00F56275" w:rsidRPr="00626FCE" w:rsidRDefault="00F56275" w:rsidP="00626FCE">
            <w:pPr>
              <w:spacing w:before="120" w:after="120"/>
              <w:rPr>
                <w:sz w:val="16"/>
                <w:szCs w:val="16"/>
              </w:rPr>
            </w:pPr>
          </w:p>
        </w:tc>
        <w:tc>
          <w:tcPr>
            <w:tcW w:w="543" w:type="dxa"/>
            <w:shd w:val="clear" w:color="auto" w:fill="FFFFFF" w:themeFill="background1"/>
          </w:tcPr>
          <w:p w14:paraId="783C8E11" w14:textId="77777777" w:rsidR="00F56275" w:rsidRPr="00626FCE" w:rsidRDefault="00F56275" w:rsidP="00626FCE">
            <w:pPr>
              <w:spacing w:before="120" w:after="120"/>
              <w:rPr>
                <w:sz w:val="16"/>
                <w:szCs w:val="16"/>
              </w:rPr>
            </w:pPr>
          </w:p>
        </w:tc>
        <w:tc>
          <w:tcPr>
            <w:tcW w:w="567" w:type="dxa"/>
            <w:shd w:val="clear" w:color="auto" w:fill="FFFFFF" w:themeFill="background1"/>
          </w:tcPr>
          <w:p w14:paraId="46231D6F" w14:textId="77777777" w:rsidR="00F56275" w:rsidRPr="00626FCE" w:rsidRDefault="00F56275" w:rsidP="00626FCE">
            <w:pPr>
              <w:spacing w:before="120" w:after="120"/>
              <w:rPr>
                <w:sz w:val="16"/>
                <w:szCs w:val="16"/>
              </w:rPr>
            </w:pPr>
          </w:p>
        </w:tc>
        <w:tc>
          <w:tcPr>
            <w:tcW w:w="567" w:type="dxa"/>
          </w:tcPr>
          <w:p w14:paraId="4C2CFD85" w14:textId="77777777" w:rsidR="00F56275" w:rsidRPr="00626FCE" w:rsidRDefault="00F56275" w:rsidP="00626FCE">
            <w:pPr>
              <w:spacing w:before="120" w:after="120"/>
              <w:rPr>
                <w:sz w:val="16"/>
                <w:szCs w:val="16"/>
              </w:rPr>
            </w:pPr>
          </w:p>
        </w:tc>
        <w:tc>
          <w:tcPr>
            <w:tcW w:w="680" w:type="dxa"/>
          </w:tcPr>
          <w:p w14:paraId="7506BB1E" w14:textId="77777777" w:rsidR="00F56275" w:rsidRPr="00626FCE" w:rsidRDefault="00F56275" w:rsidP="00626FCE">
            <w:pPr>
              <w:spacing w:before="120" w:after="120"/>
              <w:rPr>
                <w:sz w:val="16"/>
                <w:szCs w:val="16"/>
              </w:rPr>
            </w:pPr>
          </w:p>
        </w:tc>
        <w:tc>
          <w:tcPr>
            <w:tcW w:w="692" w:type="dxa"/>
          </w:tcPr>
          <w:p w14:paraId="1E456C01" w14:textId="77777777" w:rsidR="00F56275" w:rsidRPr="00626FCE" w:rsidRDefault="00F56275" w:rsidP="00626FCE">
            <w:pPr>
              <w:spacing w:before="120" w:after="120"/>
              <w:rPr>
                <w:sz w:val="16"/>
                <w:szCs w:val="16"/>
              </w:rPr>
            </w:pPr>
          </w:p>
        </w:tc>
        <w:tc>
          <w:tcPr>
            <w:tcW w:w="754" w:type="dxa"/>
            <w:shd w:val="clear" w:color="auto" w:fill="FFFFFF" w:themeFill="background1"/>
          </w:tcPr>
          <w:p w14:paraId="684D30D0" w14:textId="77777777" w:rsidR="00F56275" w:rsidRPr="00626FCE" w:rsidRDefault="00F56275" w:rsidP="00626FCE">
            <w:pPr>
              <w:spacing w:before="120" w:after="120"/>
              <w:rPr>
                <w:sz w:val="16"/>
                <w:szCs w:val="16"/>
              </w:rPr>
            </w:pPr>
          </w:p>
        </w:tc>
        <w:tc>
          <w:tcPr>
            <w:tcW w:w="709" w:type="dxa"/>
            <w:shd w:val="clear" w:color="auto" w:fill="FFFFFF" w:themeFill="background1"/>
          </w:tcPr>
          <w:p w14:paraId="74567C38" w14:textId="77777777" w:rsidR="00F56275" w:rsidRPr="00626FCE" w:rsidRDefault="00F56275" w:rsidP="00626FCE">
            <w:pPr>
              <w:spacing w:before="120" w:after="120"/>
              <w:rPr>
                <w:sz w:val="16"/>
                <w:szCs w:val="16"/>
              </w:rPr>
            </w:pPr>
          </w:p>
        </w:tc>
        <w:tc>
          <w:tcPr>
            <w:tcW w:w="567" w:type="dxa"/>
            <w:shd w:val="clear" w:color="auto" w:fill="FFFFFF" w:themeFill="background1"/>
          </w:tcPr>
          <w:p w14:paraId="34E85652" w14:textId="77777777" w:rsidR="00F56275" w:rsidRPr="00626FCE" w:rsidRDefault="00F56275" w:rsidP="00626FCE">
            <w:pPr>
              <w:spacing w:before="120" w:after="120"/>
              <w:rPr>
                <w:sz w:val="16"/>
                <w:szCs w:val="16"/>
              </w:rPr>
            </w:pPr>
          </w:p>
        </w:tc>
        <w:tc>
          <w:tcPr>
            <w:tcW w:w="708" w:type="dxa"/>
            <w:shd w:val="clear" w:color="auto" w:fill="FFFFFF" w:themeFill="background1"/>
          </w:tcPr>
          <w:p w14:paraId="504469DF" w14:textId="77777777" w:rsidR="00F56275" w:rsidRPr="00626FCE" w:rsidRDefault="00F56275" w:rsidP="00626FCE">
            <w:pPr>
              <w:spacing w:before="120" w:after="120"/>
              <w:rPr>
                <w:sz w:val="16"/>
                <w:szCs w:val="16"/>
              </w:rPr>
            </w:pPr>
          </w:p>
        </w:tc>
        <w:tc>
          <w:tcPr>
            <w:tcW w:w="709" w:type="dxa"/>
            <w:shd w:val="clear" w:color="auto" w:fill="FFFFFF" w:themeFill="background1"/>
          </w:tcPr>
          <w:p w14:paraId="6B9E60EF" w14:textId="77777777" w:rsidR="00F56275" w:rsidRPr="00626FCE" w:rsidRDefault="00F56275" w:rsidP="00626FCE">
            <w:pPr>
              <w:spacing w:before="120" w:after="120"/>
              <w:rPr>
                <w:sz w:val="16"/>
                <w:szCs w:val="16"/>
              </w:rPr>
            </w:pPr>
          </w:p>
        </w:tc>
        <w:tc>
          <w:tcPr>
            <w:tcW w:w="709" w:type="dxa"/>
            <w:shd w:val="clear" w:color="auto" w:fill="FFFFFF" w:themeFill="background1"/>
          </w:tcPr>
          <w:p w14:paraId="35F99142" w14:textId="77777777" w:rsidR="00F56275" w:rsidRPr="00626FCE" w:rsidRDefault="00F56275" w:rsidP="00626FCE">
            <w:pPr>
              <w:spacing w:before="120" w:after="120"/>
              <w:rPr>
                <w:sz w:val="16"/>
                <w:szCs w:val="16"/>
              </w:rPr>
            </w:pPr>
          </w:p>
        </w:tc>
        <w:tc>
          <w:tcPr>
            <w:tcW w:w="709" w:type="dxa"/>
            <w:shd w:val="clear" w:color="auto" w:fill="FFFFFF" w:themeFill="background1"/>
          </w:tcPr>
          <w:p w14:paraId="42466220" w14:textId="77777777" w:rsidR="00F56275" w:rsidRPr="00626FCE" w:rsidRDefault="00F56275" w:rsidP="00626FCE">
            <w:pPr>
              <w:spacing w:before="120" w:after="120"/>
              <w:rPr>
                <w:sz w:val="16"/>
                <w:szCs w:val="16"/>
              </w:rPr>
            </w:pPr>
          </w:p>
        </w:tc>
      </w:tr>
      <w:tr w:rsidR="00F56275" w:rsidRPr="00626FCE" w14:paraId="7AF413A8" w14:textId="77777777" w:rsidTr="0099595B">
        <w:trPr>
          <w:trHeight w:val="348"/>
        </w:trPr>
        <w:tc>
          <w:tcPr>
            <w:tcW w:w="1864" w:type="dxa"/>
            <w:shd w:val="clear" w:color="auto" w:fill="D9D9D9" w:themeFill="background1" w:themeFillShade="D9"/>
          </w:tcPr>
          <w:p w14:paraId="195DA4BB" w14:textId="38C8734E" w:rsidR="00F56275" w:rsidRPr="00626FCE" w:rsidRDefault="0099595B" w:rsidP="00626FCE">
            <w:pPr>
              <w:spacing w:before="120" w:after="120"/>
              <w:rPr>
                <w:b/>
                <w:sz w:val="18"/>
                <w:szCs w:val="16"/>
              </w:rPr>
            </w:pPr>
            <w:r w:rsidRPr="0099595B">
              <w:rPr>
                <w:b/>
                <w:sz w:val="18"/>
                <w:szCs w:val="16"/>
              </w:rPr>
              <w:t>T 3.5 - Development of the RenoInGR platform</w:t>
            </w:r>
          </w:p>
        </w:tc>
        <w:tc>
          <w:tcPr>
            <w:tcW w:w="706" w:type="dxa"/>
            <w:shd w:val="clear" w:color="auto" w:fill="FFFFFF" w:themeFill="background1"/>
            <w:noWrap/>
          </w:tcPr>
          <w:p w14:paraId="3885470B" w14:textId="77777777" w:rsidR="00F56275" w:rsidRPr="00626FCE" w:rsidRDefault="00F56275" w:rsidP="00626FCE">
            <w:pPr>
              <w:spacing w:before="120" w:after="120"/>
              <w:rPr>
                <w:sz w:val="16"/>
                <w:szCs w:val="16"/>
              </w:rPr>
            </w:pPr>
          </w:p>
        </w:tc>
        <w:tc>
          <w:tcPr>
            <w:tcW w:w="709" w:type="dxa"/>
            <w:gridSpan w:val="2"/>
            <w:shd w:val="clear" w:color="auto" w:fill="FFFFFF" w:themeFill="background1"/>
          </w:tcPr>
          <w:p w14:paraId="6C0331CF" w14:textId="77777777" w:rsidR="00F56275" w:rsidRPr="00626FCE" w:rsidRDefault="00F56275" w:rsidP="00626FCE">
            <w:pPr>
              <w:spacing w:before="120" w:after="120"/>
              <w:rPr>
                <w:sz w:val="16"/>
                <w:szCs w:val="16"/>
              </w:rPr>
            </w:pPr>
          </w:p>
        </w:tc>
        <w:tc>
          <w:tcPr>
            <w:tcW w:w="709" w:type="dxa"/>
            <w:shd w:val="clear" w:color="auto" w:fill="FFFFFF" w:themeFill="background1"/>
          </w:tcPr>
          <w:p w14:paraId="519AB09C" w14:textId="77777777" w:rsidR="00F56275" w:rsidRPr="00626FCE" w:rsidRDefault="00F56275" w:rsidP="00626FCE">
            <w:pPr>
              <w:spacing w:before="120" w:after="120"/>
              <w:rPr>
                <w:sz w:val="16"/>
                <w:szCs w:val="16"/>
              </w:rPr>
            </w:pPr>
          </w:p>
        </w:tc>
        <w:tc>
          <w:tcPr>
            <w:tcW w:w="733" w:type="dxa"/>
            <w:shd w:val="clear" w:color="auto" w:fill="C4BC96" w:themeFill="background2" w:themeFillShade="BF"/>
          </w:tcPr>
          <w:p w14:paraId="3676256B" w14:textId="77777777" w:rsidR="00F56275" w:rsidRPr="00626FCE" w:rsidRDefault="00F56275" w:rsidP="00626FCE">
            <w:pPr>
              <w:spacing w:before="120" w:after="120"/>
              <w:rPr>
                <w:sz w:val="16"/>
                <w:szCs w:val="16"/>
              </w:rPr>
            </w:pPr>
          </w:p>
        </w:tc>
        <w:tc>
          <w:tcPr>
            <w:tcW w:w="543" w:type="dxa"/>
            <w:shd w:val="clear" w:color="auto" w:fill="C4BC96" w:themeFill="background2" w:themeFillShade="BF"/>
          </w:tcPr>
          <w:p w14:paraId="6D863E0E" w14:textId="77777777" w:rsidR="00F56275" w:rsidRPr="00626FCE" w:rsidRDefault="00F56275" w:rsidP="00626FCE">
            <w:pPr>
              <w:spacing w:before="120" w:after="120"/>
              <w:rPr>
                <w:sz w:val="16"/>
                <w:szCs w:val="16"/>
              </w:rPr>
            </w:pPr>
          </w:p>
        </w:tc>
        <w:tc>
          <w:tcPr>
            <w:tcW w:w="567" w:type="dxa"/>
            <w:shd w:val="clear" w:color="auto" w:fill="C4BC96" w:themeFill="background2" w:themeFillShade="BF"/>
          </w:tcPr>
          <w:p w14:paraId="5207842A" w14:textId="77777777" w:rsidR="00F56275" w:rsidRPr="00626FCE" w:rsidRDefault="00F56275" w:rsidP="00626FCE">
            <w:pPr>
              <w:spacing w:before="120" w:after="120"/>
              <w:rPr>
                <w:sz w:val="16"/>
                <w:szCs w:val="16"/>
              </w:rPr>
            </w:pPr>
          </w:p>
        </w:tc>
        <w:tc>
          <w:tcPr>
            <w:tcW w:w="567" w:type="dxa"/>
          </w:tcPr>
          <w:p w14:paraId="05661A73" w14:textId="77777777" w:rsidR="00F56275" w:rsidRPr="00626FCE" w:rsidRDefault="00F56275" w:rsidP="00626FCE">
            <w:pPr>
              <w:spacing w:before="120" w:after="120"/>
              <w:rPr>
                <w:sz w:val="16"/>
                <w:szCs w:val="16"/>
              </w:rPr>
            </w:pPr>
          </w:p>
        </w:tc>
        <w:tc>
          <w:tcPr>
            <w:tcW w:w="680" w:type="dxa"/>
          </w:tcPr>
          <w:p w14:paraId="3911636D" w14:textId="77777777" w:rsidR="00F56275" w:rsidRPr="00626FCE" w:rsidRDefault="00F56275" w:rsidP="00626FCE">
            <w:pPr>
              <w:spacing w:before="120" w:after="120"/>
              <w:rPr>
                <w:sz w:val="16"/>
                <w:szCs w:val="16"/>
              </w:rPr>
            </w:pPr>
          </w:p>
        </w:tc>
        <w:tc>
          <w:tcPr>
            <w:tcW w:w="692" w:type="dxa"/>
          </w:tcPr>
          <w:p w14:paraId="6B202888" w14:textId="77777777" w:rsidR="00F56275" w:rsidRPr="00626FCE" w:rsidRDefault="00F56275" w:rsidP="00626FCE">
            <w:pPr>
              <w:spacing w:before="120" w:after="120"/>
              <w:rPr>
                <w:sz w:val="16"/>
                <w:szCs w:val="16"/>
              </w:rPr>
            </w:pPr>
          </w:p>
        </w:tc>
        <w:tc>
          <w:tcPr>
            <w:tcW w:w="754" w:type="dxa"/>
            <w:shd w:val="clear" w:color="auto" w:fill="FFFFFF" w:themeFill="background1"/>
          </w:tcPr>
          <w:p w14:paraId="4BBFE4BD" w14:textId="77777777" w:rsidR="00F56275" w:rsidRPr="00626FCE" w:rsidRDefault="00F56275" w:rsidP="00626FCE">
            <w:pPr>
              <w:spacing w:before="120" w:after="120"/>
              <w:rPr>
                <w:sz w:val="16"/>
                <w:szCs w:val="16"/>
              </w:rPr>
            </w:pPr>
          </w:p>
        </w:tc>
        <w:tc>
          <w:tcPr>
            <w:tcW w:w="709" w:type="dxa"/>
            <w:shd w:val="clear" w:color="auto" w:fill="FFFFFF" w:themeFill="background1"/>
          </w:tcPr>
          <w:p w14:paraId="1BB6FFE7" w14:textId="77777777" w:rsidR="00F56275" w:rsidRPr="00626FCE" w:rsidRDefault="00F56275" w:rsidP="00626FCE">
            <w:pPr>
              <w:spacing w:before="120" w:after="120"/>
              <w:rPr>
                <w:sz w:val="16"/>
                <w:szCs w:val="16"/>
              </w:rPr>
            </w:pPr>
          </w:p>
        </w:tc>
        <w:tc>
          <w:tcPr>
            <w:tcW w:w="567" w:type="dxa"/>
            <w:shd w:val="clear" w:color="auto" w:fill="FFFFFF" w:themeFill="background1"/>
          </w:tcPr>
          <w:p w14:paraId="56840135" w14:textId="77777777" w:rsidR="00F56275" w:rsidRPr="00626FCE" w:rsidRDefault="00F56275" w:rsidP="00626FCE">
            <w:pPr>
              <w:spacing w:before="120" w:after="120"/>
              <w:rPr>
                <w:sz w:val="16"/>
                <w:szCs w:val="16"/>
              </w:rPr>
            </w:pPr>
          </w:p>
        </w:tc>
        <w:tc>
          <w:tcPr>
            <w:tcW w:w="708" w:type="dxa"/>
            <w:shd w:val="clear" w:color="auto" w:fill="FFFFFF" w:themeFill="background1"/>
          </w:tcPr>
          <w:p w14:paraId="212F2240" w14:textId="77777777" w:rsidR="00F56275" w:rsidRPr="00626FCE" w:rsidRDefault="00F56275" w:rsidP="00626FCE">
            <w:pPr>
              <w:spacing w:before="120" w:after="120"/>
              <w:rPr>
                <w:sz w:val="16"/>
                <w:szCs w:val="16"/>
              </w:rPr>
            </w:pPr>
          </w:p>
        </w:tc>
        <w:tc>
          <w:tcPr>
            <w:tcW w:w="709" w:type="dxa"/>
            <w:shd w:val="clear" w:color="auto" w:fill="FFFFFF" w:themeFill="background1"/>
          </w:tcPr>
          <w:p w14:paraId="2841BC7B" w14:textId="77777777" w:rsidR="00F56275" w:rsidRPr="00626FCE" w:rsidRDefault="00F56275" w:rsidP="00626FCE">
            <w:pPr>
              <w:spacing w:before="120" w:after="120"/>
              <w:rPr>
                <w:sz w:val="16"/>
                <w:szCs w:val="16"/>
              </w:rPr>
            </w:pPr>
          </w:p>
        </w:tc>
        <w:tc>
          <w:tcPr>
            <w:tcW w:w="709" w:type="dxa"/>
            <w:shd w:val="clear" w:color="auto" w:fill="FFFFFF" w:themeFill="background1"/>
          </w:tcPr>
          <w:p w14:paraId="7CE87C3E" w14:textId="77777777" w:rsidR="00F56275" w:rsidRPr="00626FCE" w:rsidRDefault="00F56275" w:rsidP="00626FCE">
            <w:pPr>
              <w:spacing w:before="120" w:after="120"/>
              <w:rPr>
                <w:sz w:val="16"/>
                <w:szCs w:val="16"/>
              </w:rPr>
            </w:pPr>
          </w:p>
        </w:tc>
        <w:tc>
          <w:tcPr>
            <w:tcW w:w="709" w:type="dxa"/>
            <w:shd w:val="clear" w:color="auto" w:fill="FFFFFF" w:themeFill="background1"/>
          </w:tcPr>
          <w:p w14:paraId="7DF35440" w14:textId="77777777" w:rsidR="00F56275" w:rsidRPr="00626FCE" w:rsidRDefault="00F56275" w:rsidP="00626FCE">
            <w:pPr>
              <w:spacing w:before="120" w:after="120"/>
              <w:rPr>
                <w:sz w:val="16"/>
                <w:szCs w:val="16"/>
              </w:rPr>
            </w:pPr>
          </w:p>
        </w:tc>
      </w:tr>
      <w:tr w:rsidR="00F56275" w:rsidRPr="00626FCE" w14:paraId="454C46A3" w14:textId="77777777" w:rsidTr="0099595B">
        <w:trPr>
          <w:trHeight w:val="348"/>
        </w:trPr>
        <w:tc>
          <w:tcPr>
            <w:tcW w:w="1864" w:type="dxa"/>
            <w:shd w:val="clear" w:color="auto" w:fill="D9D9D9" w:themeFill="background1" w:themeFillShade="D9"/>
          </w:tcPr>
          <w:p w14:paraId="00A31057" w14:textId="77777777" w:rsidR="00F56275" w:rsidRPr="00626FCE" w:rsidRDefault="00F56275" w:rsidP="00626FCE">
            <w:pPr>
              <w:spacing w:before="120" w:after="120"/>
              <w:rPr>
                <w:b/>
                <w:sz w:val="18"/>
                <w:szCs w:val="16"/>
              </w:rPr>
            </w:pPr>
          </w:p>
        </w:tc>
        <w:tc>
          <w:tcPr>
            <w:tcW w:w="706" w:type="dxa"/>
            <w:shd w:val="clear" w:color="auto" w:fill="FFFFFF" w:themeFill="background1"/>
            <w:noWrap/>
          </w:tcPr>
          <w:p w14:paraId="0AB69A46" w14:textId="77777777" w:rsidR="00F56275" w:rsidRPr="00626FCE" w:rsidRDefault="00F56275" w:rsidP="00626FCE">
            <w:pPr>
              <w:spacing w:before="120" w:after="120"/>
              <w:rPr>
                <w:sz w:val="16"/>
                <w:szCs w:val="16"/>
              </w:rPr>
            </w:pPr>
          </w:p>
        </w:tc>
        <w:tc>
          <w:tcPr>
            <w:tcW w:w="709" w:type="dxa"/>
            <w:gridSpan w:val="2"/>
            <w:shd w:val="clear" w:color="auto" w:fill="FFFFFF" w:themeFill="background1"/>
          </w:tcPr>
          <w:p w14:paraId="1A49198B" w14:textId="77777777" w:rsidR="00F56275" w:rsidRPr="00626FCE" w:rsidRDefault="00F56275" w:rsidP="00626FCE">
            <w:pPr>
              <w:spacing w:before="120" w:after="120"/>
              <w:rPr>
                <w:sz w:val="16"/>
                <w:szCs w:val="16"/>
              </w:rPr>
            </w:pPr>
          </w:p>
        </w:tc>
        <w:tc>
          <w:tcPr>
            <w:tcW w:w="709" w:type="dxa"/>
            <w:shd w:val="clear" w:color="auto" w:fill="FFFFFF" w:themeFill="background1"/>
          </w:tcPr>
          <w:p w14:paraId="0165ABA0" w14:textId="77777777" w:rsidR="00F56275" w:rsidRPr="00626FCE" w:rsidRDefault="00F56275" w:rsidP="00626FCE">
            <w:pPr>
              <w:spacing w:before="120" w:after="120"/>
              <w:rPr>
                <w:sz w:val="16"/>
                <w:szCs w:val="16"/>
              </w:rPr>
            </w:pPr>
          </w:p>
        </w:tc>
        <w:tc>
          <w:tcPr>
            <w:tcW w:w="733" w:type="dxa"/>
            <w:shd w:val="clear" w:color="auto" w:fill="FFFFFF" w:themeFill="background1"/>
          </w:tcPr>
          <w:p w14:paraId="3475C4D9" w14:textId="77777777" w:rsidR="00F56275" w:rsidRPr="00626FCE" w:rsidRDefault="00F56275" w:rsidP="00626FCE">
            <w:pPr>
              <w:spacing w:before="120" w:after="120"/>
              <w:rPr>
                <w:sz w:val="16"/>
                <w:szCs w:val="16"/>
              </w:rPr>
            </w:pPr>
          </w:p>
        </w:tc>
        <w:tc>
          <w:tcPr>
            <w:tcW w:w="543" w:type="dxa"/>
            <w:shd w:val="clear" w:color="auto" w:fill="FFFFFF" w:themeFill="background1"/>
          </w:tcPr>
          <w:p w14:paraId="250D7F01" w14:textId="77777777" w:rsidR="00F56275" w:rsidRPr="00626FCE" w:rsidRDefault="00F56275" w:rsidP="00626FCE">
            <w:pPr>
              <w:spacing w:before="120" w:after="120"/>
              <w:rPr>
                <w:sz w:val="16"/>
                <w:szCs w:val="16"/>
              </w:rPr>
            </w:pPr>
          </w:p>
        </w:tc>
        <w:tc>
          <w:tcPr>
            <w:tcW w:w="567" w:type="dxa"/>
            <w:shd w:val="clear" w:color="auto" w:fill="FFFFFF" w:themeFill="background1"/>
          </w:tcPr>
          <w:p w14:paraId="11CE1F9C" w14:textId="77777777" w:rsidR="00F56275" w:rsidRPr="00626FCE" w:rsidRDefault="00F56275" w:rsidP="00626FCE">
            <w:pPr>
              <w:spacing w:before="120" w:after="120"/>
              <w:rPr>
                <w:sz w:val="16"/>
                <w:szCs w:val="16"/>
              </w:rPr>
            </w:pPr>
          </w:p>
        </w:tc>
        <w:tc>
          <w:tcPr>
            <w:tcW w:w="567" w:type="dxa"/>
          </w:tcPr>
          <w:p w14:paraId="2B9F59C6" w14:textId="77777777" w:rsidR="00F56275" w:rsidRPr="00626FCE" w:rsidRDefault="00F56275" w:rsidP="00626FCE">
            <w:pPr>
              <w:spacing w:before="120" w:after="120"/>
              <w:rPr>
                <w:sz w:val="16"/>
                <w:szCs w:val="16"/>
              </w:rPr>
            </w:pPr>
          </w:p>
        </w:tc>
        <w:tc>
          <w:tcPr>
            <w:tcW w:w="680" w:type="dxa"/>
          </w:tcPr>
          <w:p w14:paraId="1B43B9F4" w14:textId="77777777" w:rsidR="00F56275" w:rsidRPr="00626FCE" w:rsidRDefault="00F56275" w:rsidP="00626FCE">
            <w:pPr>
              <w:spacing w:before="120" w:after="120"/>
              <w:rPr>
                <w:sz w:val="16"/>
                <w:szCs w:val="16"/>
              </w:rPr>
            </w:pPr>
          </w:p>
        </w:tc>
        <w:tc>
          <w:tcPr>
            <w:tcW w:w="692" w:type="dxa"/>
          </w:tcPr>
          <w:p w14:paraId="104181E3" w14:textId="77777777" w:rsidR="00F56275" w:rsidRPr="00626FCE" w:rsidRDefault="00F56275" w:rsidP="00626FCE">
            <w:pPr>
              <w:spacing w:before="120" w:after="120"/>
              <w:rPr>
                <w:sz w:val="16"/>
                <w:szCs w:val="16"/>
              </w:rPr>
            </w:pPr>
          </w:p>
        </w:tc>
        <w:tc>
          <w:tcPr>
            <w:tcW w:w="754" w:type="dxa"/>
            <w:shd w:val="clear" w:color="auto" w:fill="FFFFFF" w:themeFill="background1"/>
          </w:tcPr>
          <w:p w14:paraId="3C209671" w14:textId="77777777" w:rsidR="00F56275" w:rsidRPr="00626FCE" w:rsidRDefault="00F56275" w:rsidP="00626FCE">
            <w:pPr>
              <w:spacing w:before="120" w:after="120"/>
              <w:rPr>
                <w:sz w:val="16"/>
                <w:szCs w:val="16"/>
              </w:rPr>
            </w:pPr>
          </w:p>
        </w:tc>
        <w:tc>
          <w:tcPr>
            <w:tcW w:w="709" w:type="dxa"/>
            <w:shd w:val="clear" w:color="auto" w:fill="FFFFFF" w:themeFill="background1"/>
          </w:tcPr>
          <w:p w14:paraId="493830A3" w14:textId="77777777" w:rsidR="00F56275" w:rsidRPr="00626FCE" w:rsidRDefault="00F56275" w:rsidP="00626FCE">
            <w:pPr>
              <w:spacing w:before="120" w:after="120"/>
              <w:rPr>
                <w:sz w:val="16"/>
                <w:szCs w:val="16"/>
              </w:rPr>
            </w:pPr>
          </w:p>
        </w:tc>
        <w:tc>
          <w:tcPr>
            <w:tcW w:w="567" w:type="dxa"/>
            <w:shd w:val="clear" w:color="auto" w:fill="FFFFFF" w:themeFill="background1"/>
          </w:tcPr>
          <w:p w14:paraId="0BAEB0EA" w14:textId="77777777" w:rsidR="00F56275" w:rsidRPr="00626FCE" w:rsidRDefault="00F56275" w:rsidP="00626FCE">
            <w:pPr>
              <w:spacing w:before="120" w:after="120"/>
              <w:rPr>
                <w:sz w:val="16"/>
                <w:szCs w:val="16"/>
              </w:rPr>
            </w:pPr>
          </w:p>
        </w:tc>
        <w:tc>
          <w:tcPr>
            <w:tcW w:w="708" w:type="dxa"/>
            <w:shd w:val="clear" w:color="auto" w:fill="FFFFFF" w:themeFill="background1"/>
          </w:tcPr>
          <w:p w14:paraId="47C5B05D" w14:textId="77777777" w:rsidR="00F56275" w:rsidRPr="00626FCE" w:rsidRDefault="00F56275" w:rsidP="00626FCE">
            <w:pPr>
              <w:spacing w:before="120" w:after="120"/>
              <w:rPr>
                <w:sz w:val="16"/>
                <w:szCs w:val="16"/>
              </w:rPr>
            </w:pPr>
          </w:p>
        </w:tc>
        <w:tc>
          <w:tcPr>
            <w:tcW w:w="709" w:type="dxa"/>
            <w:shd w:val="clear" w:color="auto" w:fill="FFFFFF" w:themeFill="background1"/>
          </w:tcPr>
          <w:p w14:paraId="060BB1D6" w14:textId="77777777" w:rsidR="00F56275" w:rsidRPr="00626FCE" w:rsidRDefault="00F56275" w:rsidP="00626FCE">
            <w:pPr>
              <w:spacing w:before="120" w:after="120"/>
              <w:rPr>
                <w:sz w:val="16"/>
                <w:szCs w:val="16"/>
              </w:rPr>
            </w:pPr>
          </w:p>
        </w:tc>
        <w:tc>
          <w:tcPr>
            <w:tcW w:w="709" w:type="dxa"/>
            <w:shd w:val="clear" w:color="auto" w:fill="FFFFFF" w:themeFill="background1"/>
          </w:tcPr>
          <w:p w14:paraId="09B20E40" w14:textId="77777777" w:rsidR="00F56275" w:rsidRPr="00626FCE" w:rsidRDefault="00F56275" w:rsidP="00626FCE">
            <w:pPr>
              <w:spacing w:before="120" w:after="120"/>
              <w:rPr>
                <w:sz w:val="16"/>
                <w:szCs w:val="16"/>
              </w:rPr>
            </w:pPr>
          </w:p>
        </w:tc>
        <w:tc>
          <w:tcPr>
            <w:tcW w:w="709" w:type="dxa"/>
            <w:shd w:val="clear" w:color="auto" w:fill="FFFFFF" w:themeFill="background1"/>
          </w:tcPr>
          <w:p w14:paraId="0ED966E0" w14:textId="77777777" w:rsidR="00F56275" w:rsidRPr="00626FCE" w:rsidRDefault="00F56275" w:rsidP="00626FCE">
            <w:pPr>
              <w:spacing w:before="120" w:after="120"/>
              <w:rPr>
                <w:sz w:val="16"/>
                <w:szCs w:val="16"/>
              </w:rPr>
            </w:pPr>
          </w:p>
        </w:tc>
      </w:tr>
      <w:tr w:rsidR="00F56275" w:rsidRPr="00626FCE" w14:paraId="2490D4CC" w14:textId="77777777" w:rsidTr="0099595B">
        <w:trPr>
          <w:trHeight w:val="348"/>
        </w:trPr>
        <w:tc>
          <w:tcPr>
            <w:tcW w:w="1864" w:type="dxa"/>
            <w:shd w:val="clear" w:color="auto" w:fill="D9D9D9" w:themeFill="background1" w:themeFillShade="D9"/>
          </w:tcPr>
          <w:p w14:paraId="45BF5C98" w14:textId="0352B9B3" w:rsidR="00F56275" w:rsidRPr="00626FCE" w:rsidRDefault="0099595B" w:rsidP="00626FCE">
            <w:pPr>
              <w:spacing w:before="120" w:after="120"/>
              <w:rPr>
                <w:b/>
                <w:sz w:val="18"/>
                <w:szCs w:val="16"/>
              </w:rPr>
            </w:pPr>
            <w:r w:rsidRPr="0099595B">
              <w:rPr>
                <w:b/>
                <w:sz w:val="18"/>
                <w:szCs w:val="16"/>
              </w:rPr>
              <w:t>T 3.6 - Addressing regulatory gaps</w:t>
            </w:r>
          </w:p>
        </w:tc>
        <w:tc>
          <w:tcPr>
            <w:tcW w:w="706" w:type="dxa"/>
            <w:shd w:val="clear" w:color="auto" w:fill="FFFFFF" w:themeFill="background1"/>
            <w:noWrap/>
          </w:tcPr>
          <w:p w14:paraId="59501646" w14:textId="77777777" w:rsidR="00F56275" w:rsidRPr="00626FCE" w:rsidRDefault="00F56275" w:rsidP="00626FCE">
            <w:pPr>
              <w:spacing w:before="120" w:after="120"/>
              <w:rPr>
                <w:sz w:val="16"/>
                <w:szCs w:val="16"/>
              </w:rPr>
            </w:pPr>
          </w:p>
        </w:tc>
        <w:tc>
          <w:tcPr>
            <w:tcW w:w="709" w:type="dxa"/>
            <w:gridSpan w:val="2"/>
            <w:shd w:val="clear" w:color="auto" w:fill="C4BC96" w:themeFill="background2" w:themeFillShade="BF"/>
          </w:tcPr>
          <w:p w14:paraId="70735A36" w14:textId="77777777" w:rsidR="00F56275" w:rsidRPr="00626FCE" w:rsidRDefault="00F56275" w:rsidP="00626FCE">
            <w:pPr>
              <w:spacing w:before="120" w:after="120"/>
              <w:rPr>
                <w:sz w:val="16"/>
                <w:szCs w:val="16"/>
              </w:rPr>
            </w:pPr>
          </w:p>
        </w:tc>
        <w:tc>
          <w:tcPr>
            <w:tcW w:w="709" w:type="dxa"/>
            <w:shd w:val="clear" w:color="auto" w:fill="C4BC96" w:themeFill="background2" w:themeFillShade="BF"/>
          </w:tcPr>
          <w:p w14:paraId="1458C135" w14:textId="77777777" w:rsidR="00F56275" w:rsidRPr="00626FCE" w:rsidRDefault="00F56275" w:rsidP="00626FCE">
            <w:pPr>
              <w:spacing w:before="120" w:after="120"/>
              <w:rPr>
                <w:sz w:val="16"/>
                <w:szCs w:val="16"/>
              </w:rPr>
            </w:pPr>
          </w:p>
        </w:tc>
        <w:tc>
          <w:tcPr>
            <w:tcW w:w="733" w:type="dxa"/>
            <w:shd w:val="clear" w:color="auto" w:fill="C4BC96" w:themeFill="background2" w:themeFillShade="BF"/>
          </w:tcPr>
          <w:p w14:paraId="2BF8BDD6" w14:textId="77777777" w:rsidR="00F56275" w:rsidRPr="00626FCE" w:rsidRDefault="00F56275" w:rsidP="00626FCE">
            <w:pPr>
              <w:spacing w:before="120" w:after="120"/>
              <w:rPr>
                <w:sz w:val="16"/>
                <w:szCs w:val="16"/>
              </w:rPr>
            </w:pPr>
          </w:p>
        </w:tc>
        <w:tc>
          <w:tcPr>
            <w:tcW w:w="543" w:type="dxa"/>
            <w:shd w:val="clear" w:color="auto" w:fill="C4BC96" w:themeFill="background2" w:themeFillShade="BF"/>
          </w:tcPr>
          <w:p w14:paraId="00977B56" w14:textId="77777777" w:rsidR="00F56275" w:rsidRPr="00626FCE" w:rsidRDefault="00F56275" w:rsidP="00626FCE">
            <w:pPr>
              <w:spacing w:before="120" w:after="120"/>
              <w:rPr>
                <w:sz w:val="16"/>
                <w:szCs w:val="16"/>
              </w:rPr>
            </w:pPr>
          </w:p>
        </w:tc>
        <w:tc>
          <w:tcPr>
            <w:tcW w:w="567" w:type="dxa"/>
            <w:shd w:val="clear" w:color="auto" w:fill="C4BC96" w:themeFill="background2" w:themeFillShade="BF"/>
          </w:tcPr>
          <w:p w14:paraId="4E633562" w14:textId="77777777" w:rsidR="00F56275" w:rsidRPr="00626FCE" w:rsidRDefault="00F56275" w:rsidP="00626FCE">
            <w:pPr>
              <w:spacing w:before="120" w:after="120"/>
              <w:rPr>
                <w:sz w:val="16"/>
                <w:szCs w:val="16"/>
              </w:rPr>
            </w:pPr>
          </w:p>
        </w:tc>
        <w:tc>
          <w:tcPr>
            <w:tcW w:w="567" w:type="dxa"/>
          </w:tcPr>
          <w:p w14:paraId="4F03D1B6" w14:textId="77777777" w:rsidR="00F56275" w:rsidRPr="00626FCE" w:rsidRDefault="00F56275" w:rsidP="00626FCE">
            <w:pPr>
              <w:spacing w:before="120" w:after="120"/>
              <w:rPr>
                <w:sz w:val="16"/>
                <w:szCs w:val="16"/>
              </w:rPr>
            </w:pPr>
          </w:p>
        </w:tc>
        <w:tc>
          <w:tcPr>
            <w:tcW w:w="680" w:type="dxa"/>
          </w:tcPr>
          <w:p w14:paraId="609101A4" w14:textId="77777777" w:rsidR="00F56275" w:rsidRPr="00626FCE" w:rsidRDefault="00F56275" w:rsidP="00626FCE">
            <w:pPr>
              <w:spacing w:before="120" w:after="120"/>
              <w:rPr>
                <w:sz w:val="16"/>
                <w:szCs w:val="16"/>
              </w:rPr>
            </w:pPr>
          </w:p>
        </w:tc>
        <w:tc>
          <w:tcPr>
            <w:tcW w:w="692" w:type="dxa"/>
          </w:tcPr>
          <w:p w14:paraId="35F8D834" w14:textId="77777777" w:rsidR="00F56275" w:rsidRPr="00626FCE" w:rsidRDefault="00F56275" w:rsidP="00626FCE">
            <w:pPr>
              <w:spacing w:before="120" w:after="120"/>
              <w:rPr>
                <w:sz w:val="16"/>
                <w:szCs w:val="16"/>
              </w:rPr>
            </w:pPr>
          </w:p>
        </w:tc>
        <w:tc>
          <w:tcPr>
            <w:tcW w:w="754" w:type="dxa"/>
            <w:shd w:val="clear" w:color="auto" w:fill="FFFFFF" w:themeFill="background1"/>
          </w:tcPr>
          <w:p w14:paraId="268B24C0" w14:textId="77777777" w:rsidR="00F56275" w:rsidRPr="00626FCE" w:rsidRDefault="00F56275" w:rsidP="00626FCE">
            <w:pPr>
              <w:spacing w:before="120" w:after="120"/>
              <w:rPr>
                <w:sz w:val="16"/>
                <w:szCs w:val="16"/>
              </w:rPr>
            </w:pPr>
          </w:p>
        </w:tc>
        <w:tc>
          <w:tcPr>
            <w:tcW w:w="709" w:type="dxa"/>
            <w:shd w:val="clear" w:color="auto" w:fill="FFFFFF" w:themeFill="background1"/>
          </w:tcPr>
          <w:p w14:paraId="430D95C5" w14:textId="77777777" w:rsidR="00F56275" w:rsidRPr="00626FCE" w:rsidRDefault="00F56275" w:rsidP="00626FCE">
            <w:pPr>
              <w:spacing w:before="120" w:after="120"/>
              <w:rPr>
                <w:sz w:val="16"/>
                <w:szCs w:val="16"/>
              </w:rPr>
            </w:pPr>
          </w:p>
        </w:tc>
        <w:tc>
          <w:tcPr>
            <w:tcW w:w="567" w:type="dxa"/>
            <w:shd w:val="clear" w:color="auto" w:fill="FFFFFF" w:themeFill="background1"/>
          </w:tcPr>
          <w:p w14:paraId="7B376CFF" w14:textId="77777777" w:rsidR="00F56275" w:rsidRPr="00626FCE" w:rsidRDefault="00F56275" w:rsidP="00626FCE">
            <w:pPr>
              <w:spacing w:before="120" w:after="120"/>
              <w:rPr>
                <w:sz w:val="16"/>
                <w:szCs w:val="16"/>
              </w:rPr>
            </w:pPr>
          </w:p>
        </w:tc>
        <w:tc>
          <w:tcPr>
            <w:tcW w:w="708" w:type="dxa"/>
            <w:shd w:val="clear" w:color="auto" w:fill="FFFFFF" w:themeFill="background1"/>
          </w:tcPr>
          <w:p w14:paraId="185D68F4" w14:textId="77777777" w:rsidR="00F56275" w:rsidRPr="00626FCE" w:rsidRDefault="00F56275" w:rsidP="00626FCE">
            <w:pPr>
              <w:spacing w:before="120" w:after="120"/>
              <w:rPr>
                <w:sz w:val="16"/>
                <w:szCs w:val="16"/>
              </w:rPr>
            </w:pPr>
          </w:p>
        </w:tc>
        <w:tc>
          <w:tcPr>
            <w:tcW w:w="709" w:type="dxa"/>
            <w:shd w:val="clear" w:color="auto" w:fill="FFFFFF" w:themeFill="background1"/>
          </w:tcPr>
          <w:p w14:paraId="529004EC" w14:textId="77777777" w:rsidR="00F56275" w:rsidRPr="00626FCE" w:rsidRDefault="00F56275" w:rsidP="00626FCE">
            <w:pPr>
              <w:spacing w:before="120" w:after="120"/>
              <w:rPr>
                <w:sz w:val="16"/>
                <w:szCs w:val="16"/>
              </w:rPr>
            </w:pPr>
          </w:p>
        </w:tc>
        <w:tc>
          <w:tcPr>
            <w:tcW w:w="709" w:type="dxa"/>
            <w:shd w:val="clear" w:color="auto" w:fill="FFFFFF" w:themeFill="background1"/>
          </w:tcPr>
          <w:p w14:paraId="7A19B8FB" w14:textId="77777777" w:rsidR="00F56275" w:rsidRPr="00626FCE" w:rsidRDefault="00F56275" w:rsidP="00626FCE">
            <w:pPr>
              <w:spacing w:before="120" w:after="120"/>
              <w:rPr>
                <w:sz w:val="16"/>
                <w:szCs w:val="16"/>
              </w:rPr>
            </w:pPr>
          </w:p>
        </w:tc>
        <w:tc>
          <w:tcPr>
            <w:tcW w:w="709" w:type="dxa"/>
            <w:shd w:val="clear" w:color="auto" w:fill="FFFFFF" w:themeFill="background1"/>
          </w:tcPr>
          <w:p w14:paraId="47DA80ED" w14:textId="77777777" w:rsidR="00F56275" w:rsidRPr="00626FCE" w:rsidRDefault="00F56275" w:rsidP="00626FCE">
            <w:pPr>
              <w:spacing w:before="120" w:after="120"/>
              <w:rPr>
                <w:sz w:val="16"/>
                <w:szCs w:val="16"/>
              </w:rPr>
            </w:pPr>
          </w:p>
        </w:tc>
      </w:tr>
      <w:tr w:rsidR="00F56275" w:rsidRPr="00626FCE" w14:paraId="68D2622A" w14:textId="77777777" w:rsidTr="0099595B">
        <w:trPr>
          <w:trHeight w:val="348"/>
        </w:trPr>
        <w:tc>
          <w:tcPr>
            <w:tcW w:w="1864" w:type="dxa"/>
            <w:shd w:val="clear" w:color="auto" w:fill="D9D9D9" w:themeFill="background1" w:themeFillShade="D9"/>
          </w:tcPr>
          <w:p w14:paraId="634061A3" w14:textId="77777777" w:rsidR="00F56275" w:rsidRPr="00626FCE" w:rsidRDefault="00F56275" w:rsidP="00626FCE">
            <w:pPr>
              <w:spacing w:before="120" w:after="120"/>
              <w:rPr>
                <w:b/>
                <w:sz w:val="18"/>
                <w:szCs w:val="16"/>
              </w:rPr>
            </w:pPr>
          </w:p>
        </w:tc>
        <w:tc>
          <w:tcPr>
            <w:tcW w:w="706" w:type="dxa"/>
            <w:shd w:val="clear" w:color="auto" w:fill="FFFFFF" w:themeFill="background1"/>
            <w:noWrap/>
          </w:tcPr>
          <w:p w14:paraId="37EE87A7" w14:textId="77777777" w:rsidR="00F56275" w:rsidRPr="00626FCE" w:rsidRDefault="00F56275" w:rsidP="00626FCE">
            <w:pPr>
              <w:spacing w:before="120" w:after="120"/>
              <w:rPr>
                <w:sz w:val="16"/>
                <w:szCs w:val="16"/>
              </w:rPr>
            </w:pPr>
          </w:p>
        </w:tc>
        <w:tc>
          <w:tcPr>
            <w:tcW w:w="709" w:type="dxa"/>
            <w:gridSpan w:val="2"/>
            <w:shd w:val="clear" w:color="auto" w:fill="FFFFFF" w:themeFill="background1"/>
          </w:tcPr>
          <w:p w14:paraId="54D6D88D" w14:textId="77777777" w:rsidR="00F56275" w:rsidRPr="00626FCE" w:rsidRDefault="00F56275" w:rsidP="00626FCE">
            <w:pPr>
              <w:spacing w:before="120" w:after="120"/>
              <w:rPr>
                <w:sz w:val="16"/>
                <w:szCs w:val="16"/>
              </w:rPr>
            </w:pPr>
          </w:p>
        </w:tc>
        <w:tc>
          <w:tcPr>
            <w:tcW w:w="709" w:type="dxa"/>
            <w:shd w:val="clear" w:color="auto" w:fill="FFFFFF" w:themeFill="background1"/>
          </w:tcPr>
          <w:p w14:paraId="513E6C9E" w14:textId="77777777" w:rsidR="00F56275" w:rsidRPr="00626FCE" w:rsidRDefault="00F56275" w:rsidP="00626FCE">
            <w:pPr>
              <w:spacing w:before="120" w:after="120"/>
              <w:rPr>
                <w:sz w:val="16"/>
                <w:szCs w:val="16"/>
              </w:rPr>
            </w:pPr>
          </w:p>
        </w:tc>
        <w:tc>
          <w:tcPr>
            <w:tcW w:w="733" w:type="dxa"/>
            <w:shd w:val="clear" w:color="auto" w:fill="FFFFFF" w:themeFill="background1"/>
          </w:tcPr>
          <w:p w14:paraId="62D9C99B" w14:textId="77777777" w:rsidR="00F56275" w:rsidRPr="00626FCE" w:rsidRDefault="00F56275" w:rsidP="00626FCE">
            <w:pPr>
              <w:spacing w:before="120" w:after="120"/>
              <w:rPr>
                <w:sz w:val="16"/>
                <w:szCs w:val="16"/>
              </w:rPr>
            </w:pPr>
          </w:p>
        </w:tc>
        <w:tc>
          <w:tcPr>
            <w:tcW w:w="543" w:type="dxa"/>
            <w:shd w:val="clear" w:color="auto" w:fill="FFFFFF" w:themeFill="background1"/>
          </w:tcPr>
          <w:p w14:paraId="581821D7" w14:textId="77777777" w:rsidR="00F56275" w:rsidRPr="00626FCE" w:rsidRDefault="00F56275" w:rsidP="00626FCE">
            <w:pPr>
              <w:spacing w:before="120" w:after="120"/>
              <w:rPr>
                <w:sz w:val="16"/>
                <w:szCs w:val="16"/>
              </w:rPr>
            </w:pPr>
          </w:p>
        </w:tc>
        <w:tc>
          <w:tcPr>
            <w:tcW w:w="567" w:type="dxa"/>
            <w:shd w:val="clear" w:color="auto" w:fill="FFFFFF" w:themeFill="background1"/>
          </w:tcPr>
          <w:p w14:paraId="30D7097A" w14:textId="77777777" w:rsidR="00F56275" w:rsidRPr="00626FCE" w:rsidRDefault="00F56275" w:rsidP="00626FCE">
            <w:pPr>
              <w:spacing w:before="120" w:after="120"/>
              <w:rPr>
                <w:sz w:val="16"/>
                <w:szCs w:val="16"/>
              </w:rPr>
            </w:pPr>
          </w:p>
        </w:tc>
        <w:tc>
          <w:tcPr>
            <w:tcW w:w="567" w:type="dxa"/>
          </w:tcPr>
          <w:p w14:paraId="44935507" w14:textId="77777777" w:rsidR="00F56275" w:rsidRPr="00626FCE" w:rsidRDefault="00F56275" w:rsidP="00626FCE">
            <w:pPr>
              <w:spacing w:before="120" w:after="120"/>
              <w:rPr>
                <w:sz w:val="16"/>
                <w:szCs w:val="16"/>
              </w:rPr>
            </w:pPr>
          </w:p>
        </w:tc>
        <w:tc>
          <w:tcPr>
            <w:tcW w:w="680" w:type="dxa"/>
          </w:tcPr>
          <w:p w14:paraId="6331C0DD" w14:textId="77777777" w:rsidR="00F56275" w:rsidRPr="00626FCE" w:rsidRDefault="00F56275" w:rsidP="00626FCE">
            <w:pPr>
              <w:spacing w:before="120" w:after="120"/>
              <w:rPr>
                <w:sz w:val="16"/>
                <w:szCs w:val="16"/>
              </w:rPr>
            </w:pPr>
          </w:p>
        </w:tc>
        <w:tc>
          <w:tcPr>
            <w:tcW w:w="692" w:type="dxa"/>
          </w:tcPr>
          <w:p w14:paraId="06C0B787" w14:textId="77777777" w:rsidR="00F56275" w:rsidRPr="00626FCE" w:rsidRDefault="00F56275" w:rsidP="00626FCE">
            <w:pPr>
              <w:spacing w:before="120" w:after="120"/>
              <w:rPr>
                <w:sz w:val="16"/>
                <w:szCs w:val="16"/>
              </w:rPr>
            </w:pPr>
          </w:p>
        </w:tc>
        <w:tc>
          <w:tcPr>
            <w:tcW w:w="754" w:type="dxa"/>
            <w:shd w:val="clear" w:color="auto" w:fill="FFFFFF" w:themeFill="background1"/>
          </w:tcPr>
          <w:p w14:paraId="2A4D7655" w14:textId="77777777" w:rsidR="00F56275" w:rsidRPr="00626FCE" w:rsidRDefault="00F56275" w:rsidP="00626FCE">
            <w:pPr>
              <w:spacing w:before="120" w:after="120"/>
              <w:rPr>
                <w:sz w:val="16"/>
                <w:szCs w:val="16"/>
              </w:rPr>
            </w:pPr>
          </w:p>
        </w:tc>
        <w:tc>
          <w:tcPr>
            <w:tcW w:w="709" w:type="dxa"/>
            <w:shd w:val="clear" w:color="auto" w:fill="FFFFFF" w:themeFill="background1"/>
          </w:tcPr>
          <w:p w14:paraId="78C16EDF" w14:textId="77777777" w:rsidR="00F56275" w:rsidRPr="00626FCE" w:rsidRDefault="00F56275" w:rsidP="00626FCE">
            <w:pPr>
              <w:spacing w:before="120" w:after="120"/>
              <w:rPr>
                <w:sz w:val="16"/>
                <w:szCs w:val="16"/>
              </w:rPr>
            </w:pPr>
          </w:p>
        </w:tc>
        <w:tc>
          <w:tcPr>
            <w:tcW w:w="567" w:type="dxa"/>
            <w:shd w:val="clear" w:color="auto" w:fill="FFFFFF" w:themeFill="background1"/>
          </w:tcPr>
          <w:p w14:paraId="2FC7529B" w14:textId="77777777" w:rsidR="00F56275" w:rsidRPr="00626FCE" w:rsidRDefault="00F56275" w:rsidP="00626FCE">
            <w:pPr>
              <w:spacing w:before="120" w:after="120"/>
              <w:rPr>
                <w:sz w:val="16"/>
                <w:szCs w:val="16"/>
              </w:rPr>
            </w:pPr>
          </w:p>
        </w:tc>
        <w:tc>
          <w:tcPr>
            <w:tcW w:w="708" w:type="dxa"/>
            <w:shd w:val="clear" w:color="auto" w:fill="FFFFFF" w:themeFill="background1"/>
          </w:tcPr>
          <w:p w14:paraId="0CB8C5E0" w14:textId="77777777" w:rsidR="00F56275" w:rsidRPr="00626FCE" w:rsidRDefault="00F56275" w:rsidP="00626FCE">
            <w:pPr>
              <w:spacing w:before="120" w:after="120"/>
              <w:rPr>
                <w:sz w:val="16"/>
                <w:szCs w:val="16"/>
              </w:rPr>
            </w:pPr>
          </w:p>
        </w:tc>
        <w:tc>
          <w:tcPr>
            <w:tcW w:w="709" w:type="dxa"/>
            <w:shd w:val="clear" w:color="auto" w:fill="FFFFFF" w:themeFill="background1"/>
          </w:tcPr>
          <w:p w14:paraId="278BD361" w14:textId="77777777" w:rsidR="00F56275" w:rsidRPr="00626FCE" w:rsidRDefault="00F56275" w:rsidP="00626FCE">
            <w:pPr>
              <w:spacing w:before="120" w:after="120"/>
              <w:rPr>
                <w:sz w:val="16"/>
                <w:szCs w:val="16"/>
              </w:rPr>
            </w:pPr>
          </w:p>
        </w:tc>
        <w:tc>
          <w:tcPr>
            <w:tcW w:w="709" w:type="dxa"/>
            <w:shd w:val="clear" w:color="auto" w:fill="FFFFFF" w:themeFill="background1"/>
          </w:tcPr>
          <w:p w14:paraId="3A390223" w14:textId="77777777" w:rsidR="00F56275" w:rsidRPr="00626FCE" w:rsidRDefault="00F56275" w:rsidP="00626FCE">
            <w:pPr>
              <w:spacing w:before="120" w:after="120"/>
              <w:rPr>
                <w:sz w:val="16"/>
                <w:szCs w:val="16"/>
              </w:rPr>
            </w:pPr>
          </w:p>
        </w:tc>
        <w:tc>
          <w:tcPr>
            <w:tcW w:w="709" w:type="dxa"/>
            <w:shd w:val="clear" w:color="auto" w:fill="FFFFFF" w:themeFill="background1"/>
          </w:tcPr>
          <w:p w14:paraId="3813C0A6" w14:textId="77777777" w:rsidR="00F56275" w:rsidRPr="00626FCE" w:rsidRDefault="00F56275" w:rsidP="00626FCE">
            <w:pPr>
              <w:spacing w:before="120" w:after="120"/>
              <w:rPr>
                <w:sz w:val="16"/>
                <w:szCs w:val="16"/>
              </w:rPr>
            </w:pPr>
          </w:p>
        </w:tc>
      </w:tr>
      <w:tr w:rsidR="0099595B" w:rsidRPr="00626FCE" w14:paraId="53BD8AF6" w14:textId="77777777" w:rsidTr="00E52108">
        <w:trPr>
          <w:trHeight w:val="348"/>
        </w:trPr>
        <w:tc>
          <w:tcPr>
            <w:tcW w:w="1864" w:type="dxa"/>
            <w:shd w:val="clear" w:color="auto" w:fill="D9D9D9" w:themeFill="background1" w:themeFillShade="D9"/>
          </w:tcPr>
          <w:p w14:paraId="4B9085DA" w14:textId="4008B01F" w:rsidR="0099595B" w:rsidRPr="00626FCE" w:rsidRDefault="0099595B" w:rsidP="00626FCE">
            <w:pPr>
              <w:spacing w:before="120" w:after="120"/>
              <w:rPr>
                <w:b/>
                <w:sz w:val="18"/>
                <w:szCs w:val="16"/>
              </w:rPr>
            </w:pPr>
            <w:r w:rsidRPr="0099595B">
              <w:rPr>
                <w:b/>
                <w:sz w:val="18"/>
                <w:szCs w:val="16"/>
              </w:rPr>
              <w:t>WP4 - Pilot operation</w:t>
            </w:r>
          </w:p>
        </w:tc>
        <w:tc>
          <w:tcPr>
            <w:tcW w:w="706" w:type="dxa"/>
            <w:shd w:val="clear" w:color="auto" w:fill="FFFFFF" w:themeFill="background1"/>
            <w:noWrap/>
          </w:tcPr>
          <w:p w14:paraId="026BDD4E" w14:textId="77777777" w:rsidR="0099595B" w:rsidRPr="00626FCE" w:rsidRDefault="0099595B" w:rsidP="00626FCE">
            <w:pPr>
              <w:spacing w:before="120" w:after="120"/>
              <w:rPr>
                <w:sz w:val="16"/>
                <w:szCs w:val="16"/>
              </w:rPr>
            </w:pPr>
          </w:p>
        </w:tc>
        <w:tc>
          <w:tcPr>
            <w:tcW w:w="709" w:type="dxa"/>
            <w:gridSpan w:val="2"/>
            <w:shd w:val="clear" w:color="auto" w:fill="FFFFFF" w:themeFill="background1"/>
          </w:tcPr>
          <w:p w14:paraId="7F15BC65" w14:textId="77777777" w:rsidR="0099595B" w:rsidRPr="00626FCE" w:rsidRDefault="0099595B" w:rsidP="00626FCE">
            <w:pPr>
              <w:spacing w:before="120" w:after="120"/>
              <w:rPr>
                <w:sz w:val="16"/>
                <w:szCs w:val="16"/>
              </w:rPr>
            </w:pPr>
          </w:p>
        </w:tc>
        <w:tc>
          <w:tcPr>
            <w:tcW w:w="709" w:type="dxa"/>
            <w:shd w:val="clear" w:color="auto" w:fill="948A54" w:themeFill="background2" w:themeFillShade="80"/>
          </w:tcPr>
          <w:p w14:paraId="7FE95E55" w14:textId="77777777" w:rsidR="0099595B" w:rsidRPr="00626FCE" w:rsidRDefault="0099595B" w:rsidP="00626FCE">
            <w:pPr>
              <w:spacing w:before="120" w:after="120"/>
              <w:rPr>
                <w:sz w:val="16"/>
                <w:szCs w:val="16"/>
              </w:rPr>
            </w:pPr>
          </w:p>
        </w:tc>
        <w:tc>
          <w:tcPr>
            <w:tcW w:w="733" w:type="dxa"/>
            <w:shd w:val="clear" w:color="auto" w:fill="948A54" w:themeFill="background2" w:themeFillShade="80"/>
          </w:tcPr>
          <w:p w14:paraId="36D4EC86" w14:textId="77777777" w:rsidR="0099595B" w:rsidRPr="00626FCE" w:rsidRDefault="0099595B" w:rsidP="00626FCE">
            <w:pPr>
              <w:spacing w:before="120" w:after="120"/>
              <w:rPr>
                <w:sz w:val="16"/>
                <w:szCs w:val="16"/>
              </w:rPr>
            </w:pPr>
          </w:p>
        </w:tc>
        <w:tc>
          <w:tcPr>
            <w:tcW w:w="543" w:type="dxa"/>
            <w:shd w:val="clear" w:color="auto" w:fill="948A54" w:themeFill="background2" w:themeFillShade="80"/>
          </w:tcPr>
          <w:p w14:paraId="21829E15" w14:textId="77777777" w:rsidR="0099595B" w:rsidRPr="00626FCE" w:rsidRDefault="0099595B" w:rsidP="00626FCE">
            <w:pPr>
              <w:spacing w:before="120" w:after="120"/>
              <w:rPr>
                <w:sz w:val="16"/>
                <w:szCs w:val="16"/>
              </w:rPr>
            </w:pPr>
          </w:p>
        </w:tc>
        <w:tc>
          <w:tcPr>
            <w:tcW w:w="567" w:type="dxa"/>
            <w:shd w:val="clear" w:color="auto" w:fill="948A54" w:themeFill="background2" w:themeFillShade="80"/>
          </w:tcPr>
          <w:p w14:paraId="2AF75775" w14:textId="77777777" w:rsidR="0099595B" w:rsidRPr="00626FCE" w:rsidRDefault="0099595B" w:rsidP="00626FCE">
            <w:pPr>
              <w:spacing w:before="120" w:after="120"/>
              <w:rPr>
                <w:sz w:val="16"/>
                <w:szCs w:val="16"/>
              </w:rPr>
            </w:pPr>
          </w:p>
        </w:tc>
        <w:tc>
          <w:tcPr>
            <w:tcW w:w="567" w:type="dxa"/>
            <w:shd w:val="clear" w:color="auto" w:fill="948A54" w:themeFill="background2" w:themeFillShade="80"/>
          </w:tcPr>
          <w:p w14:paraId="6DE2F672" w14:textId="77777777" w:rsidR="0099595B" w:rsidRPr="00626FCE" w:rsidRDefault="0099595B" w:rsidP="00626FCE">
            <w:pPr>
              <w:spacing w:before="120" w:after="120"/>
              <w:rPr>
                <w:sz w:val="16"/>
                <w:szCs w:val="16"/>
              </w:rPr>
            </w:pPr>
          </w:p>
        </w:tc>
        <w:tc>
          <w:tcPr>
            <w:tcW w:w="680" w:type="dxa"/>
            <w:shd w:val="clear" w:color="auto" w:fill="948A54" w:themeFill="background2" w:themeFillShade="80"/>
          </w:tcPr>
          <w:p w14:paraId="3715768A" w14:textId="77777777" w:rsidR="0099595B" w:rsidRPr="00626FCE" w:rsidRDefault="0099595B" w:rsidP="00626FCE">
            <w:pPr>
              <w:spacing w:before="120" w:after="120"/>
              <w:rPr>
                <w:sz w:val="16"/>
                <w:szCs w:val="16"/>
              </w:rPr>
            </w:pPr>
          </w:p>
        </w:tc>
        <w:tc>
          <w:tcPr>
            <w:tcW w:w="692" w:type="dxa"/>
            <w:shd w:val="clear" w:color="auto" w:fill="948A54" w:themeFill="background2" w:themeFillShade="80"/>
          </w:tcPr>
          <w:p w14:paraId="4D71612D" w14:textId="77777777" w:rsidR="0099595B" w:rsidRPr="00626FCE" w:rsidRDefault="0099595B" w:rsidP="00626FCE">
            <w:pPr>
              <w:spacing w:before="120" w:after="120"/>
              <w:rPr>
                <w:sz w:val="16"/>
                <w:szCs w:val="16"/>
              </w:rPr>
            </w:pPr>
          </w:p>
        </w:tc>
        <w:tc>
          <w:tcPr>
            <w:tcW w:w="754" w:type="dxa"/>
            <w:shd w:val="clear" w:color="auto" w:fill="948A54" w:themeFill="background2" w:themeFillShade="80"/>
          </w:tcPr>
          <w:p w14:paraId="11A9DB69" w14:textId="77777777" w:rsidR="0099595B" w:rsidRPr="00626FCE" w:rsidRDefault="0099595B" w:rsidP="00626FCE">
            <w:pPr>
              <w:spacing w:before="120" w:after="120"/>
              <w:rPr>
                <w:sz w:val="16"/>
                <w:szCs w:val="16"/>
              </w:rPr>
            </w:pPr>
          </w:p>
        </w:tc>
        <w:tc>
          <w:tcPr>
            <w:tcW w:w="709" w:type="dxa"/>
            <w:shd w:val="clear" w:color="auto" w:fill="948A54" w:themeFill="background2" w:themeFillShade="80"/>
          </w:tcPr>
          <w:p w14:paraId="3C52F960" w14:textId="77777777" w:rsidR="0099595B" w:rsidRPr="00626FCE" w:rsidRDefault="0099595B" w:rsidP="00626FCE">
            <w:pPr>
              <w:spacing w:before="120" w:after="120"/>
              <w:rPr>
                <w:sz w:val="16"/>
                <w:szCs w:val="16"/>
              </w:rPr>
            </w:pPr>
          </w:p>
        </w:tc>
        <w:tc>
          <w:tcPr>
            <w:tcW w:w="567" w:type="dxa"/>
            <w:shd w:val="clear" w:color="auto" w:fill="948A54" w:themeFill="background2" w:themeFillShade="80"/>
          </w:tcPr>
          <w:p w14:paraId="5635B47C" w14:textId="77777777" w:rsidR="0099595B" w:rsidRPr="00626FCE" w:rsidRDefault="0099595B" w:rsidP="00626FCE">
            <w:pPr>
              <w:spacing w:before="120" w:after="120"/>
              <w:rPr>
                <w:sz w:val="16"/>
                <w:szCs w:val="16"/>
              </w:rPr>
            </w:pPr>
          </w:p>
        </w:tc>
        <w:tc>
          <w:tcPr>
            <w:tcW w:w="708" w:type="dxa"/>
            <w:shd w:val="clear" w:color="auto" w:fill="948A54" w:themeFill="background2" w:themeFillShade="80"/>
          </w:tcPr>
          <w:p w14:paraId="6559E65E" w14:textId="77777777" w:rsidR="0099595B" w:rsidRPr="00626FCE" w:rsidRDefault="0099595B" w:rsidP="00626FCE">
            <w:pPr>
              <w:spacing w:before="120" w:after="120"/>
              <w:rPr>
                <w:sz w:val="16"/>
                <w:szCs w:val="16"/>
              </w:rPr>
            </w:pPr>
          </w:p>
        </w:tc>
        <w:tc>
          <w:tcPr>
            <w:tcW w:w="709" w:type="dxa"/>
            <w:shd w:val="clear" w:color="auto" w:fill="FFFFFF" w:themeFill="background1"/>
          </w:tcPr>
          <w:p w14:paraId="44E77E83" w14:textId="77777777" w:rsidR="0099595B" w:rsidRPr="00626FCE" w:rsidRDefault="0099595B" w:rsidP="00626FCE">
            <w:pPr>
              <w:spacing w:before="120" w:after="120"/>
              <w:rPr>
                <w:sz w:val="16"/>
                <w:szCs w:val="16"/>
              </w:rPr>
            </w:pPr>
          </w:p>
        </w:tc>
        <w:tc>
          <w:tcPr>
            <w:tcW w:w="709" w:type="dxa"/>
            <w:shd w:val="clear" w:color="auto" w:fill="FFFFFF" w:themeFill="background1"/>
          </w:tcPr>
          <w:p w14:paraId="7FED43AC" w14:textId="77777777" w:rsidR="0099595B" w:rsidRPr="00626FCE" w:rsidRDefault="0099595B" w:rsidP="00626FCE">
            <w:pPr>
              <w:spacing w:before="120" w:after="120"/>
              <w:rPr>
                <w:sz w:val="16"/>
                <w:szCs w:val="16"/>
              </w:rPr>
            </w:pPr>
          </w:p>
        </w:tc>
        <w:tc>
          <w:tcPr>
            <w:tcW w:w="709" w:type="dxa"/>
            <w:shd w:val="clear" w:color="auto" w:fill="FFFFFF" w:themeFill="background1"/>
          </w:tcPr>
          <w:p w14:paraId="4C4A26C1" w14:textId="77777777" w:rsidR="0099595B" w:rsidRPr="00626FCE" w:rsidRDefault="0099595B" w:rsidP="00626FCE">
            <w:pPr>
              <w:spacing w:before="120" w:after="120"/>
              <w:rPr>
                <w:sz w:val="16"/>
                <w:szCs w:val="16"/>
              </w:rPr>
            </w:pPr>
          </w:p>
        </w:tc>
      </w:tr>
      <w:tr w:rsidR="0099595B" w:rsidRPr="00626FCE" w14:paraId="1DD837C9" w14:textId="77777777" w:rsidTr="0099595B">
        <w:trPr>
          <w:trHeight w:val="348"/>
        </w:trPr>
        <w:tc>
          <w:tcPr>
            <w:tcW w:w="1864" w:type="dxa"/>
            <w:shd w:val="clear" w:color="auto" w:fill="D9D9D9" w:themeFill="background1" w:themeFillShade="D9"/>
          </w:tcPr>
          <w:p w14:paraId="13A64793" w14:textId="77777777" w:rsidR="0099595B" w:rsidRPr="00626FCE" w:rsidRDefault="0099595B" w:rsidP="00626FCE">
            <w:pPr>
              <w:spacing w:before="120" w:after="120"/>
              <w:rPr>
                <w:b/>
                <w:sz w:val="18"/>
                <w:szCs w:val="16"/>
              </w:rPr>
            </w:pPr>
          </w:p>
        </w:tc>
        <w:tc>
          <w:tcPr>
            <w:tcW w:w="706" w:type="dxa"/>
            <w:shd w:val="clear" w:color="auto" w:fill="FFFFFF" w:themeFill="background1"/>
            <w:noWrap/>
          </w:tcPr>
          <w:p w14:paraId="6D1485F3" w14:textId="77777777" w:rsidR="0099595B" w:rsidRPr="00626FCE" w:rsidRDefault="0099595B" w:rsidP="00626FCE">
            <w:pPr>
              <w:spacing w:before="120" w:after="120"/>
              <w:rPr>
                <w:sz w:val="16"/>
                <w:szCs w:val="16"/>
              </w:rPr>
            </w:pPr>
          </w:p>
        </w:tc>
        <w:tc>
          <w:tcPr>
            <w:tcW w:w="709" w:type="dxa"/>
            <w:gridSpan w:val="2"/>
            <w:shd w:val="clear" w:color="auto" w:fill="FFFFFF" w:themeFill="background1"/>
          </w:tcPr>
          <w:p w14:paraId="4763BA48" w14:textId="77777777" w:rsidR="0099595B" w:rsidRPr="00626FCE" w:rsidRDefault="0099595B" w:rsidP="00626FCE">
            <w:pPr>
              <w:spacing w:before="120" w:after="120"/>
              <w:rPr>
                <w:sz w:val="16"/>
                <w:szCs w:val="16"/>
              </w:rPr>
            </w:pPr>
          </w:p>
        </w:tc>
        <w:tc>
          <w:tcPr>
            <w:tcW w:w="709" w:type="dxa"/>
            <w:shd w:val="clear" w:color="auto" w:fill="FFFFFF" w:themeFill="background1"/>
          </w:tcPr>
          <w:p w14:paraId="57EE3180" w14:textId="77777777" w:rsidR="0099595B" w:rsidRPr="00626FCE" w:rsidRDefault="0099595B" w:rsidP="00626FCE">
            <w:pPr>
              <w:spacing w:before="120" w:after="120"/>
              <w:rPr>
                <w:sz w:val="16"/>
                <w:szCs w:val="16"/>
              </w:rPr>
            </w:pPr>
          </w:p>
        </w:tc>
        <w:tc>
          <w:tcPr>
            <w:tcW w:w="733" w:type="dxa"/>
            <w:shd w:val="clear" w:color="auto" w:fill="FFFFFF" w:themeFill="background1"/>
          </w:tcPr>
          <w:p w14:paraId="67EDD111" w14:textId="77777777" w:rsidR="0099595B" w:rsidRPr="00626FCE" w:rsidRDefault="0099595B" w:rsidP="00626FCE">
            <w:pPr>
              <w:spacing w:before="120" w:after="120"/>
              <w:rPr>
                <w:sz w:val="16"/>
                <w:szCs w:val="16"/>
              </w:rPr>
            </w:pPr>
          </w:p>
        </w:tc>
        <w:tc>
          <w:tcPr>
            <w:tcW w:w="543" w:type="dxa"/>
            <w:shd w:val="clear" w:color="auto" w:fill="FFFFFF" w:themeFill="background1"/>
          </w:tcPr>
          <w:p w14:paraId="297A63A7" w14:textId="77777777" w:rsidR="0099595B" w:rsidRPr="00626FCE" w:rsidRDefault="0099595B" w:rsidP="00626FCE">
            <w:pPr>
              <w:spacing w:before="120" w:after="120"/>
              <w:rPr>
                <w:sz w:val="16"/>
                <w:szCs w:val="16"/>
              </w:rPr>
            </w:pPr>
          </w:p>
        </w:tc>
        <w:tc>
          <w:tcPr>
            <w:tcW w:w="567" w:type="dxa"/>
            <w:shd w:val="clear" w:color="auto" w:fill="FFFFFF" w:themeFill="background1"/>
          </w:tcPr>
          <w:p w14:paraId="574DB56A" w14:textId="77777777" w:rsidR="0099595B" w:rsidRPr="00626FCE" w:rsidRDefault="0099595B" w:rsidP="00626FCE">
            <w:pPr>
              <w:spacing w:before="120" w:after="120"/>
              <w:rPr>
                <w:sz w:val="16"/>
                <w:szCs w:val="16"/>
              </w:rPr>
            </w:pPr>
          </w:p>
        </w:tc>
        <w:tc>
          <w:tcPr>
            <w:tcW w:w="567" w:type="dxa"/>
          </w:tcPr>
          <w:p w14:paraId="5B3582BE" w14:textId="77777777" w:rsidR="0099595B" w:rsidRPr="00626FCE" w:rsidRDefault="0099595B" w:rsidP="00626FCE">
            <w:pPr>
              <w:spacing w:before="120" w:after="120"/>
              <w:rPr>
                <w:sz w:val="16"/>
                <w:szCs w:val="16"/>
              </w:rPr>
            </w:pPr>
          </w:p>
        </w:tc>
        <w:tc>
          <w:tcPr>
            <w:tcW w:w="680" w:type="dxa"/>
          </w:tcPr>
          <w:p w14:paraId="2EE587B2" w14:textId="77777777" w:rsidR="0099595B" w:rsidRPr="00626FCE" w:rsidRDefault="0099595B" w:rsidP="00626FCE">
            <w:pPr>
              <w:spacing w:before="120" w:after="120"/>
              <w:rPr>
                <w:sz w:val="16"/>
                <w:szCs w:val="16"/>
              </w:rPr>
            </w:pPr>
          </w:p>
        </w:tc>
        <w:tc>
          <w:tcPr>
            <w:tcW w:w="692" w:type="dxa"/>
          </w:tcPr>
          <w:p w14:paraId="369374E2" w14:textId="77777777" w:rsidR="0099595B" w:rsidRPr="00626FCE" w:rsidRDefault="0099595B" w:rsidP="00626FCE">
            <w:pPr>
              <w:spacing w:before="120" w:after="120"/>
              <w:rPr>
                <w:sz w:val="16"/>
                <w:szCs w:val="16"/>
              </w:rPr>
            </w:pPr>
          </w:p>
        </w:tc>
        <w:tc>
          <w:tcPr>
            <w:tcW w:w="754" w:type="dxa"/>
            <w:shd w:val="clear" w:color="auto" w:fill="FFFFFF" w:themeFill="background1"/>
          </w:tcPr>
          <w:p w14:paraId="51F7C4F0" w14:textId="77777777" w:rsidR="0099595B" w:rsidRPr="00626FCE" w:rsidRDefault="0099595B" w:rsidP="00626FCE">
            <w:pPr>
              <w:spacing w:before="120" w:after="120"/>
              <w:rPr>
                <w:sz w:val="16"/>
                <w:szCs w:val="16"/>
              </w:rPr>
            </w:pPr>
          </w:p>
        </w:tc>
        <w:tc>
          <w:tcPr>
            <w:tcW w:w="709" w:type="dxa"/>
            <w:shd w:val="clear" w:color="auto" w:fill="FFFFFF" w:themeFill="background1"/>
          </w:tcPr>
          <w:p w14:paraId="294B05ED" w14:textId="77777777" w:rsidR="0099595B" w:rsidRPr="00626FCE" w:rsidRDefault="0099595B" w:rsidP="00626FCE">
            <w:pPr>
              <w:spacing w:before="120" w:after="120"/>
              <w:rPr>
                <w:sz w:val="16"/>
                <w:szCs w:val="16"/>
              </w:rPr>
            </w:pPr>
          </w:p>
        </w:tc>
        <w:tc>
          <w:tcPr>
            <w:tcW w:w="567" w:type="dxa"/>
            <w:shd w:val="clear" w:color="auto" w:fill="FFFFFF" w:themeFill="background1"/>
          </w:tcPr>
          <w:p w14:paraId="3E2F2DAA" w14:textId="77777777" w:rsidR="0099595B" w:rsidRPr="00626FCE" w:rsidRDefault="0099595B" w:rsidP="00626FCE">
            <w:pPr>
              <w:spacing w:before="120" w:after="120"/>
              <w:rPr>
                <w:sz w:val="16"/>
                <w:szCs w:val="16"/>
              </w:rPr>
            </w:pPr>
          </w:p>
        </w:tc>
        <w:tc>
          <w:tcPr>
            <w:tcW w:w="708" w:type="dxa"/>
            <w:shd w:val="clear" w:color="auto" w:fill="FFFFFF" w:themeFill="background1"/>
          </w:tcPr>
          <w:p w14:paraId="32F7A10F" w14:textId="77777777" w:rsidR="0099595B" w:rsidRPr="00626FCE" w:rsidRDefault="0099595B" w:rsidP="00626FCE">
            <w:pPr>
              <w:spacing w:before="120" w:after="120"/>
              <w:rPr>
                <w:sz w:val="16"/>
                <w:szCs w:val="16"/>
              </w:rPr>
            </w:pPr>
          </w:p>
        </w:tc>
        <w:tc>
          <w:tcPr>
            <w:tcW w:w="709" w:type="dxa"/>
            <w:shd w:val="clear" w:color="auto" w:fill="FFFFFF" w:themeFill="background1"/>
          </w:tcPr>
          <w:p w14:paraId="60EA8F2B" w14:textId="77777777" w:rsidR="0099595B" w:rsidRPr="00626FCE" w:rsidRDefault="0099595B" w:rsidP="00626FCE">
            <w:pPr>
              <w:spacing w:before="120" w:after="120"/>
              <w:rPr>
                <w:sz w:val="16"/>
                <w:szCs w:val="16"/>
              </w:rPr>
            </w:pPr>
          </w:p>
        </w:tc>
        <w:tc>
          <w:tcPr>
            <w:tcW w:w="709" w:type="dxa"/>
            <w:shd w:val="clear" w:color="auto" w:fill="FFFFFF" w:themeFill="background1"/>
          </w:tcPr>
          <w:p w14:paraId="218352D8" w14:textId="77777777" w:rsidR="0099595B" w:rsidRPr="00626FCE" w:rsidRDefault="0099595B" w:rsidP="00626FCE">
            <w:pPr>
              <w:spacing w:before="120" w:after="120"/>
              <w:rPr>
                <w:sz w:val="16"/>
                <w:szCs w:val="16"/>
              </w:rPr>
            </w:pPr>
          </w:p>
        </w:tc>
        <w:tc>
          <w:tcPr>
            <w:tcW w:w="709" w:type="dxa"/>
            <w:shd w:val="clear" w:color="auto" w:fill="FFFFFF" w:themeFill="background1"/>
          </w:tcPr>
          <w:p w14:paraId="460DE35D" w14:textId="77777777" w:rsidR="0099595B" w:rsidRPr="00626FCE" w:rsidRDefault="0099595B" w:rsidP="00626FCE">
            <w:pPr>
              <w:spacing w:before="120" w:after="120"/>
              <w:rPr>
                <w:sz w:val="16"/>
                <w:szCs w:val="16"/>
              </w:rPr>
            </w:pPr>
          </w:p>
        </w:tc>
      </w:tr>
      <w:tr w:rsidR="0099595B" w:rsidRPr="00626FCE" w14:paraId="07B11F42" w14:textId="77777777" w:rsidTr="0099595B">
        <w:trPr>
          <w:trHeight w:val="348"/>
        </w:trPr>
        <w:tc>
          <w:tcPr>
            <w:tcW w:w="1864" w:type="dxa"/>
            <w:shd w:val="clear" w:color="auto" w:fill="D9D9D9" w:themeFill="background1" w:themeFillShade="D9"/>
          </w:tcPr>
          <w:p w14:paraId="54BAAA79" w14:textId="4C2B01F1" w:rsidR="0099595B" w:rsidRPr="00626FCE" w:rsidRDefault="0099595B" w:rsidP="00626FCE">
            <w:pPr>
              <w:spacing w:before="120" w:after="120"/>
              <w:rPr>
                <w:b/>
                <w:sz w:val="18"/>
                <w:szCs w:val="16"/>
              </w:rPr>
            </w:pPr>
            <w:r w:rsidRPr="0099595B">
              <w:rPr>
                <w:b/>
                <w:sz w:val="18"/>
                <w:szCs w:val="16"/>
              </w:rPr>
              <w:t>T 4.1 - Project bundling and renovation design</w:t>
            </w:r>
          </w:p>
        </w:tc>
        <w:tc>
          <w:tcPr>
            <w:tcW w:w="706" w:type="dxa"/>
            <w:shd w:val="clear" w:color="auto" w:fill="FFFFFF" w:themeFill="background1"/>
            <w:noWrap/>
          </w:tcPr>
          <w:p w14:paraId="182ABBDA" w14:textId="77777777" w:rsidR="0099595B" w:rsidRPr="00626FCE" w:rsidRDefault="0099595B" w:rsidP="00626FCE">
            <w:pPr>
              <w:spacing w:before="120" w:after="120"/>
              <w:rPr>
                <w:sz w:val="16"/>
                <w:szCs w:val="16"/>
              </w:rPr>
            </w:pPr>
          </w:p>
        </w:tc>
        <w:tc>
          <w:tcPr>
            <w:tcW w:w="709" w:type="dxa"/>
            <w:gridSpan w:val="2"/>
            <w:shd w:val="clear" w:color="auto" w:fill="FFFFFF" w:themeFill="background1"/>
          </w:tcPr>
          <w:p w14:paraId="3A755025" w14:textId="77777777" w:rsidR="0099595B" w:rsidRPr="00626FCE" w:rsidRDefault="0099595B" w:rsidP="00626FCE">
            <w:pPr>
              <w:spacing w:before="120" w:after="120"/>
              <w:rPr>
                <w:sz w:val="16"/>
                <w:szCs w:val="16"/>
              </w:rPr>
            </w:pPr>
          </w:p>
        </w:tc>
        <w:tc>
          <w:tcPr>
            <w:tcW w:w="709" w:type="dxa"/>
            <w:shd w:val="clear" w:color="auto" w:fill="C4BC96" w:themeFill="background2" w:themeFillShade="BF"/>
          </w:tcPr>
          <w:p w14:paraId="41906CE4" w14:textId="77777777" w:rsidR="0099595B" w:rsidRPr="00626FCE" w:rsidRDefault="0099595B" w:rsidP="00626FCE">
            <w:pPr>
              <w:spacing w:before="120" w:after="120"/>
              <w:rPr>
                <w:sz w:val="16"/>
                <w:szCs w:val="16"/>
              </w:rPr>
            </w:pPr>
          </w:p>
        </w:tc>
        <w:tc>
          <w:tcPr>
            <w:tcW w:w="733" w:type="dxa"/>
            <w:shd w:val="clear" w:color="auto" w:fill="C4BC96" w:themeFill="background2" w:themeFillShade="BF"/>
          </w:tcPr>
          <w:p w14:paraId="5CAE2B50" w14:textId="77777777" w:rsidR="0099595B" w:rsidRPr="00626FCE" w:rsidRDefault="0099595B" w:rsidP="00626FCE">
            <w:pPr>
              <w:spacing w:before="120" w:after="120"/>
              <w:rPr>
                <w:sz w:val="16"/>
                <w:szCs w:val="16"/>
              </w:rPr>
            </w:pPr>
          </w:p>
        </w:tc>
        <w:tc>
          <w:tcPr>
            <w:tcW w:w="543" w:type="dxa"/>
            <w:shd w:val="clear" w:color="auto" w:fill="C4BC96" w:themeFill="background2" w:themeFillShade="BF"/>
          </w:tcPr>
          <w:p w14:paraId="20C076A7" w14:textId="77777777" w:rsidR="0099595B" w:rsidRPr="00626FCE" w:rsidRDefault="0099595B" w:rsidP="00626FCE">
            <w:pPr>
              <w:spacing w:before="120" w:after="120"/>
              <w:rPr>
                <w:sz w:val="16"/>
                <w:szCs w:val="16"/>
              </w:rPr>
            </w:pPr>
          </w:p>
        </w:tc>
        <w:tc>
          <w:tcPr>
            <w:tcW w:w="567" w:type="dxa"/>
            <w:shd w:val="clear" w:color="auto" w:fill="C4BC96" w:themeFill="background2" w:themeFillShade="BF"/>
          </w:tcPr>
          <w:p w14:paraId="1294AF4D" w14:textId="77777777" w:rsidR="0099595B" w:rsidRPr="00626FCE" w:rsidRDefault="0099595B" w:rsidP="00626FCE">
            <w:pPr>
              <w:spacing w:before="120" w:after="120"/>
              <w:rPr>
                <w:sz w:val="16"/>
                <w:szCs w:val="16"/>
              </w:rPr>
            </w:pPr>
          </w:p>
        </w:tc>
        <w:tc>
          <w:tcPr>
            <w:tcW w:w="567" w:type="dxa"/>
            <w:shd w:val="clear" w:color="auto" w:fill="C4BC96" w:themeFill="background2" w:themeFillShade="BF"/>
          </w:tcPr>
          <w:p w14:paraId="6D15CD26" w14:textId="77777777" w:rsidR="0099595B" w:rsidRPr="00626FCE" w:rsidRDefault="0099595B" w:rsidP="00626FCE">
            <w:pPr>
              <w:spacing w:before="120" w:after="120"/>
              <w:rPr>
                <w:sz w:val="16"/>
                <w:szCs w:val="16"/>
              </w:rPr>
            </w:pPr>
          </w:p>
        </w:tc>
        <w:tc>
          <w:tcPr>
            <w:tcW w:w="680" w:type="dxa"/>
            <w:shd w:val="clear" w:color="auto" w:fill="C4BC96" w:themeFill="background2" w:themeFillShade="BF"/>
          </w:tcPr>
          <w:p w14:paraId="786C2323" w14:textId="77777777" w:rsidR="0099595B" w:rsidRPr="00626FCE" w:rsidRDefault="0099595B" w:rsidP="00626FCE">
            <w:pPr>
              <w:spacing w:before="120" w:after="120"/>
              <w:rPr>
                <w:sz w:val="16"/>
                <w:szCs w:val="16"/>
              </w:rPr>
            </w:pPr>
          </w:p>
        </w:tc>
        <w:tc>
          <w:tcPr>
            <w:tcW w:w="692" w:type="dxa"/>
          </w:tcPr>
          <w:p w14:paraId="678CEB20" w14:textId="77777777" w:rsidR="0099595B" w:rsidRPr="00626FCE" w:rsidRDefault="0099595B" w:rsidP="00626FCE">
            <w:pPr>
              <w:spacing w:before="120" w:after="120"/>
              <w:rPr>
                <w:sz w:val="16"/>
                <w:szCs w:val="16"/>
              </w:rPr>
            </w:pPr>
          </w:p>
        </w:tc>
        <w:tc>
          <w:tcPr>
            <w:tcW w:w="754" w:type="dxa"/>
            <w:shd w:val="clear" w:color="auto" w:fill="FFFFFF" w:themeFill="background1"/>
          </w:tcPr>
          <w:p w14:paraId="24251CBE" w14:textId="77777777" w:rsidR="0099595B" w:rsidRPr="00626FCE" w:rsidRDefault="0099595B" w:rsidP="00626FCE">
            <w:pPr>
              <w:spacing w:before="120" w:after="120"/>
              <w:rPr>
                <w:sz w:val="16"/>
                <w:szCs w:val="16"/>
              </w:rPr>
            </w:pPr>
          </w:p>
        </w:tc>
        <w:tc>
          <w:tcPr>
            <w:tcW w:w="709" w:type="dxa"/>
            <w:shd w:val="clear" w:color="auto" w:fill="FFFFFF" w:themeFill="background1"/>
          </w:tcPr>
          <w:p w14:paraId="3ECC7100" w14:textId="77777777" w:rsidR="0099595B" w:rsidRPr="00626FCE" w:rsidRDefault="0099595B" w:rsidP="00626FCE">
            <w:pPr>
              <w:spacing w:before="120" w:after="120"/>
              <w:rPr>
                <w:sz w:val="16"/>
                <w:szCs w:val="16"/>
              </w:rPr>
            </w:pPr>
          </w:p>
        </w:tc>
        <w:tc>
          <w:tcPr>
            <w:tcW w:w="567" w:type="dxa"/>
            <w:shd w:val="clear" w:color="auto" w:fill="FFFFFF" w:themeFill="background1"/>
          </w:tcPr>
          <w:p w14:paraId="4417EDE2" w14:textId="77777777" w:rsidR="0099595B" w:rsidRPr="00626FCE" w:rsidRDefault="0099595B" w:rsidP="00626FCE">
            <w:pPr>
              <w:spacing w:before="120" w:after="120"/>
              <w:rPr>
                <w:sz w:val="16"/>
                <w:szCs w:val="16"/>
              </w:rPr>
            </w:pPr>
          </w:p>
        </w:tc>
        <w:tc>
          <w:tcPr>
            <w:tcW w:w="708" w:type="dxa"/>
            <w:shd w:val="clear" w:color="auto" w:fill="FFFFFF" w:themeFill="background1"/>
          </w:tcPr>
          <w:p w14:paraId="650DCB9E" w14:textId="77777777" w:rsidR="0099595B" w:rsidRPr="00626FCE" w:rsidRDefault="0099595B" w:rsidP="00626FCE">
            <w:pPr>
              <w:spacing w:before="120" w:after="120"/>
              <w:rPr>
                <w:sz w:val="16"/>
                <w:szCs w:val="16"/>
              </w:rPr>
            </w:pPr>
          </w:p>
        </w:tc>
        <w:tc>
          <w:tcPr>
            <w:tcW w:w="709" w:type="dxa"/>
            <w:shd w:val="clear" w:color="auto" w:fill="FFFFFF" w:themeFill="background1"/>
          </w:tcPr>
          <w:p w14:paraId="5D496867" w14:textId="77777777" w:rsidR="0099595B" w:rsidRPr="00626FCE" w:rsidRDefault="0099595B" w:rsidP="00626FCE">
            <w:pPr>
              <w:spacing w:before="120" w:after="120"/>
              <w:rPr>
                <w:sz w:val="16"/>
                <w:szCs w:val="16"/>
              </w:rPr>
            </w:pPr>
          </w:p>
        </w:tc>
        <w:tc>
          <w:tcPr>
            <w:tcW w:w="709" w:type="dxa"/>
            <w:shd w:val="clear" w:color="auto" w:fill="FFFFFF" w:themeFill="background1"/>
          </w:tcPr>
          <w:p w14:paraId="643728DC" w14:textId="77777777" w:rsidR="0099595B" w:rsidRPr="00626FCE" w:rsidRDefault="0099595B" w:rsidP="00626FCE">
            <w:pPr>
              <w:spacing w:before="120" w:after="120"/>
              <w:rPr>
                <w:sz w:val="16"/>
                <w:szCs w:val="16"/>
              </w:rPr>
            </w:pPr>
          </w:p>
        </w:tc>
        <w:tc>
          <w:tcPr>
            <w:tcW w:w="709" w:type="dxa"/>
            <w:shd w:val="clear" w:color="auto" w:fill="FFFFFF" w:themeFill="background1"/>
          </w:tcPr>
          <w:p w14:paraId="332759E9" w14:textId="77777777" w:rsidR="0099595B" w:rsidRPr="00626FCE" w:rsidRDefault="0099595B" w:rsidP="00626FCE">
            <w:pPr>
              <w:spacing w:before="120" w:after="120"/>
              <w:rPr>
                <w:sz w:val="16"/>
                <w:szCs w:val="16"/>
              </w:rPr>
            </w:pPr>
          </w:p>
        </w:tc>
      </w:tr>
      <w:tr w:rsidR="0099595B" w:rsidRPr="00626FCE" w14:paraId="4C37E1C9" w14:textId="77777777" w:rsidTr="0099595B">
        <w:trPr>
          <w:trHeight w:val="348"/>
        </w:trPr>
        <w:tc>
          <w:tcPr>
            <w:tcW w:w="1864" w:type="dxa"/>
            <w:shd w:val="clear" w:color="auto" w:fill="D9D9D9" w:themeFill="background1" w:themeFillShade="D9"/>
          </w:tcPr>
          <w:p w14:paraId="0D174DA1" w14:textId="77777777" w:rsidR="0099595B" w:rsidRPr="00626FCE" w:rsidRDefault="0099595B" w:rsidP="00626FCE">
            <w:pPr>
              <w:spacing w:before="120" w:after="120"/>
              <w:rPr>
                <w:b/>
                <w:sz w:val="18"/>
                <w:szCs w:val="16"/>
              </w:rPr>
            </w:pPr>
          </w:p>
        </w:tc>
        <w:tc>
          <w:tcPr>
            <w:tcW w:w="706" w:type="dxa"/>
            <w:shd w:val="clear" w:color="auto" w:fill="FFFFFF" w:themeFill="background1"/>
            <w:noWrap/>
          </w:tcPr>
          <w:p w14:paraId="5209DF65" w14:textId="77777777" w:rsidR="0099595B" w:rsidRPr="00626FCE" w:rsidRDefault="0099595B" w:rsidP="00626FCE">
            <w:pPr>
              <w:spacing w:before="120" w:after="120"/>
              <w:rPr>
                <w:sz w:val="16"/>
                <w:szCs w:val="16"/>
              </w:rPr>
            </w:pPr>
          </w:p>
        </w:tc>
        <w:tc>
          <w:tcPr>
            <w:tcW w:w="709" w:type="dxa"/>
            <w:gridSpan w:val="2"/>
            <w:shd w:val="clear" w:color="auto" w:fill="FFFFFF" w:themeFill="background1"/>
          </w:tcPr>
          <w:p w14:paraId="5FCC1196" w14:textId="77777777" w:rsidR="0099595B" w:rsidRPr="00626FCE" w:rsidRDefault="0099595B" w:rsidP="00626FCE">
            <w:pPr>
              <w:spacing w:before="120" w:after="120"/>
              <w:rPr>
                <w:sz w:val="16"/>
                <w:szCs w:val="16"/>
              </w:rPr>
            </w:pPr>
          </w:p>
        </w:tc>
        <w:tc>
          <w:tcPr>
            <w:tcW w:w="709" w:type="dxa"/>
            <w:shd w:val="clear" w:color="auto" w:fill="FFFFFF" w:themeFill="background1"/>
          </w:tcPr>
          <w:p w14:paraId="32CB96E9" w14:textId="77777777" w:rsidR="0099595B" w:rsidRPr="00626FCE" w:rsidRDefault="0099595B" w:rsidP="00626FCE">
            <w:pPr>
              <w:spacing w:before="120" w:after="120"/>
              <w:rPr>
                <w:sz w:val="16"/>
                <w:szCs w:val="16"/>
              </w:rPr>
            </w:pPr>
          </w:p>
        </w:tc>
        <w:tc>
          <w:tcPr>
            <w:tcW w:w="733" w:type="dxa"/>
            <w:shd w:val="clear" w:color="auto" w:fill="FFFFFF" w:themeFill="background1"/>
          </w:tcPr>
          <w:p w14:paraId="4769464E" w14:textId="77777777" w:rsidR="0099595B" w:rsidRPr="00626FCE" w:rsidRDefault="0099595B" w:rsidP="00626FCE">
            <w:pPr>
              <w:spacing w:before="120" w:after="120"/>
              <w:rPr>
                <w:sz w:val="16"/>
                <w:szCs w:val="16"/>
              </w:rPr>
            </w:pPr>
          </w:p>
        </w:tc>
        <w:tc>
          <w:tcPr>
            <w:tcW w:w="543" w:type="dxa"/>
            <w:shd w:val="clear" w:color="auto" w:fill="FFFFFF" w:themeFill="background1"/>
          </w:tcPr>
          <w:p w14:paraId="2CBAFA20" w14:textId="77777777" w:rsidR="0099595B" w:rsidRPr="00626FCE" w:rsidRDefault="0099595B" w:rsidP="00626FCE">
            <w:pPr>
              <w:spacing w:before="120" w:after="120"/>
              <w:rPr>
                <w:sz w:val="16"/>
                <w:szCs w:val="16"/>
              </w:rPr>
            </w:pPr>
          </w:p>
        </w:tc>
        <w:tc>
          <w:tcPr>
            <w:tcW w:w="567" w:type="dxa"/>
            <w:shd w:val="clear" w:color="auto" w:fill="FFFFFF" w:themeFill="background1"/>
          </w:tcPr>
          <w:p w14:paraId="1C1A64A9" w14:textId="77777777" w:rsidR="0099595B" w:rsidRPr="00626FCE" w:rsidRDefault="0099595B" w:rsidP="00626FCE">
            <w:pPr>
              <w:spacing w:before="120" w:after="120"/>
              <w:rPr>
                <w:sz w:val="16"/>
                <w:szCs w:val="16"/>
              </w:rPr>
            </w:pPr>
          </w:p>
        </w:tc>
        <w:tc>
          <w:tcPr>
            <w:tcW w:w="567" w:type="dxa"/>
          </w:tcPr>
          <w:p w14:paraId="3B94625D" w14:textId="77777777" w:rsidR="0099595B" w:rsidRPr="00626FCE" w:rsidRDefault="0099595B" w:rsidP="00626FCE">
            <w:pPr>
              <w:spacing w:before="120" w:after="120"/>
              <w:rPr>
                <w:sz w:val="16"/>
                <w:szCs w:val="16"/>
              </w:rPr>
            </w:pPr>
          </w:p>
        </w:tc>
        <w:tc>
          <w:tcPr>
            <w:tcW w:w="680" w:type="dxa"/>
          </w:tcPr>
          <w:p w14:paraId="468E61C0" w14:textId="77777777" w:rsidR="0099595B" w:rsidRPr="00626FCE" w:rsidRDefault="0099595B" w:rsidP="00626FCE">
            <w:pPr>
              <w:spacing w:before="120" w:after="120"/>
              <w:rPr>
                <w:sz w:val="16"/>
                <w:szCs w:val="16"/>
              </w:rPr>
            </w:pPr>
          </w:p>
        </w:tc>
        <w:tc>
          <w:tcPr>
            <w:tcW w:w="692" w:type="dxa"/>
          </w:tcPr>
          <w:p w14:paraId="5F48E607" w14:textId="77777777" w:rsidR="0099595B" w:rsidRPr="00626FCE" w:rsidRDefault="0099595B" w:rsidP="00626FCE">
            <w:pPr>
              <w:spacing w:before="120" w:after="120"/>
              <w:rPr>
                <w:sz w:val="16"/>
                <w:szCs w:val="16"/>
              </w:rPr>
            </w:pPr>
          </w:p>
        </w:tc>
        <w:tc>
          <w:tcPr>
            <w:tcW w:w="754" w:type="dxa"/>
            <w:shd w:val="clear" w:color="auto" w:fill="FFFFFF" w:themeFill="background1"/>
          </w:tcPr>
          <w:p w14:paraId="0AAD8E3C" w14:textId="77777777" w:rsidR="0099595B" w:rsidRPr="00626FCE" w:rsidRDefault="0099595B" w:rsidP="00626FCE">
            <w:pPr>
              <w:spacing w:before="120" w:after="120"/>
              <w:rPr>
                <w:sz w:val="16"/>
                <w:szCs w:val="16"/>
              </w:rPr>
            </w:pPr>
          </w:p>
        </w:tc>
        <w:tc>
          <w:tcPr>
            <w:tcW w:w="709" w:type="dxa"/>
            <w:shd w:val="clear" w:color="auto" w:fill="FFFFFF" w:themeFill="background1"/>
          </w:tcPr>
          <w:p w14:paraId="3F3658A8" w14:textId="77777777" w:rsidR="0099595B" w:rsidRPr="00626FCE" w:rsidRDefault="0099595B" w:rsidP="00626FCE">
            <w:pPr>
              <w:spacing w:before="120" w:after="120"/>
              <w:rPr>
                <w:sz w:val="16"/>
                <w:szCs w:val="16"/>
              </w:rPr>
            </w:pPr>
          </w:p>
        </w:tc>
        <w:tc>
          <w:tcPr>
            <w:tcW w:w="567" w:type="dxa"/>
            <w:shd w:val="clear" w:color="auto" w:fill="FFFFFF" w:themeFill="background1"/>
          </w:tcPr>
          <w:p w14:paraId="22F3FC1A" w14:textId="77777777" w:rsidR="0099595B" w:rsidRPr="00626FCE" w:rsidRDefault="0099595B" w:rsidP="00626FCE">
            <w:pPr>
              <w:spacing w:before="120" w:after="120"/>
              <w:rPr>
                <w:sz w:val="16"/>
                <w:szCs w:val="16"/>
              </w:rPr>
            </w:pPr>
          </w:p>
        </w:tc>
        <w:tc>
          <w:tcPr>
            <w:tcW w:w="708" w:type="dxa"/>
            <w:shd w:val="clear" w:color="auto" w:fill="FFFFFF" w:themeFill="background1"/>
          </w:tcPr>
          <w:p w14:paraId="051B2779" w14:textId="77777777" w:rsidR="0099595B" w:rsidRPr="00626FCE" w:rsidRDefault="0099595B" w:rsidP="00626FCE">
            <w:pPr>
              <w:spacing w:before="120" w:after="120"/>
              <w:rPr>
                <w:sz w:val="16"/>
                <w:szCs w:val="16"/>
              </w:rPr>
            </w:pPr>
          </w:p>
        </w:tc>
        <w:tc>
          <w:tcPr>
            <w:tcW w:w="709" w:type="dxa"/>
            <w:shd w:val="clear" w:color="auto" w:fill="FFFFFF" w:themeFill="background1"/>
          </w:tcPr>
          <w:p w14:paraId="7DC5FF01" w14:textId="77777777" w:rsidR="0099595B" w:rsidRPr="00626FCE" w:rsidRDefault="0099595B" w:rsidP="00626FCE">
            <w:pPr>
              <w:spacing w:before="120" w:after="120"/>
              <w:rPr>
                <w:sz w:val="16"/>
                <w:szCs w:val="16"/>
              </w:rPr>
            </w:pPr>
          </w:p>
        </w:tc>
        <w:tc>
          <w:tcPr>
            <w:tcW w:w="709" w:type="dxa"/>
            <w:shd w:val="clear" w:color="auto" w:fill="FFFFFF" w:themeFill="background1"/>
          </w:tcPr>
          <w:p w14:paraId="2FD4D674" w14:textId="77777777" w:rsidR="0099595B" w:rsidRPr="00626FCE" w:rsidRDefault="0099595B" w:rsidP="00626FCE">
            <w:pPr>
              <w:spacing w:before="120" w:after="120"/>
              <w:rPr>
                <w:sz w:val="16"/>
                <w:szCs w:val="16"/>
              </w:rPr>
            </w:pPr>
          </w:p>
        </w:tc>
        <w:tc>
          <w:tcPr>
            <w:tcW w:w="709" w:type="dxa"/>
            <w:shd w:val="clear" w:color="auto" w:fill="FFFFFF" w:themeFill="background1"/>
          </w:tcPr>
          <w:p w14:paraId="1333FB2E" w14:textId="77777777" w:rsidR="0099595B" w:rsidRPr="00626FCE" w:rsidRDefault="0099595B" w:rsidP="00626FCE">
            <w:pPr>
              <w:spacing w:before="120" w:after="120"/>
              <w:rPr>
                <w:sz w:val="16"/>
                <w:szCs w:val="16"/>
              </w:rPr>
            </w:pPr>
          </w:p>
        </w:tc>
      </w:tr>
      <w:tr w:rsidR="0099595B" w:rsidRPr="00626FCE" w14:paraId="6172CA4F" w14:textId="77777777" w:rsidTr="00E52108">
        <w:trPr>
          <w:trHeight w:val="348"/>
        </w:trPr>
        <w:tc>
          <w:tcPr>
            <w:tcW w:w="1864" w:type="dxa"/>
            <w:shd w:val="clear" w:color="auto" w:fill="D9D9D9" w:themeFill="background1" w:themeFillShade="D9"/>
          </w:tcPr>
          <w:p w14:paraId="6DE47958" w14:textId="543671E0" w:rsidR="0099595B" w:rsidRPr="00E52108" w:rsidRDefault="00E52108" w:rsidP="00626FCE">
            <w:pPr>
              <w:spacing w:before="120" w:after="120"/>
              <w:rPr>
                <w:b/>
                <w:sz w:val="18"/>
                <w:szCs w:val="16"/>
                <w:lang w:val="en-US"/>
              </w:rPr>
            </w:pPr>
            <w:r w:rsidRPr="00E52108">
              <w:rPr>
                <w:b/>
                <w:sz w:val="18"/>
                <w:szCs w:val="16"/>
                <w:lang w:val="en-US"/>
              </w:rPr>
              <w:t>T 4.2 - Financing of the renovation works</w:t>
            </w:r>
          </w:p>
        </w:tc>
        <w:tc>
          <w:tcPr>
            <w:tcW w:w="706" w:type="dxa"/>
            <w:shd w:val="clear" w:color="auto" w:fill="FFFFFF" w:themeFill="background1"/>
            <w:noWrap/>
          </w:tcPr>
          <w:p w14:paraId="71100D57" w14:textId="77777777" w:rsidR="0099595B" w:rsidRPr="00626FCE" w:rsidRDefault="0099595B" w:rsidP="00626FCE">
            <w:pPr>
              <w:spacing w:before="120" w:after="120"/>
              <w:rPr>
                <w:sz w:val="16"/>
                <w:szCs w:val="16"/>
              </w:rPr>
            </w:pPr>
          </w:p>
        </w:tc>
        <w:tc>
          <w:tcPr>
            <w:tcW w:w="709" w:type="dxa"/>
            <w:gridSpan w:val="2"/>
            <w:shd w:val="clear" w:color="auto" w:fill="FFFFFF" w:themeFill="background1"/>
          </w:tcPr>
          <w:p w14:paraId="0FDCC3DC" w14:textId="77777777" w:rsidR="0099595B" w:rsidRPr="00626FCE" w:rsidRDefault="0099595B" w:rsidP="00626FCE">
            <w:pPr>
              <w:spacing w:before="120" w:after="120"/>
              <w:rPr>
                <w:sz w:val="16"/>
                <w:szCs w:val="16"/>
              </w:rPr>
            </w:pPr>
          </w:p>
        </w:tc>
        <w:tc>
          <w:tcPr>
            <w:tcW w:w="709" w:type="dxa"/>
            <w:shd w:val="clear" w:color="auto" w:fill="FFFFFF" w:themeFill="background1"/>
          </w:tcPr>
          <w:p w14:paraId="23528F23" w14:textId="77777777" w:rsidR="0099595B" w:rsidRPr="00626FCE" w:rsidRDefault="0099595B" w:rsidP="00626FCE">
            <w:pPr>
              <w:spacing w:before="120" w:after="120"/>
              <w:rPr>
                <w:sz w:val="16"/>
                <w:szCs w:val="16"/>
              </w:rPr>
            </w:pPr>
          </w:p>
        </w:tc>
        <w:tc>
          <w:tcPr>
            <w:tcW w:w="733" w:type="dxa"/>
            <w:shd w:val="clear" w:color="auto" w:fill="FFFFFF" w:themeFill="background1"/>
          </w:tcPr>
          <w:p w14:paraId="3149FEBE" w14:textId="77777777" w:rsidR="0099595B" w:rsidRPr="00626FCE" w:rsidRDefault="0099595B" w:rsidP="00626FCE">
            <w:pPr>
              <w:spacing w:before="120" w:after="120"/>
              <w:rPr>
                <w:sz w:val="16"/>
                <w:szCs w:val="16"/>
              </w:rPr>
            </w:pPr>
          </w:p>
        </w:tc>
        <w:tc>
          <w:tcPr>
            <w:tcW w:w="543" w:type="dxa"/>
            <w:shd w:val="clear" w:color="auto" w:fill="FFFFFF" w:themeFill="background1"/>
          </w:tcPr>
          <w:p w14:paraId="7EBE8E5E" w14:textId="77777777" w:rsidR="0099595B" w:rsidRPr="00626FCE" w:rsidRDefault="0099595B" w:rsidP="00626FCE">
            <w:pPr>
              <w:spacing w:before="120" w:after="120"/>
              <w:rPr>
                <w:sz w:val="16"/>
                <w:szCs w:val="16"/>
              </w:rPr>
            </w:pPr>
          </w:p>
        </w:tc>
        <w:tc>
          <w:tcPr>
            <w:tcW w:w="567" w:type="dxa"/>
            <w:shd w:val="clear" w:color="auto" w:fill="FFFFFF" w:themeFill="background1"/>
          </w:tcPr>
          <w:p w14:paraId="6F68BA0F" w14:textId="77777777" w:rsidR="0099595B" w:rsidRPr="00626FCE" w:rsidRDefault="0099595B" w:rsidP="00626FCE">
            <w:pPr>
              <w:spacing w:before="120" w:after="120"/>
              <w:rPr>
                <w:sz w:val="16"/>
                <w:szCs w:val="16"/>
              </w:rPr>
            </w:pPr>
          </w:p>
        </w:tc>
        <w:tc>
          <w:tcPr>
            <w:tcW w:w="567" w:type="dxa"/>
          </w:tcPr>
          <w:p w14:paraId="1FB6D2DA" w14:textId="77777777" w:rsidR="0099595B" w:rsidRPr="00626FCE" w:rsidRDefault="0099595B" w:rsidP="00626FCE">
            <w:pPr>
              <w:spacing w:before="120" w:after="120"/>
              <w:rPr>
                <w:sz w:val="16"/>
                <w:szCs w:val="16"/>
              </w:rPr>
            </w:pPr>
          </w:p>
        </w:tc>
        <w:tc>
          <w:tcPr>
            <w:tcW w:w="680" w:type="dxa"/>
            <w:shd w:val="clear" w:color="auto" w:fill="C4BC96" w:themeFill="background2" w:themeFillShade="BF"/>
          </w:tcPr>
          <w:p w14:paraId="43C3C358" w14:textId="77777777" w:rsidR="0099595B" w:rsidRPr="00626FCE" w:rsidRDefault="0099595B" w:rsidP="00626FCE">
            <w:pPr>
              <w:spacing w:before="120" w:after="120"/>
              <w:rPr>
                <w:sz w:val="16"/>
                <w:szCs w:val="16"/>
              </w:rPr>
            </w:pPr>
          </w:p>
        </w:tc>
        <w:tc>
          <w:tcPr>
            <w:tcW w:w="692" w:type="dxa"/>
            <w:shd w:val="clear" w:color="auto" w:fill="C4BC96" w:themeFill="background2" w:themeFillShade="BF"/>
          </w:tcPr>
          <w:p w14:paraId="4829F21E" w14:textId="77777777" w:rsidR="0099595B" w:rsidRPr="00626FCE" w:rsidRDefault="0099595B" w:rsidP="00626FCE">
            <w:pPr>
              <w:spacing w:before="120" w:after="120"/>
              <w:rPr>
                <w:sz w:val="16"/>
                <w:szCs w:val="16"/>
              </w:rPr>
            </w:pPr>
          </w:p>
        </w:tc>
        <w:tc>
          <w:tcPr>
            <w:tcW w:w="754" w:type="dxa"/>
            <w:shd w:val="clear" w:color="auto" w:fill="C4BC96" w:themeFill="background2" w:themeFillShade="BF"/>
          </w:tcPr>
          <w:p w14:paraId="0C3A3900" w14:textId="77777777" w:rsidR="0099595B" w:rsidRPr="00626FCE" w:rsidRDefault="0099595B" w:rsidP="00626FCE">
            <w:pPr>
              <w:spacing w:before="120" w:after="120"/>
              <w:rPr>
                <w:sz w:val="16"/>
                <w:szCs w:val="16"/>
              </w:rPr>
            </w:pPr>
          </w:p>
        </w:tc>
        <w:tc>
          <w:tcPr>
            <w:tcW w:w="709" w:type="dxa"/>
            <w:shd w:val="clear" w:color="auto" w:fill="FFFFFF" w:themeFill="background1"/>
          </w:tcPr>
          <w:p w14:paraId="30A96F25" w14:textId="77777777" w:rsidR="0099595B" w:rsidRPr="00626FCE" w:rsidRDefault="0099595B" w:rsidP="00626FCE">
            <w:pPr>
              <w:spacing w:before="120" w:after="120"/>
              <w:rPr>
                <w:sz w:val="16"/>
                <w:szCs w:val="16"/>
              </w:rPr>
            </w:pPr>
          </w:p>
        </w:tc>
        <w:tc>
          <w:tcPr>
            <w:tcW w:w="567" w:type="dxa"/>
            <w:shd w:val="clear" w:color="auto" w:fill="FFFFFF" w:themeFill="background1"/>
          </w:tcPr>
          <w:p w14:paraId="6F19B67B" w14:textId="77777777" w:rsidR="0099595B" w:rsidRPr="00626FCE" w:rsidRDefault="0099595B" w:rsidP="00626FCE">
            <w:pPr>
              <w:spacing w:before="120" w:after="120"/>
              <w:rPr>
                <w:sz w:val="16"/>
                <w:szCs w:val="16"/>
              </w:rPr>
            </w:pPr>
          </w:p>
        </w:tc>
        <w:tc>
          <w:tcPr>
            <w:tcW w:w="708" w:type="dxa"/>
            <w:shd w:val="clear" w:color="auto" w:fill="FFFFFF" w:themeFill="background1"/>
          </w:tcPr>
          <w:p w14:paraId="487A76EF" w14:textId="77777777" w:rsidR="0099595B" w:rsidRPr="00626FCE" w:rsidRDefault="0099595B" w:rsidP="00626FCE">
            <w:pPr>
              <w:spacing w:before="120" w:after="120"/>
              <w:rPr>
                <w:sz w:val="16"/>
                <w:szCs w:val="16"/>
              </w:rPr>
            </w:pPr>
          </w:p>
        </w:tc>
        <w:tc>
          <w:tcPr>
            <w:tcW w:w="709" w:type="dxa"/>
            <w:shd w:val="clear" w:color="auto" w:fill="FFFFFF" w:themeFill="background1"/>
          </w:tcPr>
          <w:p w14:paraId="1D31782E" w14:textId="77777777" w:rsidR="0099595B" w:rsidRPr="00626FCE" w:rsidRDefault="0099595B" w:rsidP="00626FCE">
            <w:pPr>
              <w:spacing w:before="120" w:after="120"/>
              <w:rPr>
                <w:sz w:val="16"/>
                <w:szCs w:val="16"/>
              </w:rPr>
            </w:pPr>
          </w:p>
        </w:tc>
        <w:tc>
          <w:tcPr>
            <w:tcW w:w="709" w:type="dxa"/>
            <w:shd w:val="clear" w:color="auto" w:fill="FFFFFF" w:themeFill="background1"/>
          </w:tcPr>
          <w:p w14:paraId="0DDC4FE2" w14:textId="77777777" w:rsidR="0099595B" w:rsidRPr="00626FCE" w:rsidRDefault="0099595B" w:rsidP="00626FCE">
            <w:pPr>
              <w:spacing w:before="120" w:after="120"/>
              <w:rPr>
                <w:sz w:val="16"/>
                <w:szCs w:val="16"/>
              </w:rPr>
            </w:pPr>
          </w:p>
        </w:tc>
        <w:tc>
          <w:tcPr>
            <w:tcW w:w="709" w:type="dxa"/>
            <w:shd w:val="clear" w:color="auto" w:fill="FFFFFF" w:themeFill="background1"/>
          </w:tcPr>
          <w:p w14:paraId="57F15C67" w14:textId="77777777" w:rsidR="0099595B" w:rsidRPr="00626FCE" w:rsidRDefault="0099595B" w:rsidP="00626FCE">
            <w:pPr>
              <w:spacing w:before="120" w:after="120"/>
              <w:rPr>
                <w:sz w:val="16"/>
                <w:szCs w:val="16"/>
              </w:rPr>
            </w:pPr>
          </w:p>
        </w:tc>
      </w:tr>
      <w:tr w:rsidR="0099595B" w:rsidRPr="00626FCE" w14:paraId="6BFF9FA3" w14:textId="77777777" w:rsidTr="0099595B">
        <w:trPr>
          <w:trHeight w:val="348"/>
        </w:trPr>
        <w:tc>
          <w:tcPr>
            <w:tcW w:w="1864" w:type="dxa"/>
            <w:shd w:val="clear" w:color="auto" w:fill="D9D9D9" w:themeFill="background1" w:themeFillShade="D9"/>
          </w:tcPr>
          <w:p w14:paraId="5E595610" w14:textId="77777777" w:rsidR="0099595B" w:rsidRPr="00626FCE" w:rsidRDefault="0099595B" w:rsidP="00626FCE">
            <w:pPr>
              <w:spacing w:before="120" w:after="120"/>
              <w:rPr>
                <w:b/>
                <w:sz w:val="18"/>
                <w:szCs w:val="16"/>
              </w:rPr>
            </w:pPr>
          </w:p>
        </w:tc>
        <w:tc>
          <w:tcPr>
            <w:tcW w:w="706" w:type="dxa"/>
            <w:shd w:val="clear" w:color="auto" w:fill="FFFFFF" w:themeFill="background1"/>
            <w:noWrap/>
          </w:tcPr>
          <w:p w14:paraId="24478E5D" w14:textId="77777777" w:rsidR="0099595B" w:rsidRPr="00626FCE" w:rsidRDefault="0099595B" w:rsidP="00626FCE">
            <w:pPr>
              <w:spacing w:before="120" w:after="120"/>
              <w:rPr>
                <w:sz w:val="16"/>
                <w:szCs w:val="16"/>
              </w:rPr>
            </w:pPr>
          </w:p>
        </w:tc>
        <w:tc>
          <w:tcPr>
            <w:tcW w:w="709" w:type="dxa"/>
            <w:gridSpan w:val="2"/>
            <w:shd w:val="clear" w:color="auto" w:fill="FFFFFF" w:themeFill="background1"/>
          </w:tcPr>
          <w:p w14:paraId="682D447F" w14:textId="77777777" w:rsidR="0099595B" w:rsidRPr="00626FCE" w:rsidRDefault="0099595B" w:rsidP="00626FCE">
            <w:pPr>
              <w:spacing w:before="120" w:after="120"/>
              <w:rPr>
                <w:sz w:val="16"/>
                <w:szCs w:val="16"/>
              </w:rPr>
            </w:pPr>
          </w:p>
        </w:tc>
        <w:tc>
          <w:tcPr>
            <w:tcW w:w="709" w:type="dxa"/>
            <w:shd w:val="clear" w:color="auto" w:fill="FFFFFF" w:themeFill="background1"/>
          </w:tcPr>
          <w:p w14:paraId="2BA9BD9D" w14:textId="77777777" w:rsidR="0099595B" w:rsidRPr="00626FCE" w:rsidRDefault="0099595B" w:rsidP="00626FCE">
            <w:pPr>
              <w:spacing w:before="120" w:after="120"/>
              <w:rPr>
                <w:sz w:val="16"/>
                <w:szCs w:val="16"/>
              </w:rPr>
            </w:pPr>
          </w:p>
        </w:tc>
        <w:tc>
          <w:tcPr>
            <w:tcW w:w="733" w:type="dxa"/>
            <w:shd w:val="clear" w:color="auto" w:fill="FFFFFF" w:themeFill="background1"/>
          </w:tcPr>
          <w:p w14:paraId="29DC0515" w14:textId="77777777" w:rsidR="0099595B" w:rsidRPr="00626FCE" w:rsidRDefault="0099595B" w:rsidP="00626FCE">
            <w:pPr>
              <w:spacing w:before="120" w:after="120"/>
              <w:rPr>
                <w:sz w:val="16"/>
                <w:szCs w:val="16"/>
              </w:rPr>
            </w:pPr>
          </w:p>
        </w:tc>
        <w:tc>
          <w:tcPr>
            <w:tcW w:w="543" w:type="dxa"/>
            <w:shd w:val="clear" w:color="auto" w:fill="FFFFFF" w:themeFill="background1"/>
          </w:tcPr>
          <w:p w14:paraId="78BBB052" w14:textId="77777777" w:rsidR="0099595B" w:rsidRPr="00626FCE" w:rsidRDefault="0099595B" w:rsidP="00626FCE">
            <w:pPr>
              <w:spacing w:before="120" w:after="120"/>
              <w:rPr>
                <w:sz w:val="16"/>
                <w:szCs w:val="16"/>
              </w:rPr>
            </w:pPr>
          </w:p>
        </w:tc>
        <w:tc>
          <w:tcPr>
            <w:tcW w:w="567" w:type="dxa"/>
            <w:shd w:val="clear" w:color="auto" w:fill="FFFFFF" w:themeFill="background1"/>
          </w:tcPr>
          <w:p w14:paraId="536834BF" w14:textId="77777777" w:rsidR="0099595B" w:rsidRPr="00626FCE" w:rsidRDefault="0099595B" w:rsidP="00626FCE">
            <w:pPr>
              <w:spacing w:before="120" w:after="120"/>
              <w:rPr>
                <w:sz w:val="16"/>
                <w:szCs w:val="16"/>
              </w:rPr>
            </w:pPr>
          </w:p>
        </w:tc>
        <w:tc>
          <w:tcPr>
            <w:tcW w:w="567" w:type="dxa"/>
          </w:tcPr>
          <w:p w14:paraId="5FBC6012" w14:textId="77777777" w:rsidR="0099595B" w:rsidRPr="00626FCE" w:rsidRDefault="0099595B" w:rsidP="00626FCE">
            <w:pPr>
              <w:spacing w:before="120" w:after="120"/>
              <w:rPr>
                <w:sz w:val="16"/>
                <w:szCs w:val="16"/>
              </w:rPr>
            </w:pPr>
          </w:p>
        </w:tc>
        <w:tc>
          <w:tcPr>
            <w:tcW w:w="680" w:type="dxa"/>
          </w:tcPr>
          <w:p w14:paraId="58BE86D4" w14:textId="77777777" w:rsidR="0099595B" w:rsidRPr="00626FCE" w:rsidRDefault="0099595B" w:rsidP="00626FCE">
            <w:pPr>
              <w:spacing w:before="120" w:after="120"/>
              <w:rPr>
                <w:sz w:val="16"/>
                <w:szCs w:val="16"/>
              </w:rPr>
            </w:pPr>
          </w:p>
        </w:tc>
        <w:tc>
          <w:tcPr>
            <w:tcW w:w="692" w:type="dxa"/>
          </w:tcPr>
          <w:p w14:paraId="20474943" w14:textId="77777777" w:rsidR="0099595B" w:rsidRPr="00626FCE" w:rsidRDefault="0099595B" w:rsidP="00626FCE">
            <w:pPr>
              <w:spacing w:before="120" w:after="120"/>
              <w:rPr>
                <w:sz w:val="16"/>
                <w:szCs w:val="16"/>
              </w:rPr>
            </w:pPr>
          </w:p>
        </w:tc>
        <w:tc>
          <w:tcPr>
            <w:tcW w:w="754" w:type="dxa"/>
            <w:shd w:val="clear" w:color="auto" w:fill="FFFFFF" w:themeFill="background1"/>
          </w:tcPr>
          <w:p w14:paraId="69D24570" w14:textId="77777777" w:rsidR="0099595B" w:rsidRPr="00626FCE" w:rsidRDefault="0099595B" w:rsidP="00626FCE">
            <w:pPr>
              <w:spacing w:before="120" w:after="120"/>
              <w:rPr>
                <w:sz w:val="16"/>
                <w:szCs w:val="16"/>
              </w:rPr>
            </w:pPr>
          </w:p>
        </w:tc>
        <w:tc>
          <w:tcPr>
            <w:tcW w:w="709" w:type="dxa"/>
            <w:shd w:val="clear" w:color="auto" w:fill="FFFFFF" w:themeFill="background1"/>
          </w:tcPr>
          <w:p w14:paraId="42BEB912" w14:textId="77777777" w:rsidR="0099595B" w:rsidRPr="00626FCE" w:rsidRDefault="0099595B" w:rsidP="00626FCE">
            <w:pPr>
              <w:spacing w:before="120" w:after="120"/>
              <w:rPr>
                <w:sz w:val="16"/>
                <w:szCs w:val="16"/>
              </w:rPr>
            </w:pPr>
          </w:p>
        </w:tc>
        <w:tc>
          <w:tcPr>
            <w:tcW w:w="567" w:type="dxa"/>
            <w:shd w:val="clear" w:color="auto" w:fill="FFFFFF" w:themeFill="background1"/>
          </w:tcPr>
          <w:p w14:paraId="29CECA25" w14:textId="77777777" w:rsidR="0099595B" w:rsidRPr="00626FCE" w:rsidRDefault="0099595B" w:rsidP="00626FCE">
            <w:pPr>
              <w:spacing w:before="120" w:after="120"/>
              <w:rPr>
                <w:sz w:val="16"/>
                <w:szCs w:val="16"/>
              </w:rPr>
            </w:pPr>
          </w:p>
        </w:tc>
        <w:tc>
          <w:tcPr>
            <w:tcW w:w="708" w:type="dxa"/>
            <w:shd w:val="clear" w:color="auto" w:fill="FFFFFF" w:themeFill="background1"/>
          </w:tcPr>
          <w:p w14:paraId="7D2DC8C7" w14:textId="77777777" w:rsidR="0099595B" w:rsidRPr="00626FCE" w:rsidRDefault="0099595B" w:rsidP="00626FCE">
            <w:pPr>
              <w:spacing w:before="120" w:after="120"/>
              <w:rPr>
                <w:sz w:val="16"/>
                <w:szCs w:val="16"/>
              </w:rPr>
            </w:pPr>
          </w:p>
        </w:tc>
        <w:tc>
          <w:tcPr>
            <w:tcW w:w="709" w:type="dxa"/>
            <w:shd w:val="clear" w:color="auto" w:fill="FFFFFF" w:themeFill="background1"/>
          </w:tcPr>
          <w:p w14:paraId="607C643D" w14:textId="77777777" w:rsidR="0099595B" w:rsidRPr="00626FCE" w:rsidRDefault="0099595B" w:rsidP="00626FCE">
            <w:pPr>
              <w:spacing w:before="120" w:after="120"/>
              <w:rPr>
                <w:sz w:val="16"/>
                <w:szCs w:val="16"/>
              </w:rPr>
            </w:pPr>
          </w:p>
        </w:tc>
        <w:tc>
          <w:tcPr>
            <w:tcW w:w="709" w:type="dxa"/>
            <w:shd w:val="clear" w:color="auto" w:fill="FFFFFF" w:themeFill="background1"/>
          </w:tcPr>
          <w:p w14:paraId="1F1E725F" w14:textId="77777777" w:rsidR="0099595B" w:rsidRPr="00626FCE" w:rsidRDefault="0099595B" w:rsidP="00626FCE">
            <w:pPr>
              <w:spacing w:before="120" w:after="120"/>
              <w:rPr>
                <w:sz w:val="16"/>
                <w:szCs w:val="16"/>
              </w:rPr>
            </w:pPr>
          </w:p>
        </w:tc>
        <w:tc>
          <w:tcPr>
            <w:tcW w:w="709" w:type="dxa"/>
            <w:shd w:val="clear" w:color="auto" w:fill="FFFFFF" w:themeFill="background1"/>
          </w:tcPr>
          <w:p w14:paraId="6E1663CD" w14:textId="77777777" w:rsidR="0099595B" w:rsidRPr="00626FCE" w:rsidRDefault="0099595B" w:rsidP="00626FCE">
            <w:pPr>
              <w:spacing w:before="120" w:after="120"/>
              <w:rPr>
                <w:sz w:val="16"/>
                <w:szCs w:val="16"/>
              </w:rPr>
            </w:pPr>
          </w:p>
        </w:tc>
      </w:tr>
      <w:tr w:rsidR="0099595B" w:rsidRPr="00626FCE" w14:paraId="2991805D" w14:textId="77777777" w:rsidTr="00E52108">
        <w:trPr>
          <w:trHeight w:val="348"/>
        </w:trPr>
        <w:tc>
          <w:tcPr>
            <w:tcW w:w="1864" w:type="dxa"/>
            <w:shd w:val="clear" w:color="auto" w:fill="D9D9D9" w:themeFill="background1" w:themeFillShade="D9"/>
          </w:tcPr>
          <w:p w14:paraId="13944713" w14:textId="2AADA35D" w:rsidR="0099595B" w:rsidRPr="00E52108" w:rsidRDefault="00E52108" w:rsidP="00626FCE">
            <w:pPr>
              <w:spacing w:before="120" w:after="120"/>
              <w:rPr>
                <w:b/>
                <w:sz w:val="18"/>
                <w:szCs w:val="16"/>
                <w:lang w:val="en-US"/>
              </w:rPr>
            </w:pPr>
            <w:r w:rsidRPr="00E52108">
              <w:rPr>
                <w:b/>
                <w:sz w:val="18"/>
                <w:szCs w:val="16"/>
                <w:lang w:val="en-US"/>
              </w:rPr>
              <w:t>T 4.3 - Procurement of implementation of renovations</w:t>
            </w:r>
          </w:p>
        </w:tc>
        <w:tc>
          <w:tcPr>
            <w:tcW w:w="706" w:type="dxa"/>
            <w:shd w:val="clear" w:color="auto" w:fill="FFFFFF" w:themeFill="background1"/>
            <w:noWrap/>
          </w:tcPr>
          <w:p w14:paraId="3A774E76" w14:textId="77777777" w:rsidR="0099595B" w:rsidRPr="00626FCE" w:rsidRDefault="0099595B" w:rsidP="00626FCE">
            <w:pPr>
              <w:spacing w:before="120" w:after="120"/>
              <w:rPr>
                <w:sz w:val="16"/>
                <w:szCs w:val="16"/>
              </w:rPr>
            </w:pPr>
          </w:p>
        </w:tc>
        <w:tc>
          <w:tcPr>
            <w:tcW w:w="709" w:type="dxa"/>
            <w:gridSpan w:val="2"/>
            <w:shd w:val="clear" w:color="auto" w:fill="FFFFFF" w:themeFill="background1"/>
          </w:tcPr>
          <w:p w14:paraId="0E09E54E" w14:textId="77777777" w:rsidR="0099595B" w:rsidRPr="00626FCE" w:rsidRDefault="0099595B" w:rsidP="00626FCE">
            <w:pPr>
              <w:spacing w:before="120" w:after="120"/>
              <w:rPr>
                <w:sz w:val="16"/>
                <w:szCs w:val="16"/>
              </w:rPr>
            </w:pPr>
          </w:p>
        </w:tc>
        <w:tc>
          <w:tcPr>
            <w:tcW w:w="709" w:type="dxa"/>
            <w:shd w:val="clear" w:color="auto" w:fill="FFFFFF" w:themeFill="background1"/>
          </w:tcPr>
          <w:p w14:paraId="2CAE8C0C" w14:textId="77777777" w:rsidR="0099595B" w:rsidRPr="00626FCE" w:rsidRDefault="0099595B" w:rsidP="00626FCE">
            <w:pPr>
              <w:spacing w:before="120" w:after="120"/>
              <w:rPr>
                <w:sz w:val="16"/>
                <w:szCs w:val="16"/>
              </w:rPr>
            </w:pPr>
          </w:p>
        </w:tc>
        <w:tc>
          <w:tcPr>
            <w:tcW w:w="733" w:type="dxa"/>
            <w:shd w:val="clear" w:color="auto" w:fill="FFFFFF" w:themeFill="background1"/>
          </w:tcPr>
          <w:p w14:paraId="3F3F705E" w14:textId="77777777" w:rsidR="0099595B" w:rsidRPr="00626FCE" w:rsidRDefault="0099595B" w:rsidP="00626FCE">
            <w:pPr>
              <w:spacing w:before="120" w:after="120"/>
              <w:rPr>
                <w:sz w:val="16"/>
                <w:szCs w:val="16"/>
              </w:rPr>
            </w:pPr>
          </w:p>
        </w:tc>
        <w:tc>
          <w:tcPr>
            <w:tcW w:w="543" w:type="dxa"/>
            <w:shd w:val="clear" w:color="auto" w:fill="FFFFFF" w:themeFill="background1"/>
          </w:tcPr>
          <w:p w14:paraId="7FC68EFA" w14:textId="77777777" w:rsidR="0099595B" w:rsidRPr="00626FCE" w:rsidRDefault="0099595B" w:rsidP="00626FCE">
            <w:pPr>
              <w:spacing w:before="120" w:after="120"/>
              <w:rPr>
                <w:sz w:val="16"/>
                <w:szCs w:val="16"/>
              </w:rPr>
            </w:pPr>
          </w:p>
        </w:tc>
        <w:tc>
          <w:tcPr>
            <w:tcW w:w="567" w:type="dxa"/>
            <w:shd w:val="clear" w:color="auto" w:fill="FFFFFF" w:themeFill="background1"/>
          </w:tcPr>
          <w:p w14:paraId="7F67FBEF" w14:textId="77777777" w:rsidR="0099595B" w:rsidRPr="00626FCE" w:rsidRDefault="0099595B" w:rsidP="00626FCE">
            <w:pPr>
              <w:spacing w:before="120" w:after="120"/>
              <w:rPr>
                <w:sz w:val="16"/>
                <w:szCs w:val="16"/>
              </w:rPr>
            </w:pPr>
          </w:p>
        </w:tc>
        <w:tc>
          <w:tcPr>
            <w:tcW w:w="567" w:type="dxa"/>
          </w:tcPr>
          <w:p w14:paraId="53390E69" w14:textId="77777777" w:rsidR="0099595B" w:rsidRPr="00626FCE" w:rsidRDefault="0099595B" w:rsidP="00626FCE">
            <w:pPr>
              <w:spacing w:before="120" w:after="120"/>
              <w:rPr>
                <w:sz w:val="16"/>
                <w:szCs w:val="16"/>
              </w:rPr>
            </w:pPr>
          </w:p>
        </w:tc>
        <w:tc>
          <w:tcPr>
            <w:tcW w:w="680" w:type="dxa"/>
          </w:tcPr>
          <w:p w14:paraId="4EEAC575" w14:textId="77777777" w:rsidR="0099595B" w:rsidRPr="00626FCE" w:rsidRDefault="0099595B" w:rsidP="00626FCE">
            <w:pPr>
              <w:spacing w:before="120" w:after="120"/>
              <w:rPr>
                <w:sz w:val="16"/>
                <w:szCs w:val="16"/>
              </w:rPr>
            </w:pPr>
          </w:p>
        </w:tc>
        <w:tc>
          <w:tcPr>
            <w:tcW w:w="692" w:type="dxa"/>
          </w:tcPr>
          <w:p w14:paraId="1FA60840" w14:textId="77777777" w:rsidR="0099595B" w:rsidRPr="00626FCE" w:rsidRDefault="0099595B" w:rsidP="00626FCE">
            <w:pPr>
              <w:spacing w:before="120" w:after="120"/>
              <w:rPr>
                <w:sz w:val="16"/>
                <w:szCs w:val="16"/>
              </w:rPr>
            </w:pPr>
          </w:p>
        </w:tc>
        <w:tc>
          <w:tcPr>
            <w:tcW w:w="754" w:type="dxa"/>
            <w:shd w:val="clear" w:color="auto" w:fill="C4BC96" w:themeFill="background2" w:themeFillShade="BF"/>
          </w:tcPr>
          <w:p w14:paraId="3F97448F" w14:textId="77777777" w:rsidR="0099595B" w:rsidRPr="00626FCE" w:rsidRDefault="0099595B" w:rsidP="00626FCE">
            <w:pPr>
              <w:spacing w:before="120" w:after="120"/>
              <w:rPr>
                <w:sz w:val="16"/>
                <w:szCs w:val="16"/>
              </w:rPr>
            </w:pPr>
          </w:p>
        </w:tc>
        <w:tc>
          <w:tcPr>
            <w:tcW w:w="709" w:type="dxa"/>
            <w:shd w:val="clear" w:color="auto" w:fill="C4BC96" w:themeFill="background2" w:themeFillShade="BF"/>
          </w:tcPr>
          <w:p w14:paraId="292DFC77" w14:textId="77777777" w:rsidR="0099595B" w:rsidRPr="00626FCE" w:rsidRDefault="0099595B" w:rsidP="00626FCE">
            <w:pPr>
              <w:spacing w:before="120" w:after="120"/>
              <w:rPr>
                <w:sz w:val="16"/>
                <w:szCs w:val="16"/>
              </w:rPr>
            </w:pPr>
          </w:p>
        </w:tc>
        <w:tc>
          <w:tcPr>
            <w:tcW w:w="567" w:type="dxa"/>
            <w:shd w:val="clear" w:color="auto" w:fill="C4BC96" w:themeFill="background2" w:themeFillShade="BF"/>
          </w:tcPr>
          <w:p w14:paraId="643B24E4" w14:textId="77777777" w:rsidR="0099595B" w:rsidRPr="00626FCE" w:rsidRDefault="0099595B" w:rsidP="00626FCE">
            <w:pPr>
              <w:spacing w:before="120" w:after="120"/>
              <w:rPr>
                <w:sz w:val="16"/>
                <w:szCs w:val="16"/>
              </w:rPr>
            </w:pPr>
          </w:p>
        </w:tc>
        <w:tc>
          <w:tcPr>
            <w:tcW w:w="708" w:type="dxa"/>
            <w:shd w:val="clear" w:color="auto" w:fill="C4BC96" w:themeFill="background2" w:themeFillShade="BF"/>
          </w:tcPr>
          <w:p w14:paraId="4C03197E" w14:textId="77777777" w:rsidR="0099595B" w:rsidRPr="00626FCE" w:rsidRDefault="0099595B" w:rsidP="00626FCE">
            <w:pPr>
              <w:spacing w:before="120" w:after="120"/>
              <w:rPr>
                <w:sz w:val="16"/>
                <w:szCs w:val="16"/>
              </w:rPr>
            </w:pPr>
          </w:p>
        </w:tc>
        <w:tc>
          <w:tcPr>
            <w:tcW w:w="709" w:type="dxa"/>
            <w:shd w:val="clear" w:color="auto" w:fill="FFFFFF" w:themeFill="background1"/>
          </w:tcPr>
          <w:p w14:paraId="2DF5C85F" w14:textId="77777777" w:rsidR="0099595B" w:rsidRPr="00626FCE" w:rsidRDefault="0099595B" w:rsidP="00626FCE">
            <w:pPr>
              <w:spacing w:before="120" w:after="120"/>
              <w:rPr>
                <w:sz w:val="16"/>
                <w:szCs w:val="16"/>
              </w:rPr>
            </w:pPr>
          </w:p>
        </w:tc>
        <w:tc>
          <w:tcPr>
            <w:tcW w:w="709" w:type="dxa"/>
            <w:shd w:val="clear" w:color="auto" w:fill="FFFFFF" w:themeFill="background1"/>
          </w:tcPr>
          <w:p w14:paraId="4914B6EF" w14:textId="77777777" w:rsidR="0099595B" w:rsidRPr="00626FCE" w:rsidRDefault="0099595B" w:rsidP="00626FCE">
            <w:pPr>
              <w:spacing w:before="120" w:after="120"/>
              <w:rPr>
                <w:sz w:val="16"/>
                <w:szCs w:val="16"/>
              </w:rPr>
            </w:pPr>
          </w:p>
        </w:tc>
        <w:tc>
          <w:tcPr>
            <w:tcW w:w="709" w:type="dxa"/>
            <w:shd w:val="clear" w:color="auto" w:fill="FFFFFF" w:themeFill="background1"/>
          </w:tcPr>
          <w:p w14:paraId="3ABAC12C" w14:textId="77777777" w:rsidR="0099595B" w:rsidRPr="00626FCE" w:rsidRDefault="0099595B" w:rsidP="00626FCE">
            <w:pPr>
              <w:spacing w:before="120" w:after="120"/>
              <w:rPr>
                <w:sz w:val="16"/>
                <w:szCs w:val="16"/>
              </w:rPr>
            </w:pPr>
          </w:p>
        </w:tc>
      </w:tr>
      <w:tr w:rsidR="0099595B" w:rsidRPr="00626FCE" w14:paraId="7167FBAA" w14:textId="77777777" w:rsidTr="0099595B">
        <w:trPr>
          <w:trHeight w:val="348"/>
        </w:trPr>
        <w:tc>
          <w:tcPr>
            <w:tcW w:w="1864" w:type="dxa"/>
            <w:shd w:val="clear" w:color="auto" w:fill="D9D9D9" w:themeFill="background1" w:themeFillShade="D9"/>
          </w:tcPr>
          <w:p w14:paraId="458F962D" w14:textId="77777777" w:rsidR="0099595B" w:rsidRPr="00626FCE" w:rsidRDefault="0099595B" w:rsidP="00626FCE">
            <w:pPr>
              <w:spacing w:before="120" w:after="120"/>
              <w:rPr>
                <w:b/>
                <w:sz w:val="18"/>
                <w:szCs w:val="16"/>
              </w:rPr>
            </w:pPr>
          </w:p>
        </w:tc>
        <w:tc>
          <w:tcPr>
            <w:tcW w:w="706" w:type="dxa"/>
            <w:shd w:val="clear" w:color="auto" w:fill="FFFFFF" w:themeFill="background1"/>
            <w:noWrap/>
          </w:tcPr>
          <w:p w14:paraId="308108C7" w14:textId="77777777" w:rsidR="0099595B" w:rsidRPr="00626FCE" w:rsidRDefault="0099595B" w:rsidP="00626FCE">
            <w:pPr>
              <w:spacing w:before="120" w:after="120"/>
              <w:rPr>
                <w:sz w:val="16"/>
                <w:szCs w:val="16"/>
              </w:rPr>
            </w:pPr>
          </w:p>
        </w:tc>
        <w:tc>
          <w:tcPr>
            <w:tcW w:w="709" w:type="dxa"/>
            <w:gridSpan w:val="2"/>
            <w:shd w:val="clear" w:color="auto" w:fill="FFFFFF" w:themeFill="background1"/>
          </w:tcPr>
          <w:p w14:paraId="613A7842" w14:textId="77777777" w:rsidR="0099595B" w:rsidRPr="00626FCE" w:rsidRDefault="0099595B" w:rsidP="00626FCE">
            <w:pPr>
              <w:spacing w:before="120" w:after="120"/>
              <w:rPr>
                <w:sz w:val="16"/>
                <w:szCs w:val="16"/>
              </w:rPr>
            </w:pPr>
          </w:p>
        </w:tc>
        <w:tc>
          <w:tcPr>
            <w:tcW w:w="709" w:type="dxa"/>
            <w:shd w:val="clear" w:color="auto" w:fill="FFFFFF" w:themeFill="background1"/>
          </w:tcPr>
          <w:p w14:paraId="1B245E23" w14:textId="77777777" w:rsidR="0099595B" w:rsidRPr="00626FCE" w:rsidRDefault="0099595B" w:rsidP="00626FCE">
            <w:pPr>
              <w:spacing w:before="120" w:after="120"/>
              <w:rPr>
                <w:sz w:val="16"/>
                <w:szCs w:val="16"/>
              </w:rPr>
            </w:pPr>
          </w:p>
        </w:tc>
        <w:tc>
          <w:tcPr>
            <w:tcW w:w="733" w:type="dxa"/>
            <w:shd w:val="clear" w:color="auto" w:fill="FFFFFF" w:themeFill="background1"/>
          </w:tcPr>
          <w:p w14:paraId="5D3C163E" w14:textId="77777777" w:rsidR="0099595B" w:rsidRPr="00626FCE" w:rsidRDefault="0099595B" w:rsidP="00626FCE">
            <w:pPr>
              <w:spacing w:before="120" w:after="120"/>
              <w:rPr>
                <w:sz w:val="16"/>
                <w:szCs w:val="16"/>
              </w:rPr>
            </w:pPr>
          </w:p>
        </w:tc>
        <w:tc>
          <w:tcPr>
            <w:tcW w:w="543" w:type="dxa"/>
            <w:shd w:val="clear" w:color="auto" w:fill="FFFFFF" w:themeFill="background1"/>
          </w:tcPr>
          <w:p w14:paraId="652E24D5" w14:textId="77777777" w:rsidR="0099595B" w:rsidRPr="00626FCE" w:rsidRDefault="0099595B" w:rsidP="00626FCE">
            <w:pPr>
              <w:spacing w:before="120" w:after="120"/>
              <w:rPr>
                <w:sz w:val="16"/>
                <w:szCs w:val="16"/>
              </w:rPr>
            </w:pPr>
          </w:p>
        </w:tc>
        <w:tc>
          <w:tcPr>
            <w:tcW w:w="567" w:type="dxa"/>
            <w:shd w:val="clear" w:color="auto" w:fill="FFFFFF" w:themeFill="background1"/>
          </w:tcPr>
          <w:p w14:paraId="3647F731" w14:textId="77777777" w:rsidR="0099595B" w:rsidRPr="00626FCE" w:rsidRDefault="0099595B" w:rsidP="00626FCE">
            <w:pPr>
              <w:spacing w:before="120" w:after="120"/>
              <w:rPr>
                <w:sz w:val="16"/>
                <w:szCs w:val="16"/>
              </w:rPr>
            </w:pPr>
          </w:p>
        </w:tc>
        <w:tc>
          <w:tcPr>
            <w:tcW w:w="567" w:type="dxa"/>
          </w:tcPr>
          <w:p w14:paraId="01E2D74A" w14:textId="77777777" w:rsidR="0099595B" w:rsidRPr="00626FCE" w:rsidRDefault="0099595B" w:rsidP="00626FCE">
            <w:pPr>
              <w:spacing w:before="120" w:after="120"/>
              <w:rPr>
                <w:sz w:val="16"/>
                <w:szCs w:val="16"/>
              </w:rPr>
            </w:pPr>
          </w:p>
        </w:tc>
        <w:tc>
          <w:tcPr>
            <w:tcW w:w="680" w:type="dxa"/>
          </w:tcPr>
          <w:p w14:paraId="7669E61B" w14:textId="77777777" w:rsidR="0099595B" w:rsidRPr="00626FCE" w:rsidRDefault="0099595B" w:rsidP="00626FCE">
            <w:pPr>
              <w:spacing w:before="120" w:after="120"/>
              <w:rPr>
                <w:sz w:val="16"/>
                <w:szCs w:val="16"/>
              </w:rPr>
            </w:pPr>
          </w:p>
        </w:tc>
        <w:tc>
          <w:tcPr>
            <w:tcW w:w="692" w:type="dxa"/>
          </w:tcPr>
          <w:p w14:paraId="57AD8ACD" w14:textId="77777777" w:rsidR="0099595B" w:rsidRPr="00626FCE" w:rsidRDefault="0099595B" w:rsidP="00626FCE">
            <w:pPr>
              <w:spacing w:before="120" w:after="120"/>
              <w:rPr>
                <w:sz w:val="16"/>
                <w:szCs w:val="16"/>
              </w:rPr>
            </w:pPr>
          </w:p>
        </w:tc>
        <w:tc>
          <w:tcPr>
            <w:tcW w:w="754" w:type="dxa"/>
            <w:shd w:val="clear" w:color="auto" w:fill="FFFFFF" w:themeFill="background1"/>
          </w:tcPr>
          <w:p w14:paraId="37B2C818" w14:textId="77777777" w:rsidR="0099595B" w:rsidRPr="00626FCE" w:rsidRDefault="0099595B" w:rsidP="00626FCE">
            <w:pPr>
              <w:spacing w:before="120" w:after="120"/>
              <w:rPr>
                <w:sz w:val="16"/>
                <w:szCs w:val="16"/>
              </w:rPr>
            </w:pPr>
          </w:p>
        </w:tc>
        <w:tc>
          <w:tcPr>
            <w:tcW w:w="709" w:type="dxa"/>
            <w:shd w:val="clear" w:color="auto" w:fill="FFFFFF" w:themeFill="background1"/>
          </w:tcPr>
          <w:p w14:paraId="60B31097" w14:textId="77777777" w:rsidR="0099595B" w:rsidRPr="00626FCE" w:rsidRDefault="0099595B" w:rsidP="00626FCE">
            <w:pPr>
              <w:spacing w:before="120" w:after="120"/>
              <w:rPr>
                <w:sz w:val="16"/>
                <w:szCs w:val="16"/>
              </w:rPr>
            </w:pPr>
          </w:p>
        </w:tc>
        <w:tc>
          <w:tcPr>
            <w:tcW w:w="567" w:type="dxa"/>
            <w:shd w:val="clear" w:color="auto" w:fill="FFFFFF" w:themeFill="background1"/>
          </w:tcPr>
          <w:p w14:paraId="509062D2" w14:textId="77777777" w:rsidR="0099595B" w:rsidRPr="00626FCE" w:rsidRDefault="0099595B" w:rsidP="00626FCE">
            <w:pPr>
              <w:spacing w:before="120" w:after="120"/>
              <w:rPr>
                <w:sz w:val="16"/>
                <w:szCs w:val="16"/>
              </w:rPr>
            </w:pPr>
          </w:p>
        </w:tc>
        <w:tc>
          <w:tcPr>
            <w:tcW w:w="708" w:type="dxa"/>
            <w:shd w:val="clear" w:color="auto" w:fill="FFFFFF" w:themeFill="background1"/>
          </w:tcPr>
          <w:p w14:paraId="4E2BF6B1" w14:textId="77777777" w:rsidR="0099595B" w:rsidRPr="00626FCE" w:rsidRDefault="0099595B" w:rsidP="00626FCE">
            <w:pPr>
              <w:spacing w:before="120" w:after="120"/>
              <w:rPr>
                <w:sz w:val="16"/>
                <w:szCs w:val="16"/>
              </w:rPr>
            </w:pPr>
          </w:p>
        </w:tc>
        <w:tc>
          <w:tcPr>
            <w:tcW w:w="709" w:type="dxa"/>
            <w:shd w:val="clear" w:color="auto" w:fill="FFFFFF" w:themeFill="background1"/>
          </w:tcPr>
          <w:p w14:paraId="07A3CD6E" w14:textId="77777777" w:rsidR="0099595B" w:rsidRPr="00626FCE" w:rsidRDefault="0099595B" w:rsidP="00626FCE">
            <w:pPr>
              <w:spacing w:before="120" w:after="120"/>
              <w:rPr>
                <w:sz w:val="16"/>
                <w:szCs w:val="16"/>
              </w:rPr>
            </w:pPr>
          </w:p>
        </w:tc>
        <w:tc>
          <w:tcPr>
            <w:tcW w:w="709" w:type="dxa"/>
            <w:shd w:val="clear" w:color="auto" w:fill="FFFFFF" w:themeFill="background1"/>
          </w:tcPr>
          <w:p w14:paraId="320CA25E" w14:textId="77777777" w:rsidR="0099595B" w:rsidRPr="00626FCE" w:rsidRDefault="0099595B" w:rsidP="00626FCE">
            <w:pPr>
              <w:spacing w:before="120" w:after="120"/>
              <w:rPr>
                <w:sz w:val="16"/>
                <w:szCs w:val="16"/>
              </w:rPr>
            </w:pPr>
          </w:p>
        </w:tc>
        <w:tc>
          <w:tcPr>
            <w:tcW w:w="709" w:type="dxa"/>
            <w:shd w:val="clear" w:color="auto" w:fill="FFFFFF" w:themeFill="background1"/>
          </w:tcPr>
          <w:p w14:paraId="29BDCCD6" w14:textId="77777777" w:rsidR="0099595B" w:rsidRPr="00626FCE" w:rsidRDefault="0099595B" w:rsidP="00626FCE">
            <w:pPr>
              <w:spacing w:before="120" w:after="120"/>
              <w:rPr>
                <w:sz w:val="16"/>
                <w:szCs w:val="16"/>
              </w:rPr>
            </w:pPr>
          </w:p>
        </w:tc>
      </w:tr>
      <w:tr w:rsidR="0099595B" w:rsidRPr="00626FCE" w14:paraId="28A753D3" w14:textId="77777777" w:rsidTr="00E52108">
        <w:trPr>
          <w:trHeight w:val="348"/>
        </w:trPr>
        <w:tc>
          <w:tcPr>
            <w:tcW w:w="1864" w:type="dxa"/>
            <w:shd w:val="clear" w:color="auto" w:fill="D9D9D9" w:themeFill="background1" w:themeFillShade="D9"/>
          </w:tcPr>
          <w:p w14:paraId="5C09B2EB" w14:textId="6945E620" w:rsidR="0099595B" w:rsidRPr="00E52108" w:rsidRDefault="00E52108" w:rsidP="00626FCE">
            <w:pPr>
              <w:spacing w:before="120" w:after="120"/>
              <w:rPr>
                <w:b/>
                <w:sz w:val="18"/>
                <w:szCs w:val="16"/>
                <w:lang w:val="en-US"/>
              </w:rPr>
            </w:pPr>
            <w:r w:rsidRPr="00E52108">
              <w:rPr>
                <w:b/>
                <w:sz w:val="18"/>
                <w:szCs w:val="16"/>
                <w:lang w:val="en-US"/>
              </w:rPr>
              <w:t>T 4.4 - Quality of the services</w:t>
            </w:r>
          </w:p>
        </w:tc>
        <w:tc>
          <w:tcPr>
            <w:tcW w:w="706" w:type="dxa"/>
            <w:shd w:val="clear" w:color="auto" w:fill="FFFFFF" w:themeFill="background1"/>
            <w:noWrap/>
          </w:tcPr>
          <w:p w14:paraId="7B21B79C" w14:textId="77777777" w:rsidR="0099595B" w:rsidRPr="00626FCE" w:rsidRDefault="0099595B" w:rsidP="00626FCE">
            <w:pPr>
              <w:spacing w:before="120" w:after="120"/>
              <w:rPr>
                <w:sz w:val="16"/>
                <w:szCs w:val="16"/>
              </w:rPr>
            </w:pPr>
          </w:p>
        </w:tc>
        <w:tc>
          <w:tcPr>
            <w:tcW w:w="709" w:type="dxa"/>
            <w:gridSpan w:val="2"/>
            <w:shd w:val="clear" w:color="auto" w:fill="FFFFFF" w:themeFill="background1"/>
          </w:tcPr>
          <w:p w14:paraId="578DDE7F" w14:textId="77777777" w:rsidR="0099595B" w:rsidRPr="00626FCE" w:rsidRDefault="0099595B" w:rsidP="00626FCE">
            <w:pPr>
              <w:spacing w:before="120" w:after="120"/>
              <w:rPr>
                <w:sz w:val="16"/>
                <w:szCs w:val="16"/>
              </w:rPr>
            </w:pPr>
          </w:p>
        </w:tc>
        <w:tc>
          <w:tcPr>
            <w:tcW w:w="709" w:type="dxa"/>
            <w:shd w:val="clear" w:color="auto" w:fill="C4BC96" w:themeFill="background2" w:themeFillShade="BF"/>
          </w:tcPr>
          <w:p w14:paraId="789D8DAB" w14:textId="77777777" w:rsidR="0099595B" w:rsidRPr="00626FCE" w:rsidRDefault="0099595B" w:rsidP="00626FCE">
            <w:pPr>
              <w:spacing w:before="120" w:after="120"/>
              <w:rPr>
                <w:sz w:val="16"/>
                <w:szCs w:val="16"/>
              </w:rPr>
            </w:pPr>
          </w:p>
        </w:tc>
        <w:tc>
          <w:tcPr>
            <w:tcW w:w="733" w:type="dxa"/>
            <w:shd w:val="clear" w:color="auto" w:fill="C4BC96" w:themeFill="background2" w:themeFillShade="BF"/>
          </w:tcPr>
          <w:p w14:paraId="4F50C9AA" w14:textId="77777777" w:rsidR="0099595B" w:rsidRPr="00626FCE" w:rsidRDefault="0099595B" w:rsidP="00626FCE">
            <w:pPr>
              <w:spacing w:before="120" w:after="120"/>
              <w:rPr>
                <w:sz w:val="16"/>
                <w:szCs w:val="16"/>
              </w:rPr>
            </w:pPr>
          </w:p>
        </w:tc>
        <w:tc>
          <w:tcPr>
            <w:tcW w:w="543" w:type="dxa"/>
            <w:shd w:val="clear" w:color="auto" w:fill="C4BC96" w:themeFill="background2" w:themeFillShade="BF"/>
          </w:tcPr>
          <w:p w14:paraId="69555200" w14:textId="77777777" w:rsidR="0099595B" w:rsidRPr="00626FCE" w:rsidRDefault="0099595B" w:rsidP="00626FCE">
            <w:pPr>
              <w:spacing w:before="120" w:after="120"/>
              <w:rPr>
                <w:sz w:val="16"/>
                <w:szCs w:val="16"/>
              </w:rPr>
            </w:pPr>
          </w:p>
        </w:tc>
        <w:tc>
          <w:tcPr>
            <w:tcW w:w="567" w:type="dxa"/>
            <w:shd w:val="clear" w:color="auto" w:fill="C4BC96" w:themeFill="background2" w:themeFillShade="BF"/>
          </w:tcPr>
          <w:p w14:paraId="0937C2A3" w14:textId="77777777" w:rsidR="0099595B" w:rsidRPr="00626FCE" w:rsidRDefault="0099595B" w:rsidP="00626FCE">
            <w:pPr>
              <w:spacing w:before="120" w:after="120"/>
              <w:rPr>
                <w:sz w:val="16"/>
                <w:szCs w:val="16"/>
              </w:rPr>
            </w:pPr>
          </w:p>
        </w:tc>
        <w:tc>
          <w:tcPr>
            <w:tcW w:w="567" w:type="dxa"/>
            <w:shd w:val="clear" w:color="auto" w:fill="C4BC96" w:themeFill="background2" w:themeFillShade="BF"/>
          </w:tcPr>
          <w:p w14:paraId="3B32ABA0" w14:textId="77777777" w:rsidR="0099595B" w:rsidRPr="00626FCE" w:rsidRDefault="0099595B" w:rsidP="00626FCE">
            <w:pPr>
              <w:spacing w:before="120" w:after="120"/>
              <w:rPr>
                <w:sz w:val="16"/>
                <w:szCs w:val="16"/>
              </w:rPr>
            </w:pPr>
          </w:p>
        </w:tc>
        <w:tc>
          <w:tcPr>
            <w:tcW w:w="680" w:type="dxa"/>
            <w:shd w:val="clear" w:color="auto" w:fill="C4BC96" w:themeFill="background2" w:themeFillShade="BF"/>
          </w:tcPr>
          <w:p w14:paraId="21EEECBF" w14:textId="77777777" w:rsidR="0099595B" w:rsidRPr="00626FCE" w:rsidRDefault="0099595B" w:rsidP="00626FCE">
            <w:pPr>
              <w:spacing w:before="120" w:after="120"/>
              <w:rPr>
                <w:sz w:val="16"/>
                <w:szCs w:val="16"/>
              </w:rPr>
            </w:pPr>
          </w:p>
        </w:tc>
        <w:tc>
          <w:tcPr>
            <w:tcW w:w="692" w:type="dxa"/>
            <w:shd w:val="clear" w:color="auto" w:fill="C4BC96" w:themeFill="background2" w:themeFillShade="BF"/>
          </w:tcPr>
          <w:p w14:paraId="65FD2A22" w14:textId="77777777" w:rsidR="0099595B" w:rsidRPr="00626FCE" w:rsidRDefault="0099595B" w:rsidP="00626FCE">
            <w:pPr>
              <w:spacing w:before="120" w:after="120"/>
              <w:rPr>
                <w:sz w:val="16"/>
                <w:szCs w:val="16"/>
              </w:rPr>
            </w:pPr>
          </w:p>
        </w:tc>
        <w:tc>
          <w:tcPr>
            <w:tcW w:w="754" w:type="dxa"/>
            <w:shd w:val="clear" w:color="auto" w:fill="C4BC96" w:themeFill="background2" w:themeFillShade="BF"/>
          </w:tcPr>
          <w:p w14:paraId="3C4656E2" w14:textId="77777777" w:rsidR="0099595B" w:rsidRPr="00626FCE" w:rsidRDefault="0099595B" w:rsidP="00626FCE">
            <w:pPr>
              <w:spacing w:before="120" w:after="120"/>
              <w:rPr>
                <w:sz w:val="16"/>
                <w:szCs w:val="16"/>
              </w:rPr>
            </w:pPr>
          </w:p>
        </w:tc>
        <w:tc>
          <w:tcPr>
            <w:tcW w:w="709" w:type="dxa"/>
            <w:shd w:val="clear" w:color="auto" w:fill="C4BC96" w:themeFill="background2" w:themeFillShade="BF"/>
          </w:tcPr>
          <w:p w14:paraId="717FF198" w14:textId="77777777" w:rsidR="0099595B" w:rsidRPr="00626FCE" w:rsidRDefault="0099595B" w:rsidP="00626FCE">
            <w:pPr>
              <w:spacing w:before="120" w:after="120"/>
              <w:rPr>
                <w:sz w:val="16"/>
                <w:szCs w:val="16"/>
              </w:rPr>
            </w:pPr>
          </w:p>
        </w:tc>
        <w:tc>
          <w:tcPr>
            <w:tcW w:w="567" w:type="dxa"/>
            <w:shd w:val="clear" w:color="auto" w:fill="C4BC96" w:themeFill="background2" w:themeFillShade="BF"/>
          </w:tcPr>
          <w:p w14:paraId="546437B9" w14:textId="77777777" w:rsidR="0099595B" w:rsidRPr="00626FCE" w:rsidRDefault="0099595B" w:rsidP="00626FCE">
            <w:pPr>
              <w:spacing w:before="120" w:after="120"/>
              <w:rPr>
                <w:sz w:val="16"/>
                <w:szCs w:val="16"/>
              </w:rPr>
            </w:pPr>
          </w:p>
        </w:tc>
        <w:tc>
          <w:tcPr>
            <w:tcW w:w="708" w:type="dxa"/>
            <w:shd w:val="clear" w:color="auto" w:fill="C4BC96" w:themeFill="background2" w:themeFillShade="BF"/>
          </w:tcPr>
          <w:p w14:paraId="23BA9671" w14:textId="77777777" w:rsidR="0099595B" w:rsidRPr="00626FCE" w:rsidRDefault="0099595B" w:rsidP="00626FCE">
            <w:pPr>
              <w:spacing w:before="120" w:after="120"/>
              <w:rPr>
                <w:sz w:val="16"/>
                <w:szCs w:val="16"/>
              </w:rPr>
            </w:pPr>
          </w:p>
        </w:tc>
        <w:tc>
          <w:tcPr>
            <w:tcW w:w="709" w:type="dxa"/>
            <w:shd w:val="clear" w:color="auto" w:fill="FFFFFF" w:themeFill="background1"/>
          </w:tcPr>
          <w:p w14:paraId="482A258C" w14:textId="77777777" w:rsidR="0099595B" w:rsidRPr="00626FCE" w:rsidRDefault="0099595B" w:rsidP="00626FCE">
            <w:pPr>
              <w:spacing w:before="120" w:after="120"/>
              <w:rPr>
                <w:sz w:val="16"/>
                <w:szCs w:val="16"/>
              </w:rPr>
            </w:pPr>
          </w:p>
        </w:tc>
        <w:tc>
          <w:tcPr>
            <w:tcW w:w="709" w:type="dxa"/>
            <w:shd w:val="clear" w:color="auto" w:fill="FFFFFF" w:themeFill="background1"/>
          </w:tcPr>
          <w:p w14:paraId="13EF440E" w14:textId="77777777" w:rsidR="0099595B" w:rsidRPr="00626FCE" w:rsidRDefault="0099595B" w:rsidP="00626FCE">
            <w:pPr>
              <w:spacing w:before="120" w:after="120"/>
              <w:rPr>
                <w:sz w:val="16"/>
                <w:szCs w:val="16"/>
              </w:rPr>
            </w:pPr>
          </w:p>
        </w:tc>
        <w:tc>
          <w:tcPr>
            <w:tcW w:w="709" w:type="dxa"/>
            <w:shd w:val="clear" w:color="auto" w:fill="FFFFFF" w:themeFill="background1"/>
          </w:tcPr>
          <w:p w14:paraId="5D12788B" w14:textId="77777777" w:rsidR="0099595B" w:rsidRPr="00626FCE" w:rsidRDefault="0099595B" w:rsidP="00626FCE">
            <w:pPr>
              <w:spacing w:before="120" w:after="120"/>
              <w:rPr>
                <w:sz w:val="16"/>
                <w:szCs w:val="16"/>
              </w:rPr>
            </w:pPr>
          </w:p>
        </w:tc>
      </w:tr>
      <w:tr w:rsidR="0099595B" w:rsidRPr="00626FCE" w14:paraId="54D83F66" w14:textId="77777777" w:rsidTr="0099595B">
        <w:trPr>
          <w:trHeight w:val="348"/>
        </w:trPr>
        <w:tc>
          <w:tcPr>
            <w:tcW w:w="1864" w:type="dxa"/>
            <w:shd w:val="clear" w:color="auto" w:fill="D9D9D9" w:themeFill="background1" w:themeFillShade="D9"/>
          </w:tcPr>
          <w:p w14:paraId="0D588E55" w14:textId="77777777" w:rsidR="0099595B" w:rsidRPr="00626FCE" w:rsidRDefault="0099595B" w:rsidP="00626FCE">
            <w:pPr>
              <w:spacing w:before="120" w:after="120"/>
              <w:rPr>
                <w:b/>
                <w:sz w:val="18"/>
                <w:szCs w:val="16"/>
              </w:rPr>
            </w:pPr>
          </w:p>
        </w:tc>
        <w:tc>
          <w:tcPr>
            <w:tcW w:w="706" w:type="dxa"/>
            <w:shd w:val="clear" w:color="auto" w:fill="FFFFFF" w:themeFill="background1"/>
            <w:noWrap/>
          </w:tcPr>
          <w:p w14:paraId="1958F9EB" w14:textId="77777777" w:rsidR="0099595B" w:rsidRPr="00626FCE" w:rsidRDefault="0099595B" w:rsidP="00626FCE">
            <w:pPr>
              <w:spacing w:before="120" w:after="120"/>
              <w:rPr>
                <w:sz w:val="16"/>
                <w:szCs w:val="16"/>
              </w:rPr>
            </w:pPr>
          </w:p>
        </w:tc>
        <w:tc>
          <w:tcPr>
            <w:tcW w:w="709" w:type="dxa"/>
            <w:gridSpan w:val="2"/>
            <w:shd w:val="clear" w:color="auto" w:fill="FFFFFF" w:themeFill="background1"/>
          </w:tcPr>
          <w:p w14:paraId="05787834" w14:textId="77777777" w:rsidR="0099595B" w:rsidRPr="00626FCE" w:rsidRDefault="0099595B" w:rsidP="00626FCE">
            <w:pPr>
              <w:spacing w:before="120" w:after="120"/>
              <w:rPr>
                <w:sz w:val="16"/>
                <w:szCs w:val="16"/>
              </w:rPr>
            </w:pPr>
          </w:p>
        </w:tc>
        <w:tc>
          <w:tcPr>
            <w:tcW w:w="709" w:type="dxa"/>
            <w:shd w:val="clear" w:color="auto" w:fill="FFFFFF" w:themeFill="background1"/>
          </w:tcPr>
          <w:p w14:paraId="79A80F78" w14:textId="77777777" w:rsidR="0099595B" w:rsidRPr="00626FCE" w:rsidRDefault="0099595B" w:rsidP="00626FCE">
            <w:pPr>
              <w:spacing w:before="120" w:after="120"/>
              <w:rPr>
                <w:sz w:val="16"/>
                <w:szCs w:val="16"/>
              </w:rPr>
            </w:pPr>
          </w:p>
        </w:tc>
        <w:tc>
          <w:tcPr>
            <w:tcW w:w="733" w:type="dxa"/>
            <w:shd w:val="clear" w:color="auto" w:fill="FFFFFF" w:themeFill="background1"/>
          </w:tcPr>
          <w:p w14:paraId="3F6671B8" w14:textId="77777777" w:rsidR="0099595B" w:rsidRPr="00626FCE" w:rsidRDefault="0099595B" w:rsidP="00626FCE">
            <w:pPr>
              <w:spacing w:before="120" w:after="120"/>
              <w:rPr>
                <w:sz w:val="16"/>
                <w:szCs w:val="16"/>
              </w:rPr>
            </w:pPr>
          </w:p>
        </w:tc>
        <w:tc>
          <w:tcPr>
            <w:tcW w:w="543" w:type="dxa"/>
            <w:shd w:val="clear" w:color="auto" w:fill="FFFFFF" w:themeFill="background1"/>
          </w:tcPr>
          <w:p w14:paraId="582574E3" w14:textId="77777777" w:rsidR="0099595B" w:rsidRPr="00626FCE" w:rsidRDefault="0099595B" w:rsidP="00626FCE">
            <w:pPr>
              <w:spacing w:before="120" w:after="120"/>
              <w:rPr>
                <w:sz w:val="16"/>
                <w:szCs w:val="16"/>
              </w:rPr>
            </w:pPr>
          </w:p>
        </w:tc>
        <w:tc>
          <w:tcPr>
            <w:tcW w:w="567" w:type="dxa"/>
            <w:shd w:val="clear" w:color="auto" w:fill="FFFFFF" w:themeFill="background1"/>
          </w:tcPr>
          <w:p w14:paraId="30020886" w14:textId="77777777" w:rsidR="0099595B" w:rsidRPr="00626FCE" w:rsidRDefault="0099595B" w:rsidP="00626FCE">
            <w:pPr>
              <w:spacing w:before="120" w:after="120"/>
              <w:rPr>
                <w:sz w:val="16"/>
                <w:szCs w:val="16"/>
              </w:rPr>
            </w:pPr>
          </w:p>
        </w:tc>
        <w:tc>
          <w:tcPr>
            <w:tcW w:w="567" w:type="dxa"/>
          </w:tcPr>
          <w:p w14:paraId="590DD146" w14:textId="77777777" w:rsidR="0099595B" w:rsidRPr="00626FCE" w:rsidRDefault="0099595B" w:rsidP="00626FCE">
            <w:pPr>
              <w:spacing w:before="120" w:after="120"/>
              <w:rPr>
                <w:sz w:val="16"/>
                <w:szCs w:val="16"/>
              </w:rPr>
            </w:pPr>
          </w:p>
        </w:tc>
        <w:tc>
          <w:tcPr>
            <w:tcW w:w="680" w:type="dxa"/>
          </w:tcPr>
          <w:p w14:paraId="0222470C" w14:textId="77777777" w:rsidR="0099595B" w:rsidRPr="00626FCE" w:rsidRDefault="0099595B" w:rsidP="00626FCE">
            <w:pPr>
              <w:spacing w:before="120" w:after="120"/>
              <w:rPr>
                <w:sz w:val="16"/>
                <w:szCs w:val="16"/>
              </w:rPr>
            </w:pPr>
          </w:p>
        </w:tc>
        <w:tc>
          <w:tcPr>
            <w:tcW w:w="692" w:type="dxa"/>
          </w:tcPr>
          <w:p w14:paraId="780C37F3" w14:textId="77777777" w:rsidR="0099595B" w:rsidRPr="00626FCE" w:rsidRDefault="0099595B" w:rsidP="00626FCE">
            <w:pPr>
              <w:spacing w:before="120" w:after="120"/>
              <w:rPr>
                <w:sz w:val="16"/>
                <w:szCs w:val="16"/>
              </w:rPr>
            </w:pPr>
          </w:p>
        </w:tc>
        <w:tc>
          <w:tcPr>
            <w:tcW w:w="754" w:type="dxa"/>
            <w:shd w:val="clear" w:color="auto" w:fill="FFFFFF" w:themeFill="background1"/>
          </w:tcPr>
          <w:p w14:paraId="07CB6603" w14:textId="77777777" w:rsidR="0099595B" w:rsidRPr="00626FCE" w:rsidRDefault="0099595B" w:rsidP="00626FCE">
            <w:pPr>
              <w:spacing w:before="120" w:after="120"/>
              <w:rPr>
                <w:sz w:val="16"/>
                <w:szCs w:val="16"/>
              </w:rPr>
            </w:pPr>
          </w:p>
        </w:tc>
        <w:tc>
          <w:tcPr>
            <w:tcW w:w="709" w:type="dxa"/>
            <w:shd w:val="clear" w:color="auto" w:fill="FFFFFF" w:themeFill="background1"/>
          </w:tcPr>
          <w:p w14:paraId="21152788" w14:textId="77777777" w:rsidR="0099595B" w:rsidRPr="00626FCE" w:rsidRDefault="0099595B" w:rsidP="00626FCE">
            <w:pPr>
              <w:spacing w:before="120" w:after="120"/>
              <w:rPr>
                <w:sz w:val="16"/>
                <w:szCs w:val="16"/>
              </w:rPr>
            </w:pPr>
          </w:p>
        </w:tc>
        <w:tc>
          <w:tcPr>
            <w:tcW w:w="567" w:type="dxa"/>
            <w:shd w:val="clear" w:color="auto" w:fill="FFFFFF" w:themeFill="background1"/>
          </w:tcPr>
          <w:p w14:paraId="439A46DA" w14:textId="77777777" w:rsidR="0099595B" w:rsidRPr="00626FCE" w:rsidRDefault="0099595B" w:rsidP="00626FCE">
            <w:pPr>
              <w:spacing w:before="120" w:after="120"/>
              <w:rPr>
                <w:sz w:val="16"/>
                <w:szCs w:val="16"/>
              </w:rPr>
            </w:pPr>
          </w:p>
        </w:tc>
        <w:tc>
          <w:tcPr>
            <w:tcW w:w="708" w:type="dxa"/>
            <w:shd w:val="clear" w:color="auto" w:fill="FFFFFF" w:themeFill="background1"/>
          </w:tcPr>
          <w:p w14:paraId="109CE6C0" w14:textId="77777777" w:rsidR="0099595B" w:rsidRPr="00626FCE" w:rsidRDefault="0099595B" w:rsidP="00626FCE">
            <w:pPr>
              <w:spacing w:before="120" w:after="120"/>
              <w:rPr>
                <w:sz w:val="16"/>
                <w:szCs w:val="16"/>
              </w:rPr>
            </w:pPr>
          </w:p>
        </w:tc>
        <w:tc>
          <w:tcPr>
            <w:tcW w:w="709" w:type="dxa"/>
            <w:shd w:val="clear" w:color="auto" w:fill="FFFFFF" w:themeFill="background1"/>
          </w:tcPr>
          <w:p w14:paraId="6E4D0726" w14:textId="77777777" w:rsidR="0099595B" w:rsidRPr="00626FCE" w:rsidRDefault="0099595B" w:rsidP="00626FCE">
            <w:pPr>
              <w:spacing w:before="120" w:after="120"/>
              <w:rPr>
                <w:sz w:val="16"/>
                <w:szCs w:val="16"/>
              </w:rPr>
            </w:pPr>
          </w:p>
        </w:tc>
        <w:tc>
          <w:tcPr>
            <w:tcW w:w="709" w:type="dxa"/>
            <w:shd w:val="clear" w:color="auto" w:fill="FFFFFF" w:themeFill="background1"/>
          </w:tcPr>
          <w:p w14:paraId="1C182DE0" w14:textId="77777777" w:rsidR="0099595B" w:rsidRPr="00626FCE" w:rsidRDefault="0099595B" w:rsidP="00626FCE">
            <w:pPr>
              <w:spacing w:before="120" w:after="120"/>
              <w:rPr>
                <w:sz w:val="16"/>
                <w:szCs w:val="16"/>
              </w:rPr>
            </w:pPr>
          </w:p>
        </w:tc>
        <w:tc>
          <w:tcPr>
            <w:tcW w:w="709" w:type="dxa"/>
            <w:shd w:val="clear" w:color="auto" w:fill="FFFFFF" w:themeFill="background1"/>
          </w:tcPr>
          <w:p w14:paraId="66A4A198" w14:textId="77777777" w:rsidR="0099595B" w:rsidRPr="00626FCE" w:rsidRDefault="0099595B" w:rsidP="00626FCE">
            <w:pPr>
              <w:spacing w:before="120" w:after="120"/>
              <w:rPr>
                <w:sz w:val="16"/>
                <w:szCs w:val="16"/>
              </w:rPr>
            </w:pPr>
          </w:p>
        </w:tc>
      </w:tr>
      <w:tr w:rsidR="0099595B" w:rsidRPr="00626FCE" w14:paraId="07ECEAAD" w14:textId="77777777" w:rsidTr="00E52108">
        <w:trPr>
          <w:trHeight w:val="348"/>
        </w:trPr>
        <w:tc>
          <w:tcPr>
            <w:tcW w:w="1864" w:type="dxa"/>
            <w:shd w:val="clear" w:color="auto" w:fill="D9D9D9" w:themeFill="background1" w:themeFillShade="D9"/>
          </w:tcPr>
          <w:p w14:paraId="14C18BC6" w14:textId="7ED92AD3" w:rsidR="0099595B" w:rsidRPr="00626FCE" w:rsidRDefault="00E52108" w:rsidP="00626FCE">
            <w:pPr>
              <w:spacing w:before="120" w:after="120"/>
              <w:rPr>
                <w:b/>
                <w:sz w:val="18"/>
                <w:szCs w:val="16"/>
              </w:rPr>
            </w:pPr>
            <w:r w:rsidRPr="00E52108">
              <w:rPr>
                <w:b/>
                <w:sz w:val="18"/>
                <w:szCs w:val="16"/>
              </w:rPr>
              <w:lastRenderedPageBreak/>
              <w:t>WP5 - Capacity building – upscaling</w:t>
            </w:r>
          </w:p>
        </w:tc>
        <w:tc>
          <w:tcPr>
            <w:tcW w:w="706" w:type="dxa"/>
            <w:shd w:val="clear" w:color="auto" w:fill="FFFFFF" w:themeFill="background1"/>
            <w:noWrap/>
          </w:tcPr>
          <w:p w14:paraId="601BF961" w14:textId="77777777" w:rsidR="0099595B" w:rsidRPr="00626FCE" w:rsidRDefault="0099595B" w:rsidP="00626FCE">
            <w:pPr>
              <w:spacing w:before="120" w:after="120"/>
              <w:rPr>
                <w:sz w:val="16"/>
                <w:szCs w:val="16"/>
              </w:rPr>
            </w:pPr>
          </w:p>
        </w:tc>
        <w:tc>
          <w:tcPr>
            <w:tcW w:w="709" w:type="dxa"/>
            <w:gridSpan w:val="2"/>
            <w:shd w:val="clear" w:color="auto" w:fill="FFFFFF" w:themeFill="background1"/>
          </w:tcPr>
          <w:p w14:paraId="2C3ADEE6" w14:textId="77777777" w:rsidR="0099595B" w:rsidRPr="00626FCE" w:rsidRDefault="0099595B" w:rsidP="00626FCE">
            <w:pPr>
              <w:spacing w:before="120" w:after="120"/>
              <w:rPr>
                <w:sz w:val="16"/>
                <w:szCs w:val="16"/>
              </w:rPr>
            </w:pPr>
          </w:p>
        </w:tc>
        <w:tc>
          <w:tcPr>
            <w:tcW w:w="709" w:type="dxa"/>
            <w:shd w:val="clear" w:color="auto" w:fill="FFFFFF" w:themeFill="background1"/>
          </w:tcPr>
          <w:p w14:paraId="6985DD2B" w14:textId="77777777" w:rsidR="0099595B" w:rsidRPr="00626FCE" w:rsidRDefault="0099595B" w:rsidP="00626FCE">
            <w:pPr>
              <w:spacing w:before="120" w:after="120"/>
              <w:rPr>
                <w:sz w:val="16"/>
                <w:szCs w:val="16"/>
              </w:rPr>
            </w:pPr>
          </w:p>
        </w:tc>
        <w:tc>
          <w:tcPr>
            <w:tcW w:w="733" w:type="dxa"/>
            <w:shd w:val="clear" w:color="auto" w:fill="948A54" w:themeFill="background2" w:themeFillShade="80"/>
          </w:tcPr>
          <w:p w14:paraId="4F829CA0" w14:textId="77777777" w:rsidR="0099595B" w:rsidRPr="00626FCE" w:rsidRDefault="0099595B" w:rsidP="00626FCE">
            <w:pPr>
              <w:spacing w:before="120" w:after="120"/>
              <w:rPr>
                <w:sz w:val="16"/>
                <w:szCs w:val="16"/>
              </w:rPr>
            </w:pPr>
          </w:p>
        </w:tc>
        <w:tc>
          <w:tcPr>
            <w:tcW w:w="543" w:type="dxa"/>
            <w:shd w:val="clear" w:color="auto" w:fill="948A54" w:themeFill="background2" w:themeFillShade="80"/>
          </w:tcPr>
          <w:p w14:paraId="60BF9671" w14:textId="77777777" w:rsidR="0099595B" w:rsidRPr="00626FCE" w:rsidRDefault="0099595B" w:rsidP="00626FCE">
            <w:pPr>
              <w:spacing w:before="120" w:after="120"/>
              <w:rPr>
                <w:sz w:val="16"/>
                <w:szCs w:val="16"/>
              </w:rPr>
            </w:pPr>
          </w:p>
        </w:tc>
        <w:tc>
          <w:tcPr>
            <w:tcW w:w="567" w:type="dxa"/>
            <w:shd w:val="clear" w:color="auto" w:fill="948A54" w:themeFill="background2" w:themeFillShade="80"/>
          </w:tcPr>
          <w:p w14:paraId="30FB519B" w14:textId="77777777" w:rsidR="0099595B" w:rsidRPr="00626FCE" w:rsidRDefault="0099595B" w:rsidP="00626FCE">
            <w:pPr>
              <w:spacing w:before="120" w:after="120"/>
              <w:rPr>
                <w:sz w:val="16"/>
                <w:szCs w:val="16"/>
              </w:rPr>
            </w:pPr>
          </w:p>
        </w:tc>
        <w:tc>
          <w:tcPr>
            <w:tcW w:w="567" w:type="dxa"/>
            <w:shd w:val="clear" w:color="auto" w:fill="948A54" w:themeFill="background2" w:themeFillShade="80"/>
          </w:tcPr>
          <w:p w14:paraId="34767802" w14:textId="77777777" w:rsidR="0099595B" w:rsidRPr="00626FCE" w:rsidRDefault="0099595B" w:rsidP="00626FCE">
            <w:pPr>
              <w:spacing w:before="120" w:after="120"/>
              <w:rPr>
                <w:sz w:val="16"/>
                <w:szCs w:val="16"/>
              </w:rPr>
            </w:pPr>
          </w:p>
        </w:tc>
        <w:tc>
          <w:tcPr>
            <w:tcW w:w="680" w:type="dxa"/>
            <w:shd w:val="clear" w:color="auto" w:fill="948A54" w:themeFill="background2" w:themeFillShade="80"/>
          </w:tcPr>
          <w:p w14:paraId="3FE6B041" w14:textId="77777777" w:rsidR="0099595B" w:rsidRPr="00626FCE" w:rsidRDefault="0099595B" w:rsidP="00626FCE">
            <w:pPr>
              <w:spacing w:before="120" w:after="120"/>
              <w:rPr>
                <w:sz w:val="16"/>
                <w:szCs w:val="16"/>
              </w:rPr>
            </w:pPr>
          </w:p>
        </w:tc>
        <w:tc>
          <w:tcPr>
            <w:tcW w:w="692" w:type="dxa"/>
            <w:shd w:val="clear" w:color="auto" w:fill="948A54" w:themeFill="background2" w:themeFillShade="80"/>
          </w:tcPr>
          <w:p w14:paraId="10048B0D" w14:textId="77777777" w:rsidR="0099595B" w:rsidRPr="00626FCE" w:rsidRDefault="0099595B" w:rsidP="00626FCE">
            <w:pPr>
              <w:spacing w:before="120" w:after="120"/>
              <w:rPr>
                <w:sz w:val="16"/>
                <w:szCs w:val="16"/>
              </w:rPr>
            </w:pPr>
          </w:p>
        </w:tc>
        <w:tc>
          <w:tcPr>
            <w:tcW w:w="754" w:type="dxa"/>
            <w:shd w:val="clear" w:color="auto" w:fill="948A54" w:themeFill="background2" w:themeFillShade="80"/>
          </w:tcPr>
          <w:p w14:paraId="1957389C" w14:textId="77777777" w:rsidR="0099595B" w:rsidRPr="00626FCE" w:rsidRDefault="0099595B" w:rsidP="00626FCE">
            <w:pPr>
              <w:spacing w:before="120" w:after="120"/>
              <w:rPr>
                <w:sz w:val="16"/>
                <w:szCs w:val="16"/>
              </w:rPr>
            </w:pPr>
          </w:p>
        </w:tc>
        <w:tc>
          <w:tcPr>
            <w:tcW w:w="709" w:type="dxa"/>
            <w:shd w:val="clear" w:color="auto" w:fill="948A54" w:themeFill="background2" w:themeFillShade="80"/>
          </w:tcPr>
          <w:p w14:paraId="422365B4" w14:textId="77777777" w:rsidR="0099595B" w:rsidRPr="00626FCE" w:rsidRDefault="0099595B" w:rsidP="00626FCE">
            <w:pPr>
              <w:spacing w:before="120" w:after="120"/>
              <w:rPr>
                <w:sz w:val="16"/>
                <w:szCs w:val="16"/>
              </w:rPr>
            </w:pPr>
          </w:p>
        </w:tc>
        <w:tc>
          <w:tcPr>
            <w:tcW w:w="567" w:type="dxa"/>
            <w:shd w:val="clear" w:color="auto" w:fill="948A54" w:themeFill="background2" w:themeFillShade="80"/>
          </w:tcPr>
          <w:p w14:paraId="63018A99" w14:textId="77777777" w:rsidR="0099595B" w:rsidRPr="00626FCE" w:rsidRDefault="0099595B" w:rsidP="00626FCE">
            <w:pPr>
              <w:spacing w:before="120" w:after="120"/>
              <w:rPr>
                <w:sz w:val="16"/>
                <w:szCs w:val="16"/>
              </w:rPr>
            </w:pPr>
          </w:p>
        </w:tc>
        <w:tc>
          <w:tcPr>
            <w:tcW w:w="708" w:type="dxa"/>
            <w:shd w:val="clear" w:color="auto" w:fill="948A54" w:themeFill="background2" w:themeFillShade="80"/>
          </w:tcPr>
          <w:p w14:paraId="4D2EF21D" w14:textId="77777777" w:rsidR="0099595B" w:rsidRPr="00626FCE" w:rsidRDefault="0099595B" w:rsidP="00626FCE">
            <w:pPr>
              <w:spacing w:before="120" w:after="120"/>
              <w:rPr>
                <w:sz w:val="16"/>
                <w:szCs w:val="16"/>
              </w:rPr>
            </w:pPr>
          </w:p>
        </w:tc>
        <w:tc>
          <w:tcPr>
            <w:tcW w:w="709" w:type="dxa"/>
            <w:shd w:val="clear" w:color="auto" w:fill="948A54" w:themeFill="background2" w:themeFillShade="80"/>
          </w:tcPr>
          <w:p w14:paraId="1D0B16E8" w14:textId="77777777" w:rsidR="0099595B" w:rsidRPr="00626FCE" w:rsidRDefault="0099595B" w:rsidP="00626FCE">
            <w:pPr>
              <w:spacing w:before="120" w:after="120"/>
              <w:rPr>
                <w:sz w:val="16"/>
                <w:szCs w:val="16"/>
              </w:rPr>
            </w:pPr>
          </w:p>
        </w:tc>
        <w:tc>
          <w:tcPr>
            <w:tcW w:w="709" w:type="dxa"/>
            <w:shd w:val="clear" w:color="auto" w:fill="948A54" w:themeFill="background2" w:themeFillShade="80"/>
          </w:tcPr>
          <w:p w14:paraId="4D7A89FD" w14:textId="77777777" w:rsidR="0099595B" w:rsidRPr="00626FCE" w:rsidRDefault="0099595B" w:rsidP="00626FCE">
            <w:pPr>
              <w:spacing w:before="120" w:after="120"/>
              <w:rPr>
                <w:sz w:val="16"/>
                <w:szCs w:val="16"/>
              </w:rPr>
            </w:pPr>
          </w:p>
        </w:tc>
        <w:tc>
          <w:tcPr>
            <w:tcW w:w="709" w:type="dxa"/>
            <w:shd w:val="clear" w:color="auto" w:fill="948A54" w:themeFill="background2" w:themeFillShade="80"/>
          </w:tcPr>
          <w:p w14:paraId="710C823A" w14:textId="77777777" w:rsidR="0099595B" w:rsidRPr="00626FCE" w:rsidRDefault="0099595B" w:rsidP="00626FCE">
            <w:pPr>
              <w:spacing w:before="120" w:after="120"/>
              <w:rPr>
                <w:sz w:val="16"/>
                <w:szCs w:val="16"/>
              </w:rPr>
            </w:pPr>
          </w:p>
        </w:tc>
      </w:tr>
      <w:tr w:rsidR="00E52108" w:rsidRPr="00626FCE" w14:paraId="7D1CAC68" w14:textId="77777777" w:rsidTr="0099595B">
        <w:trPr>
          <w:trHeight w:val="348"/>
        </w:trPr>
        <w:tc>
          <w:tcPr>
            <w:tcW w:w="1864" w:type="dxa"/>
            <w:shd w:val="clear" w:color="auto" w:fill="D9D9D9" w:themeFill="background1" w:themeFillShade="D9"/>
          </w:tcPr>
          <w:p w14:paraId="233CA59A" w14:textId="77777777" w:rsidR="00E52108" w:rsidRPr="00626FCE" w:rsidRDefault="00E52108" w:rsidP="00626FCE">
            <w:pPr>
              <w:spacing w:before="120" w:after="120"/>
              <w:rPr>
                <w:b/>
                <w:sz w:val="18"/>
                <w:szCs w:val="16"/>
              </w:rPr>
            </w:pPr>
          </w:p>
        </w:tc>
        <w:tc>
          <w:tcPr>
            <w:tcW w:w="706" w:type="dxa"/>
            <w:shd w:val="clear" w:color="auto" w:fill="FFFFFF" w:themeFill="background1"/>
            <w:noWrap/>
          </w:tcPr>
          <w:p w14:paraId="68A9DBA3" w14:textId="77777777" w:rsidR="00E52108" w:rsidRPr="00626FCE" w:rsidRDefault="00E52108" w:rsidP="00626FCE">
            <w:pPr>
              <w:spacing w:before="120" w:after="120"/>
              <w:rPr>
                <w:sz w:val="16"/>
                <w:szCs w:val="16"/>
              </w:rPr>
            </w:pPr>
          </w:p>
        </w:tc>
        <w:tc>
          <w:tcPr>
            <w:tcW w:w="709" w:type="dxa"/>
            <w:gridSpan w:val="2"/>
            <w:shd w:val="clear" w:color="auto" w:fill="FFFFFF" w:themeFill="background1"/>
          </w:tcPr>
          <w:p w14:paraId="575BDC1F" w14:textId="77777777" w:rsidR="00E52108" w:rsidRPr="00626FCE" w:rsidRDefault="00E52108" w:rsidP="00626FCE">
            <w:pPr>
              <w:spacing w:before="120" w:after="120"/>
              <w:rPr>
                <w:sz w:val="16"/>
                <w:szCs w:val="16"/>
              </w:rPr>
            </w:pPr>
          </w:p>
        </w:tc>
        <w:tc>
          <w:tcPr>
            <w:tcW w:w="709" w:type="dxa"/>
            <w:shd w:val="clear" w:color="auto" w:fill="FFFFFF" w:themeFill="background1"/>
          </w:tcPr>
          <w:p w14:paraId="7A187E47" w14:textId="77777777" w:rsidR="00E52108" w:rsidRPr="00626FCE" w:rsidRDefault="00E52108" w:rsidP="00626FCE">
            <w:pPr>
              <w:spacing w:before="120" w:after="120"/>
              <w:rPr>
                <w:sz w:val="16"/>
                <w:szCs w:val="16"/>
              </w:rPr>
            </w:pPr>
          </w:p>
        </w:tc>
        <w:tc>
          <w:tcPr>
            <w:tcW w:w="733" w:type="dxa"/>
            <w:shd w:val="clear" w:color="auto" w:fill="FFFFFF" w:themeFill="background1"/>
          </w:tcPr>
          <w:p w14:paraId="18B17503" w14:textId="77777777" w:rsidR="00E52108" w:rsidRPr="00626FCE" w:rsidRDefault="00E52108" w:rsidP="00626FCE">
            <w:pPr>
              <w:spacing w:before="120" w:after="120"/>
              <w:rPr>
                <w:sz w:val="16"/>
                <w:szCs w:val="16"/>
              </w:rPr>
            </w:pPr>
          </w:p>
        </w:tc>
        <w:tc>
          <w:tcPr>
            <w:tcW w:w="543" w:type="dxa"/>
            <w:shd w:val="clear" w:color="auto" w:fill="FFFFFF" w:themeFill="background1"/>
          </w:tcPr>
          <w:p w14:paraId="6AE2BA72" w14:textId="77777777" w:rsidR="00E52108" w:rsidRPr="00626FCE" w:rsidRDefault="00E52108" w:rsidP="00626FCE">
            <w:pPr>
              <w:spacing w:before="120" w:after="120"/>
              <w:rPr>
                <w:sz w:val="16"/>
                <w:szCs w:val="16"/>
              </w:rPr>
            </w:pPr>
          </w:p>
        </w:tc>
        <w:tc>
          <w:tcPr>
            <w:tcW w:w="567" w:type="dxa"/>
            <w:shd w:val="clear" w:color="auto" w:fill="FFFFFF" w:themeFill="background1"/>
          </w:tcPr>
          <w:p w14:paraId="171796C3" w14:textId="77777777" w:rsidR="00E52108" w:rsidRPr="00626FCE" w:rsidRDefault="00E52108" w:rsidP="00626FCE">
            <w:pPr>
              <w:spacing w:before="120" w:after="120"/>
              <w:rPr>
                <w:sz w:val="16"/>
                <w:szCs w:val="16"/>
              </w:rPr>
            </w:pPr>
          </w:p>
        </w:tc>
        <w:tc>
          <w:tcPr>
            <w:tcW w:w="567" w:type="dxa"/>
          </w:tcPr>
          <w:p w14:paraId="7EFF6751" w14:textId="77777777" w:rsidR="00E52108" w:rsidRPr="00626FCE" w:rsidRDefault="00E52108" w:rsidP="00626FCE">
            <w:pPr>
              <w:spacing w:before="120" w:after="120"/>
              <w:rPr>
                <w:sz w:val="16"/>
                <w:szCs w:val="16"/>
              </w:rPr>
            </w:pPr>
          </w:p>
        </w:tc>
        <w:tc>
          <w:tcPr>
            <w:tcW w:w="680" w:type="dxa"/>
          </w:tcPr>
          <w:p w14:paraId="272B7C46" w14:textId="77777777" w:rsidR="00E52108" w:rsidRPr="00626FCE" w:rsidRDefault="00E52108" w:rsidP="00626FCE">
            <w:pPr>
              <w:spacing w:before="120" w:after="120"/>
              <w:rPr>
                <w:sz w:val="16"/>
                <w:szCs w:val="16"/>
              </w:rPr>
            </w:pPr>
          </w:p>
        </w:tc>
        <w:tc>
          <w:tcPr>
            <w:tcW w:w="692" w:type="dxa"/>
          </w:tcPr>
          <w:p w14:paraId="4A4B47FF" w14:textId="77777777" w:rsidR="00E52108" w:rsidRPr="00626FCE" w:rsidRDefault="00E52108" w:rsidP="00626FCE">
            <w:pPr>
              <w:spacing w:before="120" w:after="120"/>
              <w:rPr>
                <w:sz w:val="16"/>
                <w:szCs w:val="16"/>
              </w:rPr>
            </w:pPr>
          </w:p>
        </w:tc>
        <w:tc>
          <w:tcPr>
            <w:tcW w:w="754" w:type="dxa"/>
            <w:shd w:val="clear" w:color="auto" w:fill="FFFFFF" w:themeFill="background1"/>
          </w:tcPr>
          <w:p w14:paraId="4515CED0" w14:textId="77777777" w:rsidR="00E52108" w:rsidRPr="00626FCE" w:rsidRDefault="00E52108" w:rsidP="00626FCE">
            <w:pPr>
              <w:spacing w:before="120" w:after="120"/>
              <w:rPr>
                <w:sz w:val="16"/>
                <w:szCs w:val="16"/>
              </w:rPr>
            </w:pPr>
          </w:p>
        </w:tc>
        <w:tc>
          <w:tcPr>
            <w:tcW w:w="709" w:type="dxa"/>
            <w:shd w:val="clear" w:color="auto" w:fill="FFFFFF" w:themeFill="background1"/>
          </w:tcPr>
          <w:p w14:paraId="70ABDED8" w14:textId="77777777" w:rsidR="00E52108" w:rsidRPr="00626FCE" w:rsidRDefault="00E52108" w:rsidP="00626FCE">
            <w:pPr>
              <w:spacing w:before="120" w:after="120"/>
              <w:rPr>
                <w:sz w:val="16"/>
                <w:szCs w:val="16"/>
              </w:rPr>
            </w:pPr>
          </w:p>
        </w:tc>
        <w:tc>
          <w:tcPr>
            <w:tcW w:w="567" w:type="dxa"/>
            <w:shd w:val="clear" w:color="auto" w:fill="FFFFFF" w:themeFill="background1"/>
          </w:tcPr>
          <w:p w14:paraId="0C910A25" w14:textId="77777777" w:rsidR="00E52108" w:rsidRPr="00626FCE" w:rsidRDefault="00E52108" w:rsidP="00626FCE">
            <w:pPr>
              <w:spacing w:before="120" w:after="120"/>
              <w:rPr>
                <w:sz w:val="16"/>
                <w:szCs w:val="16"/>
              </w:rPr>
            </w:pPr>
          </w:p>
        </w:tc>
        <w:tc>
          <w:tcPr>
            <w:tcW w:w="708" w:type="dxa"/>
            <w:shd w:val="clear" w:color="auto" w:fill="FFFFFF" w:themeFill="background1"/>
          </w:tcPr>
          <w:p w14:paraId="333EE2B7" w14:textId="77777777" w:rsidR="00E52108" w:rsidRPr="00626FCE" w:rsidRDefault="00E52108" w:rsidP="00626FCE">
            <w:pPr>
              <w:spacing w:before="120" w:after="120"/>
              <w:rPr>
                <w:sz w:val="16"/>
                <w:szCs w:val="16"/>
              </w:rPr>
            </w:pPr>
          </w:p>
        </w:tc>
        <w:tc>
          <w:tcPr>
            <w:tcW w:w="709" w:type="dxa"/>
            <w:shd w:val="clear" w:color="auto" w:fill="FFFFFF" w:themeFill="background1"/>
          </w:tcPr>
          <w:p w14:paraId="0E8C65F1" w14:textId="77777777" w:rsidR="00E52108" w:rsidRPr="00626FCE" w:rsidRDefault="00E52108" w:rsidP="00626FCE">
            <w:pPr>
              <w:spacing w:before="120" w:after="120"/>
              <w:rPr>
                <w:sz w:val="16"/>
                <w:szCs w:val="16"/>
              </w:rPr>
            </w:pPr>
          </w:p>
        </w:tc>
        <w:tc>
          <w:tcPr>
            <w:tcW w:w="709" w:type="dxa"/>
            <w:shd w:val="clear" w:color="auto" w:fill="FFFFFF" w:themeFill="background1"/>
          </w:tcPr>
          <w:p w14:paraId="3B2F91C3" w14:textId="77777777" w:rsidR="00E52108" w:rsidRPr="00626FCE" w:rsidRDefault="00E52108" w:rsidP="00626FCE">
            <w:pPr>
              <w:spacing w:before="120" w:after="120"/>
              <w:rPr>
                <w:sz w:val="16"/>
                <w:szCs w:val="16"/>
              </w:rPr>
            </w:pPr>
          </w:p>
        </w:tc>
        <w:tc>
          <w:tcPr>
            <w:tcW w:w="709" w:type="dxa"/>
            <w:shd w:val="clear" w:color="auto" w:fill="FFFFFF" w:themeFill="background1"/>
          </w:tcPr>
          <w:p w14:paraId="2AF7BD0F" w14:textId="77777777" w:rsidR="00E52108" w:rsidRPr="00626FCE" w:rsidRDefault="00E52108" w:rsidP="00626FCE">
            <w:pPr>
              <w:spacing w:before="120" w:after="120"/>
              <w:rPr>
                <w:sz w:val="16"/>
                <w:szCs w:val="16"/>
              </w:rPr>
            </w:pPr>
          </w:p>
        </w:tc>
      </w:tr>
      <w:tr w:rsidR="00E52108" w:rsidRPr="00626FCE" w14:paraId="4169970F" w14:textId="77777777" w:rsidTr="00E52108">
        <w:trPr>
          <w:trHeight w:val="348"/>
        </w:trPr>
        <w:tc>
          <w:tcPr>
            <w:tcW w:w="1864" w:type="dxa"/>
            <w:shd w:val="clear" w:color="auto" w:fill="D9D9D9" w:themeFill="background1" w:themeFillShade="D9"/>
          </w:tcPr>
          <w:p w14:paraId="2D36B239" w14:textId="540D133F" w:rsidR="00E52108" w:rsidRPr="00E52108" w:rsidRDefault="00E52108" w:rsidP="00626FCE">
            <w:pPr>
              <w:spacing w:before="120" w:after="120"/>
              <w:rPr>
                <w:b/>
                <w:sz w:val="18"/>
                <w:szCs w:val="16"/>
                <w:lang w:val="en-US"/>
              </w:rPr>
            </w:pPr>
            <w:r w:rsidRPr="00E52108">
              <w:rPr>
                <w:b/>
                <w:sz w:val="18"/>
                <w:szCs w:val="16"/>
                <w:lang w:val="en-US"/>
              </w:rPr>
              <w:t>T 5.1 - A mechanism to attract municipalities for the OSS services</w:t>
            </w:r>
          </w:p>
        </w:tc>
        <w:tc>
          <w:tcPr>
            <w:tcW w:w="706" w:type="dxa"/>
            <w:shd w:val="clear" w:color="auto" w:fill="FFFFFF" w:themeFill="background1"/>
            <w:noWrap/>
          </w:tcPr>
          <w:p w14:paraId="265FFD77" w14:textId="77777777" w:rsidR="00E52108" w:rsidRPr="00626FCE" w:rsidRDefault="00E52108" w:rsidP="00626FCE">
            <w:pPr>
              <w:spacing w:before="120" w:after="120"/>
              <w:rPr>
                <w:sz w:val="16"/>
                <w:szCs w:val="16"/>
              </w:rPr>
            </w:pPr>
          </w:p>
        </w:tc>
        <w:tc>
          <w:tcPr>
            <w:tcW w:w="709" w:type="dxa"/>
            <w:gridSpan w:val="2"/>
            <w:shd w:val="clear" w:color="auto" w:fill="FFFFFF" w:themeFill="background1"/>
          </w:tcPr>
          <w:p w14:paraId="4B8B8004" w14:textId="77777777" w:rsidR="00E52108" w:rsidRPr="00626FCE" w:rsidRDefault="00E52108" w:rsidP="00626FCE">
            <w:pPr>
              <w:spacing w:before="120" w:after="120"/>
              <w:rPr>
                <w:sz w:val="16"/>
                <w:szCs w:val="16"/>
              </w:rPr>
            </w:pPr>
          </w:p>
        </w:tc>
        <w:tc>
          <w:tcPr>
            <w:tcW w:w="709" w:type="dxa"/>
            <w:shd w:val="clear" w:color="auto" w:fill="FFFFFF" w:themeFill="background1"/>
          </w:tcPr>
          <w:p w14:paraId="41BB05BA" w14:textId="77777777" w:rsidR="00E52108" w:rsidRPr="00626FCE" w:rsidRDefault="00E52108" w:rsidP="00626FCE">
            <w:pPr>
              <w:spacing w:before="120" w:after="120"/>
              <w:rPr>
                <w:sz w:val="16"/>
                <w:szCs w:val="16"/>
              </w:rPr>
            </w:pPr>
          </w:p>
        </w:tc>
        <w:tc>
          <w:tcPr>
            <w:tcW w:w="733" w:type="dxa"/>
            <w:shd w:val="clear" w:color="auto" w:fill="C4BC96" w:themeFill="background2" w:themeFillShade="BF"/>
          </w:tcPr>
          <w:p w14:paraId="3ED7761B" w14:textId="77777777" w:rsidR="00E52108" w:rsidRPr="00626FCE" w:rsidRDefault="00E52108" w:rsidP="00626FCE">
            <w:pPr>
              <w:spacing w:before="120" w:after="120"/>
              <w:rPr>
                <w:sz w:val="16"/>
                <w:szCs w:val="16"/>
              </w:rPr>
            </w:pPr>
          </w:p>
        </w:tc>
        <w:tc>
          <w:tcPr>
            <w:tcW w:w="543" w:type="dxa"/>
            <w:shd w:val="clear" w:color="auto" w:fill="C4BC96" w:themeFill="background2" w:themeFillShade="BF"/>
          </w:tcPr>
          <w:p w14:paraId="6ADAB2DD" w14:textId="77777777" w:rsidR="00E52108" w:rsidRPr="00626FCE" w:rsidRDefault="00E52108" w:rsidP="00626FCE">
            <w:pPr>
              <w:spacing w:before="120" w:after="120"/>
              <w:rPr>
                <w:sz w:val="16"/>
                <w:szCs w:val="16"/>
              </w:rPr>
            </w:pPr>
          </w:p>
        </w:tc>
        <w:tc>
          <w:tcPr>
            <w:tcW w:w="567" w:type="dxa"/>
            <w:shd w:val="clear" w:color="auto" w:fill="C4BC96" w:themeFill="background2" w:themeFillShade="BF"/>
          </w:tcPr>
          <w:p w14:paraId="630CA5F2" w14:textId="77777777" w:rsidR="00E52108" w:rsidRPr="00626FCE" w:rsidRDefault="00E52108" w:rsidP="00626FCE">
            <w:pPr>
              <w:spacing w:before="120" w:after="120"/>
              <w:rPr>
                <w:sz w:val="16"/>
                <w:szCs w:val="16"/>
              </w:rPr>
            </w:pPr>
          </w:p>
        </w:tc>
        <w:tc>
          <w:tcPr>
            <w:tcW w:w="567" w:type="dxa"/>
            <w:shd w:val="clear" w:color="auto" w:fill="C4BC96" w:themeFill="background2" w:themeFillShade="BF"/>
          </w:tcPr>
          <w:p w14:paraId="774710D9" w14:textId="77777777" w:rsidR="00E52108" w:rsidRPr="00626FCE" w:rsidRDefault="00E52108" w:rsidP="00626FCE">
            <w:pPr>
              <w:spacing w:before="120" w:after="120"/>
              <w:rPr>
                <w:sz w:val="16"/>
                <w:szCs w:val="16"/>
              </w:rPr>
            </w:pPr>
          </w:p>
        </w:tc>
        <w:tc>
          <w:tcPr>
            <w:tcW w:w="680" w:type="dxa"/>
            <w:shd w:val="clear" w:color="auto" w:fill="C4BC96" w:themeFill="background2" w:themeFillShade="BF"/>
          </w:tcPr>
          <w:p w14:paraId="7C5E5029" w14:textId="77777777" w:rsidR="00E52108" w:rsidRPr="00626FCE" w:rsidRDefault="00E52108" w:rsidP="00626FCE">
            <w:pPr>
              <w:spacing w:before="120" w:after="120"/>
              <w:rPr>
                <w:sz w:val="16"/>
                <w:szCs w:val="16"/>
              </w:rPr>
            </w:pPr>
          </w:p>
        </w:tc>
        <w:tc>
          <w:tcPr>
            <w:tcW w:w="692" w:type="dxa"/>
          </w:tcPr>
          <w:p w14:paraId="4936347F" w14:textId="77777777" w:rsidR="00E52108" w:rsidRPr="00626FCE" w:rsidRDefault="00E52108" w:rsidP="00626FCE">
            <w:pPr>
              <w:spacing w:before="120" w:after="120"/>
              <w:rPr>
                <w:sz w:val="16"/>
                <w:szCs w:val="16"/>
              </w:rPr>
            </w:pPr>
          </w:p>
        </w:tc>
        <w:tc>
          <w:tcPr>
            <w:tcW w:w="754" w:type="dxa"/>
            <w:shd w:val="clear" w:color="auto" w:fill="FFFFFF" w:themeFill="background1"/>
          </w:tcPr>
          <w:p w14:paraId="3F88D2DD" w14:textId="77777777" w:rsidR="00E52108" w:rsidRPr="00626FCE" w:rsidRDefault="00E52108" w:rsidP="00626FCE">
            <w:pPr>
              <w:spacing w:before="120" w:after="120"/>
              <w:rPr>
                <w:sz w:val="16"/>
                <w:szCs w:val="16"/>
              </w:rPr>
            </w:pPr>
          </w:p>
        </w:tc>
        <w:tc>
          <w:tcPr>
            <w:tcW w:w="709" w:type="dxa"/>
            <w:shd w:val="clear" w:color="auto" w:fill="FFFFFF" w:themeFill="background1"/>
          </w:tcPr>
          <w:p w14:paraId="7F0E433F" w14:textId="77777777" w:rsidR="00E52108" w:rsidRPr="00626FCE" w:rsidRDefault="00E52108" w:rsidP="00626FCE">
            <w:pPr>
              <w:spacing w:before="120" w:after="120"/>
              <w:rPr>
                <w:sz w:val="16"/>
                <w:szCs w:val="16"/>
              </w:rPr>
            </w:pPr>
          </w:p>
        </w:tc>
        <w:tc>
          <w:tcPr>
            <w:tcW w:w="567" w:type="dxa"/>
            <w:shd w:val="clear" w:color="auto" w:fill="FFFFFF" w:themeFill="background1"/>
          </w:tcPr>
          <w:p w14:paraId="6136B55B" w14:textId="77777777" w:rsidR="00E52108" w:rsidRPr="00626FCE" w:rsidRDefault="00E52108" w:rsidP="00626FCE">
            <w:pPr>
              <w:spacing w:before="120" w:after="120"/>
              <w:rPr>
                <w:sz w:val="16"/>
                <w:szCs w:val="16"/>
              </w:rPr>
            </w:pPr>
          </w:p>
        </w:tc>
        <w:tc>
          <w:tcPr>
            <w:tcW w:w="708" w:type="dxa"/>
            <w:shd w:val="clear" w:color="auto" w:fill="FFFFFF" w:themeFill="background1"/>
          </w:tcPr>
          <w:p w14:paraId="0AD84C70" w14:textId="77777777" w:rsidR="00E52108" w:rsidRPr="00626FCE" w:rsidRDefault="00E52108" w:rsidP="00626FCE">
            <w:pPr>
              <w:spacing w:before="120" w:after="120"/>
              <w:rPr>
                <w:sz w:val="16"/>
                <w:szCs w:val="16"/>
              </w:rPr>
            </w:pPr>
          </w:p>
        </w:tc>
        <w:tc>
          <w:tcPr>
            <w:tcW w:w="709" w:type="dxa"/>
            <w:shd w:val="clear" w:color="auto" w:fill="FFFFFF" w:themeFill="background1"/>
          </w:tcPr>
          <w:p w14:paraId="26F91924" w14:textId="77777777" w:rsidR="00E52108" w:rsidRPr="00626FCE" w:rsidRDefault="00E52108" w:rsidP="00626FCE">
            <w:pPr>
              <w:spacing w:before="120" w:after="120"/>
              <w:rPr>
                <w:sz w:val="16"/>
                <w:szCs w:val="16"/>
              </w:rPr>
            </w:pPr>
          </w:p>
        </w:tc>
        <w:tc>
          <w:tcPr>
            <w:tcW w:w="709" w:type="dxa"/>
            <w:shd w:val="clear" w:color="auto" w:fill="FFFFFF" w:themeFill="background1"/>
          </w:tcPr>
          <w:p w14:paraId="3D463340" w14:textId="77777777" w:rsidR="00E52108" w:rsidRPr="00626FCE" w:rsidRDefault="00E52108" w:rsidP="00626FCE">
            <w:pPr>
              <w:spacing w:before="120" w:after="120"/>
              <w:rPr>
                <w:sz w:val="16"/>
                <w:szCs w:val="16"/>
              </w:rPr>
            </w:pPr>
          </w:p>
        </w:tc>
        <w:tc>
          <w:tcPr>
            <w:tcW w:w="709" w:type="dxa"/>
            <w:shd w:val="clear" w:color="auto" w:fill="FFFFFF" w:themeFill="background1"/>
          </w:tcPr>
          <w:p w14:paraId="4928E86E" w14:textId="77777777" w:rsidR="00E52108" w:rsidRPr="00626FCE" w:rsidRDefault="00E52108" w:rsidP="00626FCE">
            <w:pPr>
              <w:spacing w:before="120" w:after="120"/>
              <w:rPr>
                <w:sz w:val="16"/>
                <w:szCs w:val="16"/>
              </w:rPr>
            </w:pPr>
          </w:p>
        </w:tc>
      </w:tr>
      <w:tr w:rsidR="00E52108" w:rsidRPr="00626FCE" w14:paraId="7436C2BB" w14:textId="77777777" w:rsidTr="0099595B">
        <w:trPr>
          <w:trHeight w:val="348"/>
        </w:trPr>
        <w:tc>
          <w:tcPr>
            <w:tcW w:w="1864" w:type="dxa"/>
            <w:shd w:val="clear" w:color="auto" w:fill="D9D9D9" w:themeFill="background1" w:themeFillShade="D9"/>
          </w:tcPr>
          <w:p w14:paraId="01D15C05" w14:textId="77777777" w:rsidR="00E52108" w:rsidRPr="00626FCE" w:rsidRDefault="00E52108" w:rsidP="00626FCE">
            <w:pPr>
              <w:spacing w:before="120" w:after="120"/>
              <w:rPr>
                <w:b/>
                <w:sz w:val="18"/>
                <w:szCs w:val="16"/>
              </w:rPr>
            </w:pPr>
          </w:p>
        </w:tc>
        <w:tc>
          <w:tcPr>
            <w:tcW w:w="706" w:type="dxa"/>
            <w:shd w:val="clear" w:color="auto" w:fill="FFFFFF" w:themeFill="background1"/>
            <w:noWrap/>
          </w:tcPr>
          <w:p w14:paraId="57C3E091" w14:textId="77777777" w:rsidR="00E52108" w:rsidRPr="00626FCE" w:rsidRDefault="00E52108" w:rsidP="00626FCE">
            <w:pPr>
              <w:spacing w:before="120" w:after="120"/>
              <w:rPr>
                <w:sz w:val="16"/>
                <w:szCs w:val="16"/>
              </w:rPr>
            </w:pPr>
          </w:p>
        </w:tc>
        <w:tc>
          <w:tcPr>
            <w:tcW w:w="709" w:type="dxa"/>
            <w:gridSpan w:val="2"/>
            <w:shd w:val="clear" w:color="auto" w:fill="FFFFFF" w:themeFill="background1"/>
          </w:tcPr>
          <w:p w14:paraId="108AEFBA" w14:textId="77777777" w:rsidR="00E52108" w:rsidRPr="00626FCE" w:rsidRDefault="00E52108" w:rsidP="00626FCE">
            <w:pPr>
              <w:spacing w:before="120" w:after="120"/>
              <w:rPr>
                <w:sz w:val="16"/>
                <w:szCs w:val="16"/>
              </w:rPr>
            </w:pPr>
          </w:p>
        </w:tc>
        <w:tc>
          <w:tcPr>
            <w:tcW w:w="709" w:type="dxa"/>
            <w:shd w:val="clear" w:color="auto" w:fill="FFFFFF" w:themeFill="background1"/>
          </w:tcPr>
          <w:p w14:paraId="3D1B5CE8" w14:textId="77777777" w:rsidR="00E52108" w:rsidRPr="00626FCE" w:rsidRDefault="00E52108" w:rsidP="00626FCE">
            <w:pPr>
              <w:spacing w:before="120" w:after="120"/>
              <w:rPr>
                <w:sz w:val="16"/>
                <w:szCs w:val="16"/>
              </w:rPr>
            </w:pPr>
          </w:p>
        </w:tc>
        <w:tc>
          <w:tcPr>
            <w:tcW w:w="733" w:type="dxa"/>
            <w:shd w:val="clear" w:color="auto" w:fill="FFFFFF" w:themeFill="background1"/>
          </w:tcPr>
          <w:p w14:paraId="5DC7FBCF" w14:textId="77777777" w:rsidR="00E52108" w:rsidRPr="00626FCE" w:rsidRDefault="00E52108" w:rsidP="00626FCE">
            <w:pPr>
              <w:spacing w:before="120" w:after="120"/>
              <w:rPr>
                <w:sz w:val="16"/>
                <w:szCs w:val="16"/>
              </w:rPr>
            </w:pPr>
          </w:p>
        </w:tc>
        <w:tc>
          <w:tcPr>
            <w:tcW w:w="543" w:type="dxa"/>
            <w:shd w:val="clear" w:color="auto" w:fill="FFFFFF" w:themeFill="background1"/>
          </w:tcPr>
          <w:p w14:paraId="5C1411A2" w14:textId="77777777" w:rsidR="00E52108" w:rsidRPr="00626FCE" w:rsidRDefault="00E52108" w:rsidP="00626FCE">
            <w:pPr>
              <w:spacing w:before="120" w:after="120"/>
              <w:rPr>
                <w:sz w:val="16"/>
                <w:szCs w:val="16"/>
              </w:rPr>
            </w:pPr>
          </w:p>
        </w:tc>
        <w:tc>
          <w:tcPr>
            <w:tcW w:w="567" w:type="dxa"/>
            <w:shd w:val="clear" w:color="auto" w:fill="FFFFFF" w:themeFill="background1"/>
          </w:tcPr>
          <w:p w14:paraId="08F5611A" w14:textId="77777777" w:rsidR="00E52108" w:rsidRPr="00626FCE" w:rsidRDefault="00E52108" w:rsidP="00626FCE">
            <w:pPr>
              <w:spacing w:before="120" w:after="120"/>
              <w:rPr>
                <w:sz w:val="16"/>
                <w:szCs w:val="16"/>
              </w:rPr>
            </w:pPr>
          </w:p>
        </w:tc>
        <w:tc>
          <w:tcPr>
            <w:tcW w:w="567" w:type="dxa"/>
          </w:tcPr>
          <w:p w14:paraId="489ACF7A" w14:textId="77777777" w:rsidR="00E52108" w:rsidRPr="00626FCE" w:rsidRDefault="00E52108" w:rsidP="00626FCE">
            <w:pPr>
              <w:spacing w:before="120" w:after="120"/>
              <w:rPr>
                <w:sz w:val="16"/>
                <w:szCs w:val="16"/>
              </w:rPr>
            </w:pPr>
          </w:p>
        </w:tc>
        <w:tc>
          <w:tcPr>
            <w:tcW w:w="680" w:type="dxa"/>
          </w:tcPr>
          <w:p w14:paraId="76165B86" w14:textId="77777777" w:rsidR="00E52108" w:rsidRPr="00626FCE" w:rsidRDefault="00E52108" w:rsidP="00626FCE">
            <w:pPr>
              <w:spacing w:before="120" w:after="120"/>
              <w:rPr>
                <w:sz w:val="16"/>
                <w:szCs w:val="16"/>
              </w:rPr>
            </w:pPr>
          </w:p>
        </w:tc>
        <w:tc>
          <w:tcPr>
            <w:tcW w:w="692" w:type="dxa"/>
          </w:tcPr>
          <w:p w14:paraId="52C22C93" w14:textId="77777777" w:rsidR="00E52108" w:rsidRPr="00626FCE" w:rsidRDefault="00E52108" w:rsidP="00626FCE">
            <w:pPr>
              <w:spacing w:before="120" w:after="120"/>
              <w:rPr>
                <w:sz w:val="16"/>
                <w:szCs w:val="16"/>
              </w:rPr>
            </w:pPr>
          </w:p>
        </w:tc>
        <w:tc>
          <w:tcPr>
            <w:tcW w:w="754" w:type="dxa"/>
            <w:shd w:val="clear" w:color="auto" w:fill="FFFFFF" w:themeFill="background1"/>
          </w:tcPr>
          <w:p w14:paraId="7E34D7D8" w14:textId="77777777" w:rsidR="00E52108" w:rsidRPr="00626FCE" w:rsidRDefault="00E52108" w:rsidP="00626FCE">
            <w:pPr>
              <w:spacing w:before="120" w:after="120"/>
              <w:rPr>
                <w:sz w:val="16"/>
                <w:szCs w:val="16"/>
              </w:rPr>
            </w:pPr>
          </w:p>
        </w:tc>
        <w:tc>
          <w:tcPr>
            <w:tcW w:w="709" w:type="dxa"/>
            <w:shd w:val="clear" w:color="auto" w:fill="FFFFFF" w:themeFill="background1"/>
          </w:tcPr>
          <w:p w14:paraId="4C496E82" w14:textId="77777777" w:rsidR="00E52108" w:rsidRPr="00626FCE" w:rsidRDefault="00E52108" w:rsidP="00626FCE">
            <w:pPr>
              <w:spacing w:before="120" w:after="120"/>
              <w:rPr>
                <w:sz w:val="16"/>
                <w:szCs w:val="16"/>
              </w:rPr>
            </w:pPr>
          </w:p>
        </w:tc>
        <w:tc>
          <w:tcPr>
            <w:tcW w:w="567" w:type="dxa"/>
            <w:shd w:val="clear" w:color="auto" w:fill="FFFFFF" w:themeFill="background1"/>
          </w:tcPr>
          <w:p w14:paraId="38214094" w14:textId="77777777" w:rsidR="00E52108" w:rsidRPr="00626FCE" w:rsidRDefault="00E52108" w:rsidP="00626FCE">
            <w:pPr>
              <w:spacing w:before="120" w:after="120"/>
              <w:rPr>
                <w:sz w:val="16"/>
                <w:szCs w:val="16"/>
              </w:rPr>
            </w:pPr>
          </w:p>
        </w:tc>
        <w:tc>
          <w:tcPr>
            <w:tcW w:w="708" w:type="dxa"/>
            <w:shd w:val="clear" w:color="auto" w:fill="FFFFFF" w:themeFill="background1"/>
          </w:tcPr>
          <w:p w14:paraId="6EB72EF3" w14:textId="77777777" w:rsidR="00E52108" w:rsidRPr="00626FCE" w:rsidRDefault="00E52108" w:rsidP="00626FCE">
            <w:pPr>
              <w:spacing w:before="120" w:after="120"/>
              <w:rPr>
                <w:sz w:val="16"/>
                <w:szCs w:val="16"/>
              </w:rPr>
            </w:pPr>
          </w:p>
        </w:tc>
        <w:tc>
          <w:tcPr>
            <w:tcW w:w="709" w:type="dxa"/>
            <w:shd w:val="clear" w:color="auto" w:fill="FFFFFF" w:themeFill="background1"/>
          </w:tcPr>
          <w:p w14:paraId="04912188" w14:textId="77777777" w:rsidR="00E52108" w:rsidRPr="00626FCE" w:rsidRDefault="00E52108" w:rsidP="00626FCE">
            <w:pPr>
              <w:spacing w:before="120" w:after="120"/>
              <w:rPr>
                <w:sz w:val="16"/>
                <w:szCs w:val="16"/>
              </w:rPr>
            </w:pPr>
          </w:p>
        </w:tc>
        <w:tc>
          <w:tcPr>
            <w:tcW w:w="709" w:type="dxa"/>
            <w:shd w:val="clear" w:color="auto" w:fill="FFFFFF" w:themeFill="background1"/>
          </w:tcPr>
          <w:p w14:paraId="4EC01E9F" w14:textId="77777777" w:rsidR="00E52108" w:rsidRPr="00626FCE" w:rsidRDefault="00E52108" w:rsidP="00626FCE">
            <w:pPr>
              <w:spacing w:before="120" w:after="120"/>
              <w:rPr>
                <w:sz w:val="16"/>
                <w:szCs w:val="16"/>
              </w:rPr>
            </w:pPr>
          </w:p>
        </w:tc>
        <w:tc>
          <w:tcPr>
            <w:tcW w:w="709" w:type="dxa"/>
            <w:shd w:val="clear" w:color="auto" w:fill="FFFFFF" w:themeFill="background1"/>
          </w:tcPr>
          <w:p w14:paraId="3B6386CA" w14:textId="77777777" w:rsidR="00E52108" w:rsidRPr="00626FCE" w:rsidRDefault="00E52108" w:rsidP="00626FCE">
            <w:pPr>
              <w:spacing w:before="120" w:after="120"/>
              <w:rPr>
                <w:sz w:val="16"/>
                <w:szCs w:val="16"/>
              </w:rPr>
            </w:pPr>
          </w:p>
        </w:tc>
      </w:tr>
      <w:tr w:rsidR="00E52108" w:rsidRPr="00626FCE" w14:paraId="7AC0F3D6" w14:textId="77777777" w:rsidTr="00E52108">
        <w:trPr>
          <w:trHeight w:val="348"/>
        </w:trPr>
        <w:tc>
          <w:tcPr>
            <w:tcW w:w="1864" w:type="dxa"/>
            <w:shd w:val="clear" w:color="auto" w:fill="D9D9D9" w:themeFill="background1" w:themeFillShade="D9"/>
          </w:tcPr>
          <w:p w14:paraId="7232FAE5" w14:textId="600924D9" w:rsidR="00E52108" w:rsidRPr="00E52108" w:rsidRDefault="00E52108" w:rsidP="00626FCE">
            <w:pPr>
              <w:spacing w:before="120" w:after="120"/>
              <w:rPr>
                <w:b/>
                <w:sz w:val="18"/>
                <w:szCs w:val="16"/>
                <w:lang w:val="en-US"/>
              </w:rPr>
            </w:pPr>
            <w:r w:rsidRPr="00E52108">
              <w:rPr>
                <w:b/>
                <w:sz w:val="18"/>
                <w:szCs w:val="16"/>
                <w:lang w:val="en-US"/>
              </w:rPr>
              <w:t>T 5.2 - Building up a pipeline of building renovation projects</w:t>
            </w:r>
          </w:p>
        </w:tc>
        <w:tc>
          <w:tcPr>
            <w:tcW w:w="706" w:type="dxa"/>
            <w:shd w:val="clear" w:color="auto" w:fill="FFFFFF" w:themeFill="background1"/>
            <w:noWrap/>
          </w:tcPr>
          <w:p w14:paraId="28D016F5" w14:textId="77777777" w:rsidR="00E52108" w:rsidRPr="00626FCE" w:rsidRDefault="00E52108" w:rsidP="00626FCE">
            <w:pPr>
              <w:spacing w:before="120" w:after="120"/>
              <w:rPr>
                <w:sz w:val="16"/>
                <w:szCs w:val="16"/>
              </w:rPr>
            </w:pPr>
          </w:p>
        </w:tc>
        <w:tc>
          <w:tcPr>
            <w:tcW w:w="709" w:type="dxa"/>
            <w:gridSpan w:val="2"/>
            <w:shd w:val="clear" w:color="auto" w:fill="FFFFFF" w:themeFill="background1"/>
          </w:tcPr>
          <w:p w14:paraId="520D80E8" w14:textId="77777777" w:rsidR="00E52108" w:rsidRPr="00626FCE" w:rsidRDefault="00E52108" w:rsidP="00626FCE">
            <w:pPr>
              <w:spacing w:before="120" w:after="120"/>
              <w:rPr>
                <w:sz w:val="16"/>
                <w:szCs w:val="16"/>
              </w:rPr>
            </w:pPr>
          </w:p>
        </w:tc>
        <w:tc>
          <w:tcPr>
            <w:tcW w:w="709" w:type="dxa"/>
            <w:shd w:val="clear" w:color="auto" w:fill="FFFFFF" w:themeFill="background1"/>
          </w:tcPr>
          <w:p w14:paraId="6B171E31" w14:textId="77777777" w:rsidR="00E52108" w:rsidRPr="00626FCE" w:rsidRDefault="00E52108" w:rsidP="00626FCE">
            <w:pPr>
              <w:spacing w:before="120" w:after="120"/>
              <w:rPr>
                <w:sz w:val="16"/>
                <w:szCs w:val="16"/>
              </w:rPr>
            </w:pPr>
          </w:p>
        </w:tc>
        <w:tc>
          <w:tcPr>
            <w:tcW w:w="733" w:type="dxa"/>
            <w:shd w:val="clear" w:color="auto" w:fill="FFFFFF" w:themeFill="background1"/>
          </w:tcPr>
          <w:p w14:paraId="70EE3CCD" w14:textId="77777777" w:rsidR="00E52108" w:rsidRPr="00626FCE" w:rsidRDefault="00E52108" w:rsidP="00626FCE">
            <w:pPr>
              <w:spacing w:before="120" w:after="120"/>
              <w:rPr>
                <w:sz w:val="16"/>
                <w:szCs w:val="16"/>
              </w:rPr>
            </w:pPr>
          </w:p>
        </w:tc>
        <w:tc>
          <w:tcPr>
            <w:tcW w:w="543" w:type="dxa"/>
            <w:shd w:val="clear" w:color="auto" w:fill="FFFFFF" w:themeFill="background1"/>
          </w:tcPr>
          <w:p w14:paraId="7E9F802D" w14:textId="77777777" w:rsidR="00E52108" w:rsidRPr="00626FCE" w:rsidRDefault="00E52108" w:rsidP="00626FCE">
            <w:pPr>
              <w:spacing w:before="120" w:after="120"/>
              <w:rPr>
                <w:sz w:val="16"/>
                <w:szCs w:val="16"/>
              </w:rPr>
            </w:pPr>
          </w:p>
        </w:tc>
        <w:tc>
          <w:tcPr>
            <w:tcW w:w="567" w:type="dxa"/>
            <w:shd w:val="clear" w:color="auto" w:fill="C4BC96" w:themeFill="background2" w:themeFillShade="BF"/>
          </w:tcPr>
          <w:p w14:paraId="48053A5B" w14:textId="77777777" w:rsidR="00E52108" w:rsidRPr="00626FCE" w:rsidRDefault="00E52108" w:rsidP="00626FCE">
            <w:pPr>
              <w:spacing w:before="120" w:after="120"/>
              <w:rPr>
                <w:sz w:val="16"/>
                <w:szCs w:val="16"/>
              </w:rPr>
            </w:pPr>
          </w:p>
        </w:tc>
        <w:tc>
          <w:tcPr>
            <w:tcW w:w="567" w:type="dxa"/>
            <w:shd w:val="clear" w:color="auto" w:fill="C4BC96" w:themeFill="background2" w:themeFillShade="BF"/>
          </w:tcPr>
          <w:p w14:paraId="0B9C8037" w14:textId="77777777" w:rsidR="00E52108" w:rsidRPr="00626FCE" w:rsidRDefault="00E52108" w:rsidP="00626FCE">
            <w:pPr>
              <w:spacing w:before="120" w:after="120"/>
              <w:rPr>
                <w:sz w:val="16"/>
                <w:szCs w:val="16"/>
              </w:rPr>
            </w:pPr>
          </w:p>
        </w:tc>
        <w:tc>
          <w:tcPr>
            <w:tcW w:w="680" w:type="dxa"/>
            <w:shd w:val="clear" w:color="auto" w:fill="C4BC96" w:themeFill="background2" w:themeFillShade="BF"/>
          </w:tcPr>
          <w:p w14:paraId="0DEF7894" w14:textId="77777777" w:rsidR="00E52108" w:rsidRPr="00626FCE" w:rsidRDefault="00E52108" w:rsidP="00626FCE">
            <w:pPr>
              <w:spacing w:before="120" w:after="120"/>
              <w:rPr>
                <w:sz w:val="16"/>
                <w:szCs w:val="16"/>
              </w:rPr>
            </w:pPr>
          </w:p>
        </w:tc>
        <w:tc>
          <w:tcPr>
            <w:tcW w:w="692" w:type="dxa"/>
            <w:shd w:val="clear" w:color="auto" w:fill="C4BC96" w:themeFill="background2" w:themeFillShade="BF"/>
          </w:tcPr>
          <w:p w14:paraId="36F17AE4" w14:textId="77777777" w:rsidR="00E52108" w:rsidRPr="00626FCE" w:rsidRDefault="00E52108" w:rsidP="00626FCE">
            <w:pPr>
              <w:spacing w:before="120" w:after="120"/>
              <w:rPr>
                <w:sz w:val="16"/>
                <w:szCs w:val="16"/>
              </w:rPr>
            </w:pPr>
          </w:p>
        </w:tc>
        <w:tc>
          <w:tcPr>
            <w:tcW w:w="754" w:type="dxa"/>
            <w:shd w:val="clear" w:color="auto" w:fill="C4BC96" w:themeFill="background2" w:themeFillShade="BF"/>
          </w:tcPr>
          <w:p w14:paraId="69044E59" w14:textId="77777777" w:rsidR="00E52108" w:rsidRPr="00626FCE" w:rsidRDefault="00E52108" w:rsidP="00626FCE">
            <w:pPr>
              <w:spacing w:before="120" w:after="120"/>
              <w:rPr>
                <w:sz w:val="16"/>
                <w:szCs w:val="16"/>
              </w:rPr>
            </w:pPr>
          </w:p>
        </w:tc>
        <w:tc>
          <w:tcPr>
            <w:tcW w:w="709" w:type="dxa"/>
            <w:shd w:val="clear" w:color="auto" w:fill="C4BC96" w:themeFill="background2" w:themeFillShade="BF"/>
          </w:tcPr>
          <w:p w14:paraId="653E9E25" w14:textId="77777777" w:rsidR="00E52108" w:rsidRPr="00626FCE" w:rsidRDefault="00E52108" w:rsidP="00626FCE">
            <w:pPr>
              <w:spacing w:before="120" w:after="120"/>
              <w:rPr>
                <w:sz w:val="16"/>
                <w:szCs w:val="16"/>
              </w:rPr>
            </w:pPr>
          </w:p>
        </w:tc>
        <w:tc>
          <w:tcPr>
            <w:tcW w:w="567" w:type="dxa"/>
            <w:shd w:val="clear" w:color="auto" w:fill="C4BC96" w:themeFill="background2" w:themeFillShade="BF"/>
          </w:tcPr>
          <w:p w14:paraId="2E45EE46" w14:textId="77777777" w:rsidR="00E52108" w:rsidRPr="00626FCE" w:rsidRDefault="00E52108" w:rsidP="00626FCE">
            <w:pPr>
              <w:spacing w:before="120" w:after="120"/>
              <w:rPr>
                <w:sz w:val="16"/>
                <w:szCs w:val="16"/>
              </w:rPr>
            </w:pPr>
          </w:p>
        </w:tc>
        <w:tc>
          <w:tcPr>
            <w:tcW w:w="708" w:type="dxa"/>
            <w:shd w:val="clear" w:color="auto" w:fill="C4BC96" w:themeFill="background2" w:themeFillShade="BF"/>
          </w:tcPr>
          <w:p w14:paraId="4BD2BE6F" w14:textId="77777777" w:rsidR="00E52108" w:rsidRPr="00626FCE" w:rsidRDefault="00E52108" w:rsidP="00626FCE">
            <w:pPr>
              <w:spacing w:before="120" w:after="120"/>
              <w:rPr>
                <w:sz w:val="16"/>
                <w:szCs w:val="16"/>
              </w:rPr>
            </w:pPr>
          </w:p>
        </w:tc>
        <w:tc>
          <w:tcPr>
            <w:tcW w:w="709" w:type="dxa"/>
            <w:shd w:val="clear" w:color="auto" w:fill="C4BC96" w:themeFill="background2" w:themeFillShade="BF"/>
          </w:tcPr>
          <w:p w14:paraId="6EE07B58" w14:textId="77777777" w:rsidR="00E52108" w:rsidRPr="00626FCE" w:rsidRDefault="00E52108" w:rsidP="00626FCE">
            <w:pPr>
              <w:spacing w:before="120" w:after="120"/>
              <w:rPr>
                <w:sz w:val="16"/>
                <w:szCs w:val="16"/>
              </w:rPr>
            </w:pPr>
          </w:p>
        </w:tc>
        <w:tc>
          <w:tcPr>
            <w:tcW w:w="709" w:type="dxa"/>
            <w:shd w:val="clear" w:color="auto" w:fill="C4BC96" w:themeFill="background2" w:themeFillShade="BF"/>
          </w:tcPr>
          <w:p w14:paraId="34E8C2B3" w14:textId="77777777" w:rsidR="00E52108" w:rsidRPr="00626FCE" w:rsidRDefault="00E52108" w:rsidP="00626FCE">
            <w:pPr>
              <w:spacing w:before="120" w:after="120"/>
              <w:rPr>
                <w:sz w:val="16"/>
                <w:szCs w:val="16"/>
              </w:rPr>
            </w:pPr>
          </w:p>
        </w:tc>
        <w:tc>
          <w:tcPr>
            <w:tcW w:w="709" w:type="dxa"/>
            <w:shd w:val="clear" w:color="auto" w:fill="C4BC96" w:themeFill="background2" w:themeFillShade="BF"/>
          </w:tcPr>
          <w:p w14:paraId="60821DE0" w14:textId="77777777" w:rsidR="00E52108" w:rsidRPr="00626FCE" w:rsidRDefault="00E52108" w:rsidP="00626FCE">
            <w:pPr>
              <w:spacing w:before="120" w:after="120"/>
              <w:rPr>
                <w:sz w:val="16"/>
                <w:szCs w:val="16"/>
              </w:rPr>
            </w:pPr>
          </w:p>
        </w:tc>
      </w:tr>
      <w:tr w:rsidR="00E52108" w:rsidRPr="00626FCE" w14:paraId="669A35C3" w14:textId="77777777" w:rsidTr="0099595B">
        <w:trPr>
          <w:trHeight w:val="348"/>
        </w:trPr>
        <w:tc>
          <w:tcPr>
            <w:tcW w:w="1864" w:type="dxa"/>
            <w:shd w:val="clear" w:color="auto" w:fill="D9D9D9" w:themeFill="background1" w:themeFillShade="D9"/>
          </w:tcPr>
          <w:p w14:paraId="12696995" w14:textId="77777777" w:rsidR="00E52108" w:rsidRPr="00626FCE" w:rsidRDefault="00E52108" w:rsidP="00626FCE">
            <w:pPr>
              <w:spacing w:before="120" w:after="120"/>
              <w:rPr>
                <w:b/>
                <w:sz w:val="18"/>
                <w:szCs w:val="16"/>
              </w:rPr>
            </w:pPr>
          </w:p>
        </w:tc>
        <w:tc>
          <w:tcPr>
            <w:tcW w:w="706" w:type="dxa"/>
            <w:shd w:val="clear" w:color="auto" w:fill="FFFFFF" w:themeFill="background1"/>
            <w:noWrap/>
          </w:tcPr>
          <w:p w14:paraId="71042DE0" w14:textId="77777777" w:rsidR="00E52108" w:rsidRPr="00626FCE" w:rsidRDefault="00E52108" w:rsidP="00626FCE">
            <w:pPr>
              <w:spacing w:before="120" w:after="120"/>
              <w:rPr>
                <w:sz w:val="16"/>
                <w:szCs w:val="16"/>
              </w:rPr>
            </w:pPr>
          </w:p>
        </w:tc>
        <w:tc>
          <w:tcPr>
            <w:tcW w:w="709" w:type="dxa"/>
            <w:gridSpan w:val="2"/>
            <w:shd w:val="clear" w:color="auto" w:fill="FFFFFF" w:themeFill="background1"/>
          </w:tcPr>
          <w:p w14:paraId="4860E5C8" w14:textId="77777777" w:rsidR="00E52108" w:rsidRPr="00626FCE" w:rsidRDefault="00E52108" w:rsidP="00626FCE">
            <w:pPr>
              <w:spacing w:before="120" w:after="120"/>
              <w:rPr>
                <w:sz w:val="16"/>
                <w:szCs w:val="16"/>
              </w:rPr>
            </w:pPr>
          </w:p>
        </w:tc>
        <w:tc>
          <w:tcPr>
            <w:tcW w:w="709" w:type="dxa"/>
            <w:shd w:val="clear" w:color="auto" w:fill="FFFFFF" w:themeFill="background1"/>
          </w:tcPr>
          <w:p w14:paraId="485C09CA" w14:textId="77777777" w:rsidR="00E52108" w:rsidRPr="00626FCE" w:rsidRDefault="00E52108" w:rsidP="00626FCE">
            <w:pPr>
              <w:spacing w:before="120" w:after="120"/>
              <w:rPr>
                <w:sz w:val="16"/>
                <w:szCs w:val="16"/>
              </w:rPr>
            </w:pPr>
          </w:p>
        </w:tc>
        <w:tc>
          <w:tcPr>
            <w:tcW w:w="733" w:type="dxa"/>
            <w:shd w:val="clear" w:color="auto" w:fill="FFFFFF" w:themeFill="background1"/>
          </w:tcPr>
          <w:p w14:paraId="0DF065F3" w14:textId="77777777" w:rsidR="00E52108" w:rsidRPr="00626FCE" w:rsidRDefault="00E52108" w:rsidP="00626FCE">
            <w:pPr>
              <w:spacing w:before="120" w:after="120"/>
              <w:rPr>
                <w:sz w:val="16"/>
                <w:szCs w:val="16"/>
              </w:rPr>
            </w:pPr>
          </w:p>
        </w:tc>
        <w:tc>
          <w:tcPr>
            <w:tcW w:w="543" w:type="dxa"/>
            <w:shd w:val="clear" w:color="auto" w:fill="FFFFFF" w:themeFill="background1"/>
          </w:tcPr>
          <w:p w14:paraId="5A83CD67" w14:textId="77777777" w:rsidR="00E52108" w:rsidRPr="00626FCE" w:rsidRDefault="00E52108" w:rsidP="00626FCE">
            <w:pPr>
              <w:spacing w:before="120" w:after="120"/>
              <w:rPr>
                <w:sz w:val="16"/>
                <w:szCs w:val="16"/>
              </w:rPr>
            </w:pPr>
          </w:p>
        </w:tc>
        <w:tc>
          <w:tcPr>
            <w:tcW w:w="567" w:type="dxa"/>
            <w:shd w:val="clear" w:color="auto" w:fill="FFFFFF" w:themeFill="background1"/>
          </w:tcPr>
          <w:p w14:paraId="0D6BD61E" w14:textId="77777777" w:rsidR="00E52108" w:rsidRPr="00626FCE" w:rsidRDefault="00E52108" w:rsidP="00626FCE">
            <w:pPr>
              <w:spacing w:before="120" w:after="120"/>
              <w:rPr>
                <w:sz w:val="16"/>
                <w:szCs w:val="16"/>
              </w:rPr>
            </w:pPr>
          </w:p>
        </w:tc>
        <w:tc>
          <w:tcPr>
            <w:tcW w:w="567" w:type="dxa"/>
          </w:tcPr>
          <w:p w14:paraId="7D01ED60" w14:textId="77777777" w:rsidR="00E52108" w:rsidRPr="00626FCE" w:rsidRDefault="00E52108" w:rsidP="00626FCE">
            <w:pPr>
              <w:spacing w:before="120" w:after="120"/>
              <w:rPr>
                <w:sz w:val="16"/>
                <w:szCs w:val="16"/>
              </w:rPr>
            </w:pPr>
          </w:p>
        </w:tc>
        <w:tc>
          <w:tcPr>
            <w:tcW w:w="680" w:type="dxa"/>
          </w:tcPr>
          <w:p w14:paraId="4DFC69B8" w14:textId="77777777" w:rsidR="00E52108" w:rsidRPr="00626FCE" w:rsidRDefault="00E52108" w:rsidP="00626FCE">
            <w:pPr>
              <w:spacing w:before="120" w:after="120"/>
              <w:rPr>
                <w:sz w:val="16"/>
                <w:szCs w:val="16"/>
              </w:rPr>
            </w:pPr>
          </w:p>
        </w:tc>
        <w:tc>
          <w:tcPr>
            <w:tcW w:w="692" w:type="dxa"/>
          </w:tcPr>
          <w:p w14:paraId="67709CC5" w14:textId="77777777" w:rsidR="00E52108" w:rsidRPr="00626FCE" w:rsidRDefault="00E52108" w:rsidP="00626FCE">
            <w:pPr>
              <w:spacing w:before="120" w:after="120"/>
              <w:rPr>
                <w:sz w:val="16"/>
                <w:szCs w:val="16"/>
              </w:rPr>
            </w:pPr>
          </w:p>
        </w:tc>
        <w:tc>
          <w:tcPr>
            <w:tcW w:w="754" w:type="dxa"/>
            <w:shd w:val="clear" w:color="auto" w:fill="FFFFFF" w:themeFill="background1"/>
          </w:tcPr>
          <w:p w14:paraId="663B251B" w14:textId="77777777" w:rsidR="00E52108" w:rsidRPr="00626FCE" w:rsidRDefault="00E52108" w:rsidP="00626FCE">
            <w:pPr>
              <w:spacing w:before="120" w:after="120"/>
              <w:rPr>
                <w:sz w:val="16"/>
                <w:szCs w:val="16"/>
              </w:rPr>
            </w:pPr>
          </w:p>
        </w:tc>
        <w:tc>
          <w:tcPr>
            <w:tcW w:w="709" w:type="dxa"/>
            <w:shd w:val="clear" w:color="auto" w:fill="FFFFFF" w:themeFill="background1"/>
          </w:tcPr>
          <w:p w14:paraId="060B5A19" w14:textId="77777777" w:rsidR="00E52108" w:rsidRPr="00626FCE" w:rsidRDefault="00E52108" w:rsidP="00626FCE">
            <w:pPr>
              <w:spacing w:before="120" w:after="120"/>
              <w:rPr>
                <w:sz w:val="16"/>
                <w:szCs w:val="16"/>
              </w:rPr>
            </w:pPr>
          </w:p>
        </w:tc>
        <w:tc>
          <w:tcPr>
            <w:tcW w:w="567" w:type="dxa"/>
            <w:shd w:val="clear" w:color="auto" w:fill="FFFFFF" w:themeFill="background1"/>
          </w:tcPr>
          <w:p w14:paraId="7C8C2A06" w14:textId="77777777" w:rsidR="00E52108" w:rsidRPr="00626FCE" w:rsidRDefault="00E52108" w:rsidP="00626FCE">
            <w:pPr>
              <w:spacing w:before="120" w:after="120"/>
              <w:rPr>
                <w:sz w:val="16"/>
                <w:szCs w:val="16"/>
              </w:rPr>
            </w:pPr>
          </w:p>
        </w:tc>
        <w:tc>
          <w:tcPr>
            <w:tcW w:w="708" w:type="dxa"/>
            <w:shd w:val="clear" w:color="auto" w:fill="FFFFFF" w:themeFill="background1"/>
          </w:tcPr>
          <w:p w14:paraId="28352A2F" w14:textId="77777777" w:rsidR="00E52108" w:rsidRPr="00626FCE" w:rsidRDefault="00E52108" w:rsidP="00626FCE">
            <w:pPr>
              <w:spacing w:before="120" w:after="120"/>
              <w:rPr>
                <w:sz w:val="16"/>
                <w:szCs w:val="16"/>
              </w:rPr>
            </w:pPr>
          </w:p>
        </w:tc>
        <w:tc>
          <w:tcPr>
            <w:tcW w:w="709" w:type="dxa"/>
            <w:shd w:val="clear" w:color="auto" w:fill="FFFFFF" w:themeFill="background1"/>
          </w:tcPr>
          <w:p w14:paraId="1AA0063F" w14:textId="77777777" w:rsidR="00E52108" w:rsidRPr="00626FCE" w:rsidRDefault="00E52108" w:rsidP="00626FCE">
            <w:pPr>
              <w:spacing w:before="120" w:after="120"/>
              <w:rPr>
                <w:sz w:val="16"/>
                <w:szCs w:val="16"/>
              </w:rPr>
            </w:pPr>
          </w:p>
        </w:tc>
        <w:tc>
          <w:tcPr>
            <w:tcW w:w="709" w:type="dxa"/>
            <w:shd w:val="clear" w:color="auto" w:fill="FFFFFF" w:themeFill="background1"/>
          </w:tcPr>
          <w:p w14:paraId="081C6912" w14:textId="77777777" w:rsidR="00E52108" w:rsidRPr="00626FCE" w:rsidRDefault="00E52108" w:rsidP="00626FCE">
            <w:pPr>
              <w:spacing w:before="120" w:after="120"/>
              <w:rPr>
                <w:sz w:val="16"/>
                <w:szCs w:val="16"/>
              </w:rPr>
            </w:pPr>
          </w:p>
        </w:tc>
        <w:tc>
          <w:tcPr>
            <w:tcW w:w="709" w:type="dxa"/>
            <w:shd w:val="clear" w:color="auto" w:fill="FFFFFF" w:themeFill="background1"/>
          </w:tcPr>
          <w:p w14:paraId="44F78445" w14:textId="77777777" w:rsidR="00E52108" w:rsidRPr="00626FCE" w:rsidRDefault="00E52108" w:rsidP="00626FCE">
            <w:pPr>
              <w:spacing w:before="120" w:after="120"/>
              <w:rPr>
                <w:sz w:val="16"/>
                <w:szCs w:val="16"/>
              </w:rPr>
            </w:pPr>
          </w:p>
        </w:tc>
      </w:tr>
      <w:tr w:rsidR="00E52108" w:rsidRPr="00626FCE" w14:paraId="2E7A5DBF" w14:textId="77777777" w:rsidTr="00E52108">
        <w:trPr>
          <w:trHeight w:val="348"/>
        </w:trPr>
        <w:tc>
          <w:tcPr>
            <w:tcW w:w="1864" w:type="dxa"/>
            <w:shd w:val="clear" w:color="auto" w:fill="D9D9D9" w:themeFill="background1" w:themeFillShade="D9"/>
          </w:tcPr>
          <w:p w14:paraId="6D1E2F1B" w14:textId="7CB797F8" w:rsidR="00E52108" w:rsidRPr="00626FCE" w:rsidRDefault="00E52108" w:rsidP="00626FCE">
            <w:pPr>
              <w:spacing w:before="120" w:after="120"/>
              <w:rPr>
                <w:b/>
                <w:sz w:val="18"/>
                <w:szCs w:val="16"/>
              </w:rPr>
            </w:pPr>
            <w:r w:rsidRPr="00E52108">
              <w:rPr>
                <w:b/>
                <w:sz w:val="18"/>
                <w:szCs w:val="16"/>
              </w:rPr>
              <w:t>T 5.3 - Capacity building activities</w:t>
            </w:r>
          </w:p>
        </w:tc>
        <w:tc>
          <w:tcPr>
            <w:tcW w:w="706" w:type="dxa"/>
            <w:shd w:val="clear" w:color="auto" w:fill="FFFFFF" w:themeFill="background1"/>
            <w:noWrap/>
          </w:tcPr>
          <w:p w14:paraId="3A021DD0" w14:textId="77777777" w:rsidR="00E52108" w:rsidRPr="00626FCE" w:rsidRDefault="00E52108" w:rsidP="00626FCE">
            <w:pPr>
              <w:spacing w:before="120" w:after="120"/>
              <w:rPr>
                <w:sz w:val="16"/>
                <w:szCs w:val="16"/>
              </w:rPr>
            </w:pPr>
          </w:p>
        </w:tc>
        <w:tc>
          <w:tcPr>
            <w:tcW w:w="709" w:type="dxa"/>
            <w:gridSpan w:val="2"/>
            <w:shd w:val="clear" w:color="auto" w:fill="FFFFFF" w:themeFill="background1"/>
          </w:tcPr>
          <w:p w14:paraId="7E3E89E7" w14:textId="77777777" w:rsidR="00E52108" w:rsidRPr="00626FCE" w:rsidRDefault="00E52108" w:rsidP="00626FCE">
            <w:pPr>
              <w:spacing w:before="120" w:after="120"/>
              <w:rPr>
                <w:sz w:val="16"/>
                <w:szCs w:val="16"/>
              </w:rPr>
            </w:pPr>
          </w:p>
        </w:tc>
        <w:tc>
          <w:tcPr>
            <w:tcW w:w="709" w:type="dxa"/>
            <w:shd w:val="clear" w:color="auto" w:fill="FFFFFF" w:themeFill="background1"/>
          </w:tcPr>
          <w:p w14:paraId="403D5EDA" w14:textId="77777777" w:rsidR="00E52108" w:rsidRPr="00626FCE" w:rsidRDefault="00E52108" w:rsidP="00626FCE">
            <w:pPr>
              <w:spacing w:before="120" w:after="120"/>
              <w:rPr>
                <w:sz w:val="16"/>
                <w:szCs w:val="16"/>
              </w:rPr>
            </w:pPr>
          </w:p>
        </w:tc>
        <w:tc>
          <w:tcPr>
            <w:tcW w:w="733" w:type="dxa"/>
            <w:shd w:val="clear" w:color="auto" w:fill="FFFFFF" w:themeFill="background1"/>
          </w:tcPr>
          <w:p w14:paraId="0D6C9575" w14:textId="77777777" w:rsidR="00E52108" w:rsidRPr="00626FCE" w:rsidRDefault="00E52108" w:rsidP="00626FCE">
            <w:pPr>
              <w:spacing w:before="120" w:after="120"/>
              <w:rPr>
                <w:sz w:val="16"/>
                <w:szCs w:val="16"/>
              </w:rPr>
            </w:pPr>
          </w:p>
        </w:tc>
        <w:tc>
          <w:tcPr>
            <w:tcW w:w="543" w:type="dxa"/>
            <w:shd w:val="clear" w:color="auto" w:fill="FFFFFF" w:themeFill="background1"/>
          </w:tcPr>
          <w:p w14:paraId="19AE6F31" w14:textId="77777777" w:rsidR="00E52108" w:rsidRPr="00626FCE" w:rsidRDefault="00E52108" w:rsidP="00626FCE">
            <w:pPr>
              <w:spacing w:before="120" w:after="120"/>
              <w:rPr>
                <w:sz w:val="16"/>
                <w:szCs w:val="16"/>
              </w:rPr>
            </w:pPr>
          </w:p>
        </w:tc>
        <w:tc>
          <w:tcPr>
            <w:tcW w:w="567" w:type="dxa"/>
            <w:shd w:val="clear" w:color="auto" w:fill="C4BC96" w:themeFill="background2" w:themeFillShade="BF"/>
          </w:tcPr>
          <w:p w14:paraId="53EC5B6E" w14:textId="77777777" w:rsidR="00E52108" w:rsidRPr="00626FCE" w:rsidRDefault="00E52108" w:rsidP="00626FCE">
            <w:pPr>
              <w:spacing w:before="120" w:after="120"/>
              <w:rPr>
                <w:sz w:val="16"/>
                <w:szCs w:val="16"/>
              </w:rPr>
            </w:pPr>
          </w:p>
        </w:tc>
        <w:tc>
          <w:tcPr>
            <w:tcW w:w="567" w:type="dxa"/>
            <w:shd w:val="clear" w:color="auto" w:fill="C4BC96" w:themeFill="background2" w:themeFillShade="BF"/>
          </w:tcPr>
          <w:p w14:paraId="2D7C6061" w14:textId="77777777" w:rsidR="00E52108" w:rsidRPr="00626FCE" w:rsidRDefault="00E52108" w:rsidP="00626FCE">
            <w:pPr>
              <w:spacing w:before="120" w:after="120"/>
              <w:rPr>
                <w:sz w:val="16"/>
                <w:szCs w:val="16"/>
              </w:rPr>
            </w:pPr>
          </w:p>
        </w:tc>
        <w:tc>
          <w:tcPr>
            <w:tcW w:w="680" w:type="dxa"/>
            <w:shd w:val="clear" w:color="auto" w:fill="C4BC96" w:themeFill="background2" w:themeFillShade="BF"/>
          </w:tcPr>
          <w:p w14:paraId="178A45C7" w14:textId="77777777" w:rsidR="00E52108" w:rsidRPr="00626FCE" w:rsidRDefault="00E52108" w:rsidP="00626FCE">
            <w:pPr>
              <w:spacing w:before="120" w:after="120"/>
              <w:rPr>
                <w:sz w:val="16"/>
                <w:szCs w:val="16"/>
              </w:rPr>
            </w:pPr>
          </w:p>
        </w:tc>
        <w:tc>
          <w:tcPr>
            <w:tcW w:w="692" w:type="dxa"/>
            <w:shd w:val="clear" w:color="auto" w:fill="C4BC96" w:themeFill="background2" w:themeFillShade="BF"/>
          </w:tcPr>
          <w:p w14:paraId="2EA3A348" w14:textId="77777777" w:rsidR="00E52108" w:rsidRPr="00626FCE" w:rsidRDefault="00E52108" w:rsidP="00626FCE">
            <w:pPr>
              <w:spacing w:before="120" w:after="120"/>
              <w:rPr>
                <w:sz w:val="16"/>
                <w:szCs w:val="16"/>
              </w:rPr>
            </w:pPr>
          </w:p>
        </w:tc>
        <w:tc>
          <w:tcPr>
            <w:tcW w:w="754" w:type="dxa"/>
            <w:shd w:val="clear" w:color="auto" w:fill="FFFFFF" w:themeFill="background1"/>
          </w:tcPr>
          <w:p w14:paraId="56BBDFA4" w14:textId="77777777" w:rsidR="00E52108" w:rsidRPr="00626FCE" w:rsidRDefault="00E52108" w:rsidP="00626FCE">
            <w:pPr>
              <w:spacing w:before="120" w:after="120"/>
              <w:rPr>
                <w:sz w:val="16"/>
                <w:szCs w:val="16"/>
              </w:rPr>
            </w:pPr>
          </w:p>
        </w:tc>
        <w:tc>
          <w:tcPr>
            <w:tcW w:w="709" w:type="dxa"/>
            <w:shd w:val="clear" w:color="auto" w:fill="FFFFFF" w:themeFill="background1"/>
          </w:tcPr>
          <w:p w14:paraId="007F724B" w14:textId="77777777" w:rsidR="00E52108" w:rsidRPr="00626FCE" w:rsidRDefault="00E52108" w:rsidP="00626FCE">
            <w:pPr>
              <w:spacing w:before="120" w:after="120"/>
              <w:rPr>
                <w:sz w:val="16"/>
                <w:szCs w:val="16"/>
              </w:rPr>
            </w:pPr>
          </w:p>
        </w:tc>
        <w:tc>
          <w:tcPr>
            <w:tcW w:w="567" w:type="dxa"/>
            <w:shd w:val="clear" w:color="auto" w:fill="FFFFFF" w:themeFill="background1"/>
          </w:tcPr>
          <w:p w14:paraId="34506750" w14:textId="77777777" w:rsidR="00E52108" w:rsidRPr="00626FCE" w:rsidRDefault="00E52108" w:rsidP="00626FCE">
            <w:pPr>
              <w:spacing w:before="120" w:after="120"/>
              <w:rPr>
                <w:sz w:val="16"/>
                <w:szCs w:val="16"/>
              </w:rPr>
            </w:pPr>
          </w:p>
        </w:tc>
        <w:tc>
          <w:tcPr>
            <w:tcW w:w="708" w:type="dxa"/>
            <w:shd w:val="clear" w:color="auto" w:fill="FFFFFF" w:themeFill="background1"/>
          </w:tcPr>
          <w:p w14:paraId="0B982728" w14:textId="77777777" w:rsidR="00E52108" w:rsidRPr="00626FCE" w:rsidRDefault="00E52108" w:rsidP="00626FCE">
            <w:pPr>
              <w:spacing w:before="120" w:after="120"/>
              <w:rPr>
                <w:sz w:val="16"/>
                <w:szCs w:val="16"/>
              </w:rPr>
            </w:pPr>
          </w:p>
        </w:tc>
        <w:tc>
          <w:tcPr>
            <w:tcW w:w="709" w:type="dxa"/>
            <w:shd w:val="clear" w:color="auto" w:fill="FFFFFF" w:themeFill="background1"/>
          </w:tcPr>
          <w:p w14:paraId="6722E642" w14:textId="77777777" w:rsidR="00E52108" w:rsidRPr="00626FCE" w:rsidRDefault="00E52108" w:rsidP="00626FCE">
            <w:pPr>
              <w:spacing w:before="120" w:after="120"/>
              <w:rPr>
                <w:sz w:val="16"/>
                <w:szCs w:val="16"/>
              </w:rPr>
            </w:pPr>
          </w:p>
        </w:tc>
        <w:tc>
          <w:tcPr>
            <w:tcW w:w="709" w:type="dxa"/>
            <w:shd w:val="clear" w:color="auto" w:fill="FFFFFF" w:themeFill="background1"/>
          </w:tcPr>
          <w:p w14:paraId="40E8676D" w14:textId="77777777" w:rsidR="00E52108" w:rsidRPr="00626FCE" w:rsidRDefault="00E52108" w:rsidP="00626FCE">
            <w:pPr>
              <w:spacing w:before="120" w:after="120"/>
              <w:rPr>
                <w:sz w:val="16"/>
                <w:szCs w:val="16"/>
              </w:rPr>
            </w:pPr>
          </w:p>
        </w:tc>
        <w:tc>
          <w:tcPr>
            <w:tcW w:w="709" w:type="dxa"/>
            <w:shd w:val="clear" w:color="auto" w:fill="FFFFFF" w:themeFill="background1"/>
          </w:tcPr>
          <w:p w14:paraId="2ED4A2E8" w14:textId="77777777" w:rsidR="00E52108" w:rsidRPr="00626FCE" w:rsidRDefault="00E52108" w:rsidP="00626FCE">
            <w:pPr>
              <w:spacing w:before="120" w:after="120"/>
              <w:rPr>
                <w:sz w:val="16"/>
                <w:szCs w:val="16"/>
              </w:rPr>
            </w:pPr>
          </w:p>
        </w:tc>
      </w:tr>
      <w:tr w:rsidR="00E52108" w:rsidRPr="00626FCE" w14:paraId="65CA00E9" w14:textId="77777777" w:rsidTr="0099595B">
        <w:trPr>
          <w:trHeight w:val="348"/>
        </w:trPr>
        <w:tc>
          <w:tcPr>
            <w:tcW w:w="1864" w:type="dxa"/>
            <w:shd w:val="clear" w:color="auto" w:fill="D9D9D9" w:themeFill="background1" w:themeFillShade="D9"/>
          </w:tcPr>
          <w:p w14:paraId="413DF1A1" w14:textId="77777777" w:rsidR="00E52108" w:rsidRPr="00626FCE" w:rsidRDefault="00E52108" w:rsidP="00626FCE">
            <w:pPr>
              <w:spacing w:before="120" w:after="120"/>
              <w:rPr>
                <w:b/>
                <w:sz w:val="18"/>
                <w:szCs w:val="16"/>
              </w:rPr>
            </w:pPr>
          </w:p>
        </w:tc>
        <w:tc>
          <w:tcPr>
            <w:tcW w:w="706" w:type="dxa"/>
            <w:shd w:val="clear" w:color="auto" w:fill="FFFFFF" w:themeFill="background1"/>
            <w:noWrap/>
          </w:tcPr>
          <w:p w14:paraId="006B8F20" w14:textId="77777777" w:rsidR="00E52108" w:rsidRPr="00626FCE" w:rsidRDefault="00E52108" w:rsidP="00626FCE">
            <w:pPr>
              <w:spacing w:before="120" w:after="120"/>
              <w:rPr>
                <w:sz w:val="16"/>
                <w:szCs w:val="16"/>
              </w:rPr>
            </w:pPr>
          </w:p>
        </w:tc>
        <w:tc>
          <w:tcPr>
            <w:tcW w:w="709" w:type="dxa"/>
            <w:gridSpan w:val="2"/>
            <w:shd w:val="clear" w:color="auto" w:fill="FFFFFF" w:themeFill="background1"/>
          </w:tcPr>
          <w:p w14:paraId="395E65BD" w14:textId="77777777" w:rsidR="00E52108" w:rsidRPr="00626FCE" w:rsidRDefault="00E52108" w:rsidP="00626FCE">
            <w:pPr>
              <w:spacing w:before="120" w:after="120"/>
              <w:rPr>
                <w:sz w:val="16"/>
                <w:szCs w:val="16"/>
              </w:rPr>
            </w:pPr>
          </w:p>
        </w:tc>
        <w:tc>
          <w:tcPr>
            <w:tcW w:w="709" w:type="dxa"/>
            <w:shd w:val="clear" w:color="auto" w:fill="FFFFFF" w:themeFill="background1"/>
          </w:tcPr>
          <w:p w14:paraId="7571D674" w14:textId="77777777" w:rsidR="00E52108" w:rsidRPr="00626FCE" w:rsidRDefault="00E52108" w:rsidP="00626FCE">
            <w:pPr>
              <w:spacing w:before="120" w:after="120"/>
              <w:rPr>
                <w:sz w:val="16"/>
                <w:szCs w:val="16"/>
              </w:rPr>
            </w:pPr>
          </w:p>
        </w:tc>
        <w:tc>
          <w:tcPr>
            <w:tcW w:w="733" w:type="dxa"/>
            <w:shd w:val="clear" w:color="auto" w:fill="FFFFFF" w:themeFill="background1"/>
          </w:tcPr>
          <w:p w14:paraId="2B3D20CB" w14:textId="77777777" w:rsidR="00E52108" w:rsidRPr="00626FCE" w:rsidRDefault="00E52108" w:rsidP="00626FCE">
            <w:pPr>
              <w:spacing w:before="120" w:after="120"/>
              <w:rPr>
                <w:sz w:val="16"/>
                <w:szCs w:val="16"/>
              </w:rPr>
            </w:pPr>
          </w:p>
        </w:tc>
        <w:tc>
          <w:tcPr>
            <w:tcW w:w="543" w:type="dxa"/>
            <w:shd w:val="clear" w:color="auto" w:fill="FFFFFF" w:themeFill="background1"/>
          </w:tcPr>
          <w:p w14:paraId="631FE0F0" w14:textId="77777777" w:rsidR="00E52108" w:rsidRPr="00626FCE" w:rsidRDefault="00E52108" w:rsidP="00626FCE">
            <w:pPr>
              <w:spacing w:before="120" w:after="120"/>
              <w:rPr>
                <w:sz w:val="16"/>
                <w:szCs w:val="16"/>
              </w:rPr>
            </w:pPr>
          </w:p>
        </w:tc>
        <w:tc>
          <w:tcPr>
            <w:tcW w:w="567" w:type="dxa"/>
            <w:shd w:val="clear" w:color="auto" w:fill="FFFFFF" w:themeFill="background1"/>
          </w:tcPr>
          <w:p w14:paraId="5905452E" w14:textId="77777777" w:rsidR="00E52108" w:rsidRPr="00626FCE" w:rsidRDefault="00E52108" w:rsidP="00626FCE">
            <w:pPr>
              <w:spacing w:before="120" w:after="120"/>
              <w:rPr>
                <w:sz w:val="16"/>
                <w:szCs w:val="16"/>
              </w:rPr>
            </w:pPr>
          </w:p>
        </w:tc>
        <w:tc>
          <w:tcPr>
            <w:tcW w:w="567" w:type="dxa"/>
          </w:tcPr>
          <w:p w14:paraId="3A3BE86D" w14:textId="77777777" w:rsidR="00E52108" w:rsidRPr="00626FCE" w:rsidRDefault="00E52108" w:rsidP="00626FCE">
            <w:pPr>
              <w:spacing w:before="120" w:after="120"/>
              <w:rPr>
                <w:sz w:val="16"/>
                <w:szCs w:val="16"/>
              </w:rPr>
            </w:pPr>
          </w:p>
        </w:tc>
        <w:tc>
          <w:tcPr>
            <w:tcW w:w="680" w:type="dxa"/>
          </w:tcPr>
          <w:p w14:paraId="27507AF6" w14:textId="77777777" w:rsidR="00E52108" w:rsidRPr="00626FCE" w:rsidRDefault="00E52108" w:rsidP="00626FCE">
            <w:pPr>
              <w:spacing w:before="120" w:after="120"/>
              <w:rPr>
                <w:sz w:val="16"/>
                <w:szCs w:val="16"/>
              </w:rPr>
            </w:pPr>
          </w:p>
        </w:tc>
        <w:tc>
          <w:tcPr>
            <w:tcW w:w="692" w:type="dxa"/>
          </w:tcPr>
          <w:p w14:paraId="5589EF48" w14:textId="77777777" w:rsidR="00E52108" w:rsidRPr="00626FCE" w:rsidRDefault="00E52108" w:rsidP="00626FCE">
            <w:pPr>
              <w:spacing w:before="120" w:after="120"/>
              <w:rPr>
                <w:sz w:val="16"/>
                <w:szCs w:val="16"/>
              </w:rPr>
            </w:pPr>
          </w:p>
        </w:tc>
        <w:tc>
          <w:tcPr>
            <w:tcW w:w="754" w:type="dxa"/>
            <w:shd w:val="clear" w:color="auto" w:fill="FFFFFF" w:themeFill="background1"/>
          </w:tcPr>
          <w:p w14:paraId="27AD74AD" w14:textId="77777777" w:rsidR="00E52108" w:rsidRPr="00626FCE" w:rsidRDefault="00E52108" w:rsidP="00626FCE">
            <w:pPr>
              <w:spacing w:before="120" w:after="120"/>
              <w:rPr>
                <w:sz w:val="16"/>
                <w:szCs w:val="16"/>
              </w:rPr>
            </w:pPr>
          </w:p>
        </w:tc>
        <w:tc>
          <w:tcPr>
            <w:tcW w:w="709" w:type="dxa"/>
            <w:shd w:val="clear" w:color="auto" w:fill="FFFFFF" w:themeFill="background1"/>
          </w:tcPr>
          <w:p w14:paraId="4461CA51" w14:textId="77777777" w:rsidR="00E52108" w:rsidRPr="00626FCE" w:rsidRDefault="00E52108" w:rsidP="00626FCE">
            <w:pPr>
              <w:spacing w:before="120" w:after="120"/>
              <w:rPr>
                <w:sz w:val="16"/>
                <w:szCs w:val="16"/>
              </w:rPr>
            </w:pPr>
          </w:p>
        </w:tc>
        <w:tc>
          <w:tcPr>
            <w:tcW w:w="567" w:type="dxa"/>
            <w:shd w:val="clear" w:color="auto" w:fill="FFFFFF" w:themeFill="background1"/>
          </w:tcPr>
          <w:p w14:paraId="769B6B7A" w14:textId="77777777" w:rsidR="00E52108" w:rsidRPr="00626FCE" w:rsidRDefault="00E52108" w:rsidP="00626FCE">
            <w:pPr>
              <w:spacing w:before="120" w:after="120"/>
              <w:rPr>
                <w:sz w:val="16"/>
                <w:szCs w:val="16"/>
              </w:rPr>
            </w:pPr>
          </w:p>
        </w:tc>
        <w:tc>
          <w:tcPr>
            <w:tcW w:w="708" w:type="dxa"/>
            <w:shd w:val="clear" w:color="auto" w:fill="FFFFFF" w:themeFill="background1"/>
          </w:tcPr>
          <w:p w14:paraId="4377104C" w14:textId="77777777" w:rsidR="00E52108" w:rsidRPr="00626FCE" w:rsidRDefault="00E52108" w:rsidP="00626FCE">
            <w:pPr>
              <w:spacing w:before="120" w:after="120"/>
              <w:rPr>
                <w:sz w:val="16"/>
                <w:szCs w:val="16"/>
              </w:rPr>
            </w:pPr>
          </w:p>
        </w:tc>
        <w:tc>
          <w:tcPr>
            <w:tcW w:w="709" w:type="dxa"/>
            <w:shd w:val="clear" w:color="auto" w:fill="FFFFFF" w:themeFill="background1"/>
          </w:tcPr>
          <w:p w14:paraId="49B8F984" w14:textId="77777777" w:rsidR="00E52108" w:rsidRPr="00626FCE" w:rsidRDefault="00E52108" w:rsidP="00626FCE">
            <w:pPr>
              <w:spacing w:before="120" w:after="120"/>
              <w:rPr>
                <w:sz w:val="16"/>
                <w:szCs w:val="16"/>
              </w:rPr>
            </w:pPr>
          </w:p>
        </w:tc>
        <w:tc>
          <w:tcPr>
            <w:tcW w:w="709" w:type="dxa"/>
            <w:shd w:val="clear" w:color="auto" w:fill="FFFFFF" w:themeFill="background1"/>
          </w:tcPr>
          <w:p w14:paraId="584928D9" w14:textId="77777777" w:rsidR="00E52108" w:rsidRPr="00626FCE" w:rsidRDefault="00E52108" w:rsidP="00626FCE">
            <w:pPr>
              <w:spacing w:before="120" w:after="120"/>
              <w:rPr>
                <w:sz w:val="16"/>
                <w:szCs w:val="16"/>
              </w:rPr>
            </w:pPr>
          </w:p>
        </w:tc>
        <w:tc>
          <w:tcPr>
            <w:tcW w:w="709" w:type="dxa"/>
            <w:shd w:val="clear" w:color="auto" w:fill="FFFFFF" w:themeFill="background1"/>
          </w:tcPr>
          <w:p w14:paraId="09B0FC41" w14:textId="77777777" w:rsidR="00E52108" w:rsidRPr="00626FCE" w:rsidRDefault="00E52108" w:rsidP="00626FCE">
            <w:pPr>
              <w:spacing w:before="120" w:after="120"/>
              <w:rPr>
                <w:sz w:val="16"/>
                <w:szCs w:val="16"/>
              </w:rPr>
            </w:pPr>
          </w:p>
        </w:tc>
      </w:tr>
      <w:tr w:rsidR="00E52108" w:rsidRPr="00626FCE" w14:paraId="17A4050E" w14:textId="77777777" w:rsidTr="00E52108">
        <w:trPr>
          <w:trHeight w:val="348"/>
        </w:trPr>
        <w:tc>
          <w:tcPr>
            <w:tcW w:w="1864" w:type="dxa"/>
            <w:shd w:val="clear" w:color="auto" w:fill="D9D9D9" w:themeFill="background1" w:themeFillShade="D9"/>
          </w:tcPr>
          <w:p w14:paraId="5F90F46D" w14:textId="75A2E07D" w:rsidR="00E52108" w:rsidRPr="00626FCE" w:rsidRDefault="00E52108" w:rsidP="00626FCE">
            <w:pPr>
              <w:spacing w:before="120" w:after="120"/>
              <w:rPr>
                <w:b/>
                <w:sz w:val="18"/>
                <w:szCs w:val="16"/>
              </w:rPr>
            </w:pPr>
            <w:r w:rsidRPr="00E52108">
              <w:rPr>
                <w:b/>
                <w:sz w:val="18"/>
                <w:szCs w:val="16"/>
              </w:rPr>
              <w:t>WP6 - Sustainability, Replication, Exploitation</w:t>
            </w:r>
          </w:p>
        </w:tc>
        <w:tc>
          <w:tcPr>
            <w:tcW w:w="706" w:type="dxa"/>
            <w:shd w:val="clear" w:color="auto" w:fill="948A54" w:themeFill="background2" w:themeFillShade="80"/>
            <w:noWrap/>
          </w:tcPr>
          <w:p w14:paraId="56FDDD67" w14:textId="77777777" w:rsidR="00E52108" w:rsidRPr="00626FCE" w:rsidRDefault="00E52108" w:rsidP="00626FCE">
            <w:pPr>
              <w:spacing w:before="120" w:after="120"/>
              <w:rPr>
                <w:sz w:val="16"/>
                <w:szCs w:val="16"/>
              </w:rPr>
            </w:pPr>
          </w:p>
        </w:tc>
        <w:tc>
          <w:tcPr>
            <w:tcW w:w="709" w:type="dxa"/>
            <w:gridSpan w:val="2"/>
            <w:shd w:val="clear" w:color="auto" w:fill="948A54" w:themeFill="background2" w:themeFillShade="80"/>
          </w:tcPr>
          <w:p w14:paraId="64239028" w14:textId="77777777" w:rsidR="00E52108" w:rsidRPr="00626FCE" w:rsidRDefault="00E52108" w:rsidP="00626FCE">
            <w:pPr>
              <w:spacing w:before="120" w:after="120"/>
              <w:rPr>
                <w:sz w:val="16"/>
                <w:szCs w:val="16"/>
              </w:rPr>
            </w:pPr>
          </w:p>
        </w:tc>
        <w:tc>
          <w:tcPr>
            <w:tcW w:w="709" w:type="dxa"/>
            <w:shd w:val="clear" w:color="auto" w:fill="948A54" w:themeFill="background2" w:themeFillShade="80"/>
          </w:tcPr>
          <w:p w14:paraId="435E4345" w14:textId="77777777" w:rsidR="00E52108" w:rsidRPr="00626FCE" w:rsidRDefault="00E52108" w:rsidP="00626FCE">
            <w:pPr>
              <w:spacing w:before="120" w:after="120"/>
              <w:rPr>
                <w:sz w:val="16"/>
                <w:szCs w:val="16"/>
              </w:rPr>
            </w:pPr>
          </w:p>
        </w:tc>
        <w:tc>
          <w:tcPr>
            <w:tcW w:w="733" w:type="dxa"/>
            <w:shd w:val="clear" w:color="auto" w:fill="948A54" w:themeFill="background2" w:themeFillShade="80"/>
          </w:tcPr>
          <w:p w14:paraId="124787C2" w14:textId="77777777" w:rsidR="00E52108" w:rsidRPr="00626FCE" w:rsidRDefault="00E52108" w:rsidP="00626FCE">
            <w:pPr>
              <w:spacing w:before="120" w:after="120"/>
              <w:rPr>
                <w:sz w:val="16"/>
                <w:szCs w:val="16"/>
              </w:rPr>
            </w:pPr>
          </w:p>
        </w:tc>
        <w:tc>
          <w:tcPr>
            <w:tcW w:w="543" w:type="dxa"/>
            <w:shd w:val="clear" w:color="auto" w:fill="948A54" w:themeFill="background2" w:themeFillShade="80"/>
          </w:tcPr>
          <w:p w14:paraId="5D2FE136" w14:textId="77777777" w:rsidR="00E52108" w:rsidRPr="00626FCE" w:rsidRDefault="00E52108" w:rsidP="00626FCE">
            <w:pPr>
              <w:spacing w:before="120" w:after="120"/>
              <w:rPr>
                <w:sz w:val="16"/>
                <w:szCs w:val="16"/>
              </w:rPr>
            </w:pPr>
          </w:p>
        </w:tc>
        <w:tc>
          <w:tcPr>
            <w:tcW w:w="567" w:type="dxa"/>
            <w:shd w:val="clear" w:color="auto" w:fill="948A54" w:themeFill="background2" w:themeFillShade="80"/>
          </w:tcPr>
          <w:p w14:paraId="10DFB641" w14:textId="77777777" w:rsidR="00E52108" w:rsidRPr="00626FCE" w:rsidRDefault="00E52108" w:rsidP="00626FCE">
            <w:pPr>
              <w:spacing w:before="120" w:after="120"/>
              <w:rPr>
                <w:sz w:val="16"/>
                <w:szCs w:val="16"/>
              </w:rPr>
            </w:pPr>
          </w:p>
        </w:tc>
        <w:tc>
          <w:tcPr>
            <w:tcW w:w="567" w:type="dxa"/>
            <w:shd w:val="clear" w:color="auto" w:fill="948A54" w:themeFill="background2" w:themeFillShade="80"/>
          </w:tcPr>
          <w:p w14:paraId="715F82B9" w14:textId="77777777" w:rsidR="00E52108" w:rsidRPr="00626FCE" w:rsidRDefault="00E52108" w:rsidP="00626FCE">
            <w:pPr>
              <w:spacing w:before="120" w:after="120"/>
              <w:rPr>
                <w:sz w:val="16"/>
                <w:szCs w:val="16"/>
              </w:rPr>
            </w:pPr>
          </w:p>
        </w:tc>
        <w:tc>
          <w:tcPr>
            <w:tcW w:w="680" w:type="dxa"/>
            <w:shd w:val="clear" w:color="auto" w:fill="948A54" w:themeFill="background2" w:themeFillShade="80"/>
          </w:tcPr>
          <w:p w14:paraId="7826EC5D" w14:textId="77777777" w:rsidR="00E52108" w:rsidRPr="00626FCE" w:rsidRDefault="00E52108" w:rsidP="00626FCE">
            <w:pPr>
              <w:spacing w:before="120" w:after="120"/>
              <w:rPr>
                <w:sz w:val="16"/>
                <w:szCs w:val="16"/>
              </w:rPr>
            </w:pPr>
          </w:p>
        </w:tc>
        <w:tc>
          <w:tcPr>
            <w:tcW w:w="692" w:type="dxa"/>
            <w:shd w:val="clear" w:color="auto" w:fill="948A54" w:themeFill="background2" w:themeFillShade="80"/>
          </w:tcPr>
          <w:p w14:paraId="0846A10D" w14:textId="77777777" w:rsidR="00E52108" w:rsidRPr="00626FCE" w:rsidRDefault="00E52108" w:rsidP="00626FCE">
            <w:pPr>
              <w:spacing w:before="120" w:after="120"/>
              <w:rPr>
                <w:sz w:val="16"/>
                <w:szCs w:val="16"/>
              </w:rPr>
            </w:pPr>
          </w:p>
        </w:tc>
        <w:tc>
          <w:tcPr>
            <w:tcW w:w="754" w:type="dxa"/>
            <w:shd w:val="clear" w:color="auto" w:fill="948A54" w:themeFill="background2" w:themeFillShade="80"/>
          </w:tcPr>
          <w:p w14:paraId="189D2D8B" w14:textId="77777777" w:rsidR="00E52108" w:rsidRPr="00626FCE" w:rsidRDefault="00E52108" w:rsidP="00626FCE">
            <w:pPr>
              <w:spacing w:before="120" w:after="120"/>
              <w:rPr>
                <w:sz w:val="16"/>
                <w:szCs w:val="16"/>
              </w:rPr>
            </w:pPr>
          </w:p>
        </w:tc>
        <w:tc>
          <w:tcPr>
            <w:tcW w:w="709" w:type="dxa"/>
            <w:shd w:val="clear" w:color="auto" w:fill="948A54" w:themeFill="background2" w:themeFillShade="80"/>
          </w:tcPr>
          <w:p w14:paraId="60E8DB5A" w14:textId="77777777" w:rsidR="00E52108" w:rsidRPr="00626FCE" w:rsidRDefault="00E52108" w:rsidP="00626FCE">
            <w:pPr>
              <w:spacing w:before="120" w:after="120"/>
              <w:rPr>
                <w:sz w:val="16"/>
                <w:szCs w:val="16"/>
              </w:rPr>
            </w:pPr>
          </w:p>
        </w:tc>
        <w:tc>
          <w:tcPr>
            <w:tcW w:w="567" w:type="dxa"/>
            <w:shd w:val="clear" w:color="auto" w:fill="948A54" w:themeFill="background2" w:themeFillShade="80"/>
          </w:tcPr>
          <w:p w14:paraId="6033EBD4" w14:textId="77777777" w:rsidR="00E52108" w:rsidRPr="00626FCE" w:rsidRDefault="00E52108" w:rsidP="00626FCE">
            <w:pPr>
              <w:spacing w:before="120" w:after="120"/>
              <w:rPr>
                <w:sz w:val="16"/>
                <w:szCs w:val="16"/>
              </w:rPr>
            </w:pPr>
          </w:p>
        </w:tc>
        <w:tc>
          <w:tcPr>
            <w:tcW w:w="708" w:type="dxa"/>
            <w:shd w:val="clear" w:color="auto" w:fill="948A54" w:themeFill="background2" w:themeFillShade="80"/>
          </w:tcPr>
          <w:p w14:paraId="42EAFF94" w14:textId="77777777" w:rsidR="00E52108" w:rsidRPr="00626FCE" w:rsidRDefault="00E52108" w:rsidP="00626FCE">
            <w:pPr>
              <w:spacing w:before="120" w:after="120"/>
              <w:rPr>
                <w:sz w:val="16"/>
                <w:szCs w:val="16"/>
              </w:rPr>
            </w:pPr>
          </w:p>
        </w:tc>
        <w:tc>
          <w:tcPr>
            <w:tcW w:w="709" w:type="dxa"/>
            <w:shd w:val="clear" w:color="auto" w:fill="948A54" w:themeFill="background2" w:themeFillShade="80"/>
          </w:tcPr>
          <w:p w14:paraId="4C5BA941" w14:textId="77777777" w:rsidR="00E52108" w:rsidRPr="00626FCE" w:rsidRDefault="00E52108" w:rsidP="00626FCE">
            <w:pPr>
              <w:spacing w:before="120" w:after="120"/>
              <w:rPr>
                <w:sz w:val="16"/>
                <w:szCs w:val="16"/>
              </w:rPr>
            </w:pPr>
          </w:p>
        </w:tc>
        <w:tc>
          <w:tcPr>
            <w:tcW w:w="709" w:type="dxa"/>
            <w:shd w:val="clear" w:color="auto" w:fill="948A54" w:themeFill="background2" w:themeFillShade="80"/>
          </w:tcPr>
          <w:p w14:paraId="7379104E" w14:textId="77777777" w:rsidR="00E52108" w:rsidRPr="00626FCE" w:rsidRDefault="00E52108" w:rsidP="00626FCE">
            <w:pPr>
              <w:spacing w:before="120" w:after="120"/>
              <w:rPr>
                <w:sz w:val="16"/>
                <w:szCs w:val="16"/>
              </w:rPr>
            </w:pPr>
          </w:p>
        </w:tc>
        <w:tc>
          <w:tcPr>
            <w:tcW w:w="709" w:type="dxa"/>
            <w:shd w:val="clear" w:color="auto" w:fill="948A54" w:themeFill="background2" w:themeFillShade="80"/>
          </w:tcPr>
          <w:p w14:paraId="06737D8C" w14:textId="77777777" w:rsidR="00E52108" w:rsidRPr="00626FCE" w:rsidRDefault="00E52108" w:rsidP="00626FCE">
            <w:pPr>
              <w:spacing w:before="120" w:after="120"/>
              <w:rPr>
                <w:sz w:val="16"/>
                <w:szCs w:val="16"/>
              </w:rPr>
            </w:pPr>
          </w:p>
        </w:tc>
      </w:tr>
      <w:tr w:rsidR="00E52108" w:rsidRPr="00626FCE" w14:paraId="10BE7FD4" w14:textId="77777777" w:rsidTr="00E52108">
        <w:trPr>
          <w:trHeight w:val="348"/>
        </w:trPr>
        <w:tc>
          <w:tcPr>
            <w:tcW w:w="1864" w:type="dxa"/>
            <w:shd w:val="clear" w:color="auto" w:fill="D9D9D9" w:themeFill="background1" w:themeFillShade="D9"/>
          </w:tcPr>
          <w:p w14:paraId="1D378D43" w14:textId="77777777" w:rsidR="00E52108" w:rsidRPr="00E52108" w:rsidRDefault="00E52108" w:rsidP="00626FCE">
            <w:pPr>
              <w:spacing w:before="120" w:after="120"/>
              <w:rPr>
                <w:b/>
                <w:sz w:val="18"/>
                <w:szCs w:val="16"/>
              </w:rPr>
            </w:pPr>
          </w:p>
        </w:tc>
        <w:tc>
          <w:tcPr>
            <w:tcW w:w="706" w:type="dxa"/>
            <w:shd w:val="clear" w:color="auto" w:fill="FFFFFF" w:themeFill="background1"/>
            <w:noWrap/>
          </w:tcPr>
          <w:p w14:paraId="77330799" w14:textId="77777777" w:rsidR="00E52108" w:rsidRPr="00626FCE" w:rsidRDefault="00E52108" w:rsidP="00626FCE">
            <w:pPr>
              <w:spacing w:before="120" w:after="120"/>
              <w:rPr>
                <w:sz w:val="16"/>
                <w:szCs w:val="16"/>
              </w:rPr>
            </w:pPr>
          </w:p>
        </w:tc>
        <w:tc>
          <w:tcPr>
            <w:tcW w:w="709" w:type="dxa"/>
            <w:gridSpan w:val="2"/>
            <w:shd w:val="clear" w:color="auto" w:fill="FFFFFF" w:themeFill="background1"/>
          </w:tcPr>
          <w:p w14:paraId="7BB764A0" w14:textId="77777777" w:rsidR="00E52108" w:rsidRPr="00626FCE" w:rsidRDefault="00E52108" w:rsidP="00626FCE">
            <w:pPr>
              <w:spacing w:before="120" w:after="120"/>
              <w:rPr>
                <w:sz w:val="16"/>
                <w:szCs w:val="16"/>
              </w:rPr>
            </w:pPr>
          </w:p>
        </w:tc>
        <w:tc>
          <w:tcPr>
            <w:tcW w:w="709" w:type="dxa"/>
            <w:shd w:val="clear" w:color="auto" w:fill="FFFFFF" w:themeFill="background1"/>
          </w:tcPr>
          <w:p w14:paraId="459C4BA1" w14:textId="77777777" w:rsidR="00E52108" w:rsidRPr="00626FCE" w:rsidRDefault="00E52108" w:rsidP="00626FCE">
            <w:pPr>
              <w:spacing w:before="120" w:after="120"/>
              <w:rPr>
                <w:sz w:val="16"/>
                <w:szCs w:val="16"/>
              </w:rPr>
            </w:pPr>
          </w:p>
        </w:tc>
        <w:tc>
          <w:tcPr>
            <w:tcW w:w="733" w:type="dxa"/>
            <w:shd w:val="clear" w:color="auto" w:fill="FFFFFF" w:themeFill="background1"/>
          </w:tcPr>
          <w:p w14:paraId="180E42EC" w14:textId="77777777" w:rsidR="00E52108" w:rsidRPr="00626FCE" w:rsidRDefault="00E52108" w:rsidP="00626FCE">
            <w:pPr>
              <w:spacing w:before="120" w:after="120"/>
              <w:rPr>
                <w:sz w:val="16"/>
                <w:szCs w:val="16"/>
              </w:rPr>
            </w:pPr>
          </w:p>
        </w:tc>
        <w:tc>
          <w:tcPr>
            <w:tcW w:w="543" w:type="dxa"/>
            <w:shd w:val="clear" w:color="auto" w:fill="FFFFFF" w:themeFill="background1"/>
          </w:tcPr>
          <w:p w14:paraId="762A0CA1" w14:textId="77777777" w:rsidR="00E52108" w:rsidRPr="00626FCE" w:rsidRDefault="00E52108" w:rsidP="00626FCE">
            <w:pPr>
              <w:spacing w:before="120" w:after="120"/>
              <w:rPr>
                <w:sz w:val="16"/>
                <w:szCs w:val="16"/>
              </w:rPr>
            </w:pPr>
          </w:p>
        </w:tc>
        <w:tc>
          <w:tcPr>
            <w:tcW w:w="567" w:type="dxa"/>
            <w:shd w:val="clear" w:color="auto" w:fill="FFFFFF" w:themeFill="background1"/>
          </w:tcPr>
          <w:p w14:paraId="463385D5" w14:textId="77777777" w:rsidR="00E52108" w:rsidRPr="00626FCE" w:rsidRDefault="00E52108" w:rsidP="00626FCE">
            <w:pPr>
              <w:spacing w:before="120" w:after="120"/>
              <w:rPr>
                <w:sz w:val="16"/>
                <w:szCs w:val="16"/>
              </w:rPr>
            </w:pPr>
          </w:p>
        </w:tc>
        <w:tc>
          <w:tcPr>
            <w:tcW w:w="567" w:type="dxa"/>
            <w:shd w:val="clear" w:color="auto" w:fill="FFFFFF" w:themeFill="background1"/>
          </w:tcPr>
          <w:p w14:paraId="41A21445" w14:textId="77777777" w:rsidR="00E52108" w:rsidRPr="00626FCE" w:rsidRDefault="00E52108" w:rsidP="00626FCE">
            <w:pPr>
              <w:spacing w:before="120" w:after="120"/>
              <w:rPr>
                <w:sz w:val="16"/>
                <w:szCs w:val="16"/>
              </w:rPr>
            </w:pPr>
          </w:p>
        </w:tc>
        <w:tc>
          <w:tcPr>
            <w:tcW w:w="680" w:type="dxa"/>
            <w:shd w:val="clear" w:color="auto" w:fill="FFFFFF" w:themeFill="background1"/>
          </w:tcPr>
          <w:p w14:paraId="01F07762" w14:textId="77777777" w:rsidR="00E52108" w:rsidRPr="00626FCE" w:rsidRDefault="00E52108" w:rsidP="00626FCE">
            <w:pPr>
              <w:spacing w:before="120" w:after="120"/>
              <w:rPr>
                <w:sz w:val="16"/>
                <w:szCs w:val="16"/>
              </w:rPr>
            </w:pPr>
          </w:p>
        </w:tc>
        <w:tc>
          <w:tcPr>
            <w:tcW w:w="692" w:type="dxa"/>
            <w:shd w:val="clear" w:color="auto" w:fill="FFFFFF" w:themeFill="background1"/>
          </w:tcPr>
          <w:p w14:paraId="012095B1" w14:textId="77777777" w:rsidR="00E52108" w:rsidRPr="00626FCE" w:rsidRDefault="00E52108" w:rsidP="00626FCE">
            <w:pPr>
              <w:spacing w:before="120" w:after="120"/>
              <w:rPr>
                <w:sz w:val="16"/>
                <w:szCs w:val="16"/>
              </w:rPr>
            </w:pPr>
          </w:p>
        </w:tc>
        <w:tc>
          <w:tcPr>
            <w:tcW w:w="754" w:type="dxa"/>
            <w:shd w:val="clear" w:color="auto" w:fill="FFFFFF" w:themeFill="background1"/>
          </w:tcPr>
          <w:p w14:paraId="5A1B456C" w14:textId="77777777" w:rsidR="00E52108" w:rsidRPr="00626FCE" w:rsidRDefault="00E52108" w:rsidP="00626FCE">
            <w:pPr>
              <w:spacing w:before="120" w:after="120"/>
              <w:rPr>
                <w:sz w:val="16"/>
                <w:szCs w:val="16"/>
              </w:rPr>
            </w:pPr>
          </w:p>
        </w:tc>
        <w:tc>
          <w:tcPr>
            <w:tcW w:w="709" w:type="dxa"/>
            <w:shd w:val="clear" w:color="auto" w:fill="FFFFFF" w:themeFill="background1"/>
          </w:tcPr>
          <w:p w14:paraId="634331D1" w14:textId="77777777" w:rsidR="00E52108" w:rsidRPr="00626FCE" w:rsidRDefault="00E52108" w:rsidP="00626FCE">
            <w:pPr>
              <w:spacing w:before="120" w:after="120"/>
              <w:rPr>
                <w:sz w:val="16"/>
                <w:szCs w:val="16"/>
              </w:rPr>
            </w:pPr>
          </w:p>
        </w:tc>
        <w:tc>
          <w:tcPr>
            <w:tcW w:w="567" w:type="dxa"/>
            <w:shd w:val="clear" w:color="auto" w:fill="FFFFFF" w:themeFill="background1"/>
          </w:tcPr>
          <w:p w14:paraId="23DB1A1C" w14:textId="77777777" w:rsidR="00E52108" w:rsidRPr="00626FCE" w:rsidRDefault="00E52108" w:rsidP="00626FCE">
            <w:pPr>
              <w:spacing w:before="120" w:after="120"/>
              <w:rPr>
                <w:sz w:val="16"/>
                <w:szCs w:val="16"/>
              </w:rPr>
            </w:pPr>
          </w:p>
        </w:tc>
        <w:tc>
          <w:tcPr>
            <w:tcW w:w="708" w:type="dxa"/>
            <w:shd w:val="clear" w:color="auto" w:fill="FFFFFF" w:themeFill="background1"/>
          </w:tcPr>
          <w:p w14:paraId="27856F54" w14:textId="77777777" w:rsidR="00E52108" w:rsidRPr="00626FCE" w:rsidRDefault="00E52108" w:rsidP="00626FCE">
            <w:pPr>
              <w:spacing w:before="120" w:after="120"/>
              <w:rPr>
                <w:sz w:val="16"/>
                <w:szCs w:val="16"/>
              </w:rPr>
            </w:pPr>
          </w:p>
        </w:tc>
        <w:tc>
          <w:tcPr>
            <w:tcW w:w="709" w:type="dxa"/>
            <w:shd w:val="clear" w:color="auto" w:fill="FFFFFF" w:themeFill="background1"/>
          </w:tcPr>
          <w:p w14:paraId="450CA41C" w14:textId="77777777" w:rsidR="00E52108" w:rsidRPr="00626FCE" w:rsidRDefault="00E52108" w:rsidP="00626FCE">
            <w:pPr>
              <w:spacing w:before="120" w:after="120"/>
              <w:rPr>
                <w:sz w:val="16"/>
                <w:szCs w:val="16"/>
              </w:rPr>
            </w:pPr>
          </w:p>
        </w:tc>
        <w:tc>
          <w:tcPr>
            <w:tcW w:w="709" w:type="dxa"/>
            <w:shd w:val="clear" w:color="auto" w:fill="FFFFFF" w:themeFill="background1"/>
          </w:tcPr>
          <w:p w14:paraId="1100A1AA" w14:textId="77777777" w:rsidR="00E52108" w:rsidRPr="00626FCE" w:rsidRDefault="00E52108" w:rsidP="00626FCE">
            <w:pPr>
              <w:spacing w:before="120" w:after="120"/>
              <w:rPr>
                <w:sz w:val="16"/>
                <w:szCs w:val="16"/>
              </w:rPr>
            </w:pPr>
          </w:p>
        </w:tc>
        <w:tc>
          <w:tcPr>
            <w:tcW w:w="709" w:type="dxa"/>
            <w:shd w:val="clear" w:color="auto" w:fill="FFFFFF" w:themeFill="background1"/>
          </w:tcPr>
          <w:p w14:paraId="6046A1EA" w14:textId="77777777" w:rsidR="00E52108" w:rsidRPr="00626FCE" w:rsidRDefault="00E52108" w:rsidP="00626FCE">
            <w:pPr>
              <w:spacing w:before="120" w:after="120"/>
              <w:rPr>
                <w:sz w:val="16"/>
                <w:szCs w:val="16"/>
              </w:rPr>
            </w:pPr>
          </w:p>
        </w:tc>
      </w:tr>
      <w:tr w:rsidR="00E52108" w:rsidRPr="00626FCE" w14:paraId="76ED8212" w14:textId="77777777" w:rsidTr="00E52108">
        <w:trPr>
          <w:trHeight w:val="348"/>
        </w:trPr>
        <w:tc>
          <w:tcPr>
            <w:tcW w:w="1864" w:type="dxa"/>
            <w:shd w:val="clear" w:color="auto" w:fill="D9D9D9" w:themeFill="background1" w:themeFillShade="D9"/>
          </w:tcPr>
          <w:p w14:paraId="31B1EDB1" w14:textId="216963E2" w:rsidR="00E52108" w:rsidRPr="00E52108" w:rsidRDefault="00E52108" w:rsidP="00626FCE">
            <w:pPr>
              <w:spacing w:before="120" w:after="120"/>
              <w:rPr>
                <w:b/>
                <w:sz w:val="18"/>
                <w:szCs w:val="16"/>
                <w:lang w:val="en-US"/>
              </w:rPr>
            </w:pPr>
            <w:r w:rsidRPr="00E52108">
              <w:rPr>
                <w:b/>
                <w:sz w:val="18"/>
                <w:szCs w:val="16"/>
                <w:lang w:val="en-US"/>
              </w:rPr>
              <w:t xml:space="preserve">T 6.1 - Sustainability – 10-year Business </w:t>
            </w:r>
            <w:r w:rsidRPr="00E52108">
              <w:rPr>
                <w:b/>
                <w:sz w:val="18"/>
                <w:szCs w:val="16"/>
                <w:lang w:val="en-US"/>
              </w:rPr>
              <w:lastRenderedPageBreak/>
              <w:t>Plan of the RenoInGR</w:t>
            </w:r>
          </w:p>
        </w:tc>
        <w:tc>
          <w:tcPr>
            <w:tcW w:w="706" w:type="dxa"/>
            <w:shd w:val="clear" w:color="auto" w:fill="FFFFFF" w:themeFill="background1"/>
            <w:noWrap/>
          </w:tcPr>
          <w:p w14:paraId="11F86164" w14:textId="77777777" w:rsidR="00E52108" w:rsidRPr="00626FCE" w:rsidRDefault="00E52108" w:rsidP="00626FCE">
            <w:pPr>
              <w:spacing w:before="120" w:after="120"/>
              <w:rPr>
                <w:sz w:val="16"/>
                <w:szCs w:val="16"/>
              </w:rPr>
            </w:pPr>
          </w:p>
        </w:tc>
        <w:tc>
          <w:tcPr>
            <w:tcW w:w="709" w:type="dxa"/>
            <w:gridSpan w:val="2"/>
            <w:shd w:val="clear" w:color="auto" w:fill="FFFFFF" w:themeFill="background1"/>
          </w:tcPr>
          <w:p w14:paraId="00BCF4C0" w14:textId="77777777" w:rsidR="00E52108" w:rsidRPr="00626FCE" w:rsidRDefault="00E52108" w:rsidP="00626FCE">
            <w:pPr>
              <w:spacing w:before="120" w:after="120"/>
              <w:rPr>
                <w:sz w:val="16"/>
                <w:szCs w:val="16"/>
              </w:rPr>
            </w:pPr>
          </w:p>
        </w:tc>
        <w:tc>
          <w:tcPr>
            <w:tcW w:w="709" w:type="dxa"/>
            <w:shd w:val="clear" w:color="auto" w:fill="FFFFFF" w:themeFill="background1"/>
          </w:tcPr>
          <w:p w14:paraId="6C061ECC" w14:textId="77777777" w:rsidR="00E52108" w:rsidRPr="00626FCE" w:rsidRDefault="00E52108" w:rsidP="00626FCE">
            <w:pPr>
              <w:spacing w:before="120" w:after="120"/>
              <w:rPr>
                <w:sz w:val="16"/>
                <w:szCs w:val="16"/>
              </w:rPr>
            </w:pPr>
          </w:p>
        </w:tc>
        <w:tc>
          <w:tcPr>
            <w:tcW w:w="733" w:type="dxa"/>
            <w:shd w:val="clear" w:color="auto" w:fill="FFFFFF" w:themeFill="background1"/>
          </w:tcPr>
          <w:p w14:paraId="41D86907" w14:textId="77777777" w:rsidR="00E52108" w:rsidRPr="00626FCE" w:rsidRDefault="00E52108" w:rsidP="00626FCE">
            <w:pPr>
              <w:spacing w:before="120" w:after="120"/>
              <w:rPr>
                <w:sz w:val="16"/>
                <w:szCs w:val="16"/>
              </w:rPr>
            </w:pPr>
          </w:p>
        </w:tc>
        <w:tc>
          <w:tcPr>
            <w:tcW w:w="543" w:type="dxa"/>
            <w:shd w:val="clear" w:color="auto" w:fill="FFFFFF" w:themeFill="background1"/>
          </w:tcPr>
          <w:p w14:paraId="26420CBC" w14:textId="77777777" w:rsidR="00E52108" w:rsidRPr="00626FCE" w:rsidRDefault="00E52108" w:rsidP="00626FCE">
            <w:pPr>
              <w:spacing w:before="120" w:after="120"/>
              <w:rPr>
                <w:sz w:val="16"/>
                <w:szCs w:val="16"/>
              </w:rPr>
            </w:pPr>
          </w:p>
        </w:tc>
        <w:tc>
          <w:tcPr>
            <w:tcW w:w="567" w:type="dxa"/>
            <w:shd w:val="clear" w:color="auto" w:fill="FFFFFF" w:themeFill="background1"/>
          </w:tcPr>
          <w:p w14:paraId="4EEF3DF2" w14:textId="77777777" w:rsidR="00E52108" w:rsidRPr="00626FCE" w:rsidRDefault="00E52108" w:rsidP="00626FCE">
            <w:pPr>
              <w:spacing w:before="120" w:after="120"/>
              <w:rPr>
                <w:sz w:val="16"/>
                <w:szCs w:val="16"/>
              </w:rPr>
            </w:pPr>
          </w:p>
        </w:tc>
        <w:tc>
          <w:tcPr>
            <w:tcW w:w="567" w:type="dxa"/>
            <w:shd w:val="clear" w:color="auto" w:fill="FFFFFF" w:themeFill="background1"/>
          </w:tcPr>
          <w:p w14:paraId="4B2848DA" w14:textId="77777777" w:rsidR="00E52108" w:rsidRPr="00626FCE" w:rsidRDefault="00E52108" w:rsidP="00626FCE">
            <w:pPr>
              <w:spacing w:before="120" w:after="120"/>
              <w:rPr>
                <w:sz w:val="16"/>
                <w:szCs w:val="16"/>
              </w:rPr>
            </w:pPr>
          </w:p>
        </w:tc>
        <w:tc>
          <w:tcPr>
            <w:tcW w:w="680" w:type="dxa"/>
            <w:shd w:val="clear" w:color="auto" w:fill="C4BC96" w:themeFill="background2" w:themeFillShade="BF"/>
          </w:tcPr>
          <w:p w14:paraId="637FA82A" w14:textId="77777777" w:rsidR="00E52108" w:rsidRPr="00626FCE" w:rsidRDefault="00E52108" w:rsidP="00626FCE">
            <w:pPr>
              <w:spacing w:before="120" w:after="120"/>
              <w:rPr>
                <w:sz w:val="16"/>
                <w:szCs w:val="16"/>
              </w:rPr>
            </w:pPr>
          </w:p>
        </w:tc>
        <w:tc>
          <w:tcPr>
            <w:tcW w:w="692" w:type="dxa"/>
            <w:shd w:val="clear" w:color="auto" w:fill="C4BC96" w:themeFill="background2" w:themeFillShade="BF"/>
          </w:tcPr>
          <w:p w14:paraId="33632C59" w14:textId="77777777" w:rsidR="00E52108" w:rsidRPr="00626FCE" w:rsidRDefault="00E52108" w:rsidP="00626FCE">
            <w:pPr>
              <w:spacing w:before="120" w:after="120"/>
              <w:rPr>
                <w:sz w:val="16"/>
                <w:szCs w:val="16"/>
              </w:rPr>
            </w:pPr>
          </w:p>
        </w:tc>
        <w:tc>
          <w:tcPr>
            <w:tcW w:w="754" w:type="dxa"/>
            <w:shd w:val="clear" w:color="auto" w:fill="C4BC96" w:themeFill="background2" w:themeFillShade="BF"/>
          </w:tcPr>
          <w:p w14:paraId="7EA92B0B" w14:textId="77777777" w:rsidR="00E52108" w:rsidRPr="00626FCE" w:rsidRDefault="00E52108" w:rsidP="00626FCE">
            <w:pPr>
              <w:spacing w:before="120" w:after="120"/>
              <w:rPr>
                <w:sz w:val="16"/>
                <w:szCs w:val="16"/>
              </w:rPr>
            </w:pPr>
          </w:p>
        </w:tc>
        <w:tc>
          <w:tcPr>
            <w:tcW w:w="709" w:type="dxa"/>
            <w:shd w:val="clear" w:color="auto" w:fill="C4BC96" w:themeFill="background2" w:themeFillShade="BF"/>
          </w:tcPr>
          <w:p w14:paraId="3AE54799" w14:textId="77777777" w:rsidR="00E52108" w:rsidRPr="00626FCE" w:rsidRDefault="00E52108" w:rsidP="00626FCE">
            <w:pPr>
              <w:spacing w:before="120" w:after="120"/>
              <w:rPr>
                <w:sz w:val="16"/>
                <w:szCs w:val="16"/>
              </w:rPr>
            </w:pPr>
          </w:p>
        </w:tc>
        <w:tc>
          <w:tcPr>
            <w:tcW w:w="567" w:type="dxa"/>
            <w:shd w:val="clear" w:color="auto" w:fill="C4BC96" w:themeFill="background2" w:themeFillShade="BF"/>
          </w:tcPr>
          <w:p w14:paraId="08F88324" w14:textId="77777777" w:rsidR="00E52108" w:rsidRPr="00626FCE" w:rsidRDefault="00E52108" w:rsidP="00626FCE">
            <w:pPr>
              <w:spacing w:before="120" w:after="120"/>
              <w:rPr>
                <w:sz w:val="16"/>
                <w:szCs w:val="16"/>
              </w:rPr>
            </w:pPr>
          </w:p>
        </w:tc>
        <w:tc>
          <w:tcPr>
            <w:tcW w:w="708" w:type="dxa"/>
            <w:shd w:val="clear" w:color="auto" w:fill="C4BC96" w:themeFill="background2" w:themeFillShade="BF"/>
          </w:tcPr>
          <w:p w14:paraId="40CBA54A" w14:textId="77777777" w:rsidR="00E52108" w:rsidRPr="00626FCE" w:rsidRDefault="00E52108" w:rsidP="00626FCE">
            <w:pPr>
              <w:spacing w:before="120" w:after="120"/>
              <w:rPr>
                <w:sz w:val="16"/>
                <w:szCs w:val="16"/>
              </w:rPr>
            </w:pPr>
          </w:p>
        </w:tc>
        <w:tc>
          <w:tcPr>
            <w:tcW w:w="709" w:type="dxa"/>
            <w:shd w:val="clear" w:color="auto" w:fill="C4BC96" w:themeFill="background2" w:themeFillShade="BF"/>
          </w:tcPr>
          <w:p w14:paraId="5F90DDF9" w14:textId="77777777" w:rsidR="00E52108" w:rsidRPr="00626FCE" w:rsidRDefault="00E52108" w:rsidP="00626FCE">
            <w:pPr>
              <w:spacing w:before="120" w:after="120"/>
              <w:rPr>
                <w:sz w:val="16"/>
                <w:szCs w:val="16"/>
              </w:rPr>
            </w:pPr>
          </w:p>
        </w:tc>
        <w:tc>
          <w:tcPr>
            <w:tcW w:w="709" w:type="dxa"/>
            <w:shd w:val="clear" w:color="auto" w:fill="C4BC96" w:themeFill="background2" w:themeFillShade="BF"/>
          </w:tcPr>
          <w:p w14:paraId="53A08E58" w14:textId="77777777" w:rsidR="00E52108" w:rsidRPr="00626FCE" w:rsidRDefault="00E52108" w:rsidP="00626FCE">
            <w:pPr>
              <w:spacing w:before="120" w:after="120"/>
              <w:rPr>
                <w:sz w:val="16"/>
                <w:szCs w:val="16"/>
              </w:rPr>
            </w:pPr>
          </w:p>
        </w:tc>
        <w:tc>
          <w:tcPr>
            <w:tcW w:w="709" w:type="dxa"/>
            <w:shd w:val="clear" w:color="auto" w:fill="C4BC96" w:themeFill="background2" w:themeFillShade="BF"/>
          </w:tcPr>
          <w:p w14:paraId="5181AD98" w14:textId="77777777" w:rsidR="00E52108" w:rsidRPr="00626FCE" w:rsidRDefault="00E52108" w:rsidP="00626FCE">
            <w:pPr>
              <w:spacing w:before="120" w:after="120"/>
              <w:rPr>
                <w:sz w:val="16"/>
                <w:szCs w:val="16"/>
              </w:rPr>
            </w:pPr>
          </w:p>
        </w:tc>
      </w:tr>
      <w:tr w:rsidR="00E52108" w:rsidRPr="00626FCE" w14:paraId="00695EC5" w14:textId="77777777" w:rsidTr="00E52108">
        <w:trPr>
          <w:trHeight w:val="348"/>
        </w:trPr>
        <w:tc>
          <w:tcPr>
            <w:tcW w:w="1864" w:type="dxa"/>
            <w:shd w:val="clear" w:color="auto" w:fill="D9D9D9" w:themeFill="background1" w:themeFillShade="D9"/>
          </w:tcPr>
          <w:p w14:paraId="77B8554A" w14:textId="77777777" w:rsidR="00E52108" w:rsidRPr="00E52108" w:rsidRDefault="00E52108" w:rsidP="00626FCE">
            <w:pPr>
              <w:spacing w:before="120" w:after="120"/>
              <w:rPr>
                <w:b/>
                <w:sz w:val="18"/>
                <w:szCs w:val="16"/>
              </w:rPr>
            </w:pPr>
          </w:p>
        </w:tc>
        <w:tc>
          <w:tcPr>
            <w:tcW w:w="706" w:type="dxa"/>
            <w:shd w:val="clear" w:color="auto" w:fill="FFFFFF" w:themeFill="background1"/>
            <w:noWrap/>
          </w:tcPr>
          <w:p w14:paraId="75ACFADB" w14:textId="77777777" w:rsidR="00E52108" w:rsidRPr="00626FCE" w:rsidRDefault="00E52108" w:rsidP="00626FCE">
            <w:pPr>
              <w:spacing w:before="120" w:after="120"/>
              <w:rPr>
                <w:sz w:val="16"/>
                <w:szCs w:val="16"/>
              </w:rPr>
            </w:pPr>
          </w:p>
        </w:tc>
        <w:tc>
          <w:tcPr>
            <w:tcW w:w="709" w:type="dxa"/>
            <w:gridSpan w:val="2"/>
            <w:shd w:val="clear" w:color="auto" w:fill="FFFFFF" w:themeFill="background1"/>
          </w:tcPr>
          <w:p w14:paraId="082090E2" w14:textId="77777777" w:rsidR="00E52108" w:rsidRPr="00626FCE" w:rsidRDefault="00E52108" w:rsidP="00626FCE">
            <w:pPr>
              <w:spacing w:before="120" w:after="120"/>
              <w:rPr>
                <w:sz w:val="16"/>
                <w:szCs w:val="16"/>
              </w:rPr>
            </w:pPr>
          </w:p>
        </w:tc>
        <w:tc>
          <w:tcPr>
            <w:tcW w:w="709" w:type="dxa"/>
            <w:shd w:val="clear" w:color="auto" w:fill="FFFFFF" w:themeFill="background1"/>
          </w:tcPr>
          <w:p w14:paraId="6462E22D" w14:textId="77777777" w:rsidR="00E52108" w:rsidRPr="00626FCE" w:rsidRDefault="00E52108" w:rsidP="00626FCE">
            <w:pPr>
              <w:spacing w:before="120" w:after="120"/>
              <w:rPr>
                <w:sz w:val="16"/>
                <w:szCs w:val="16"/>
              </w:rPr>
            </w:pPr>
          </w:p>
        </w:tc>
        <w:tc>
          <w:tcPr>
            <w:tcW w:w="733" w:type="dxa"/>
            <w:shd w:val="clear" w:color="auto" w:fill="FFFFFF" w:themeFill="background1"/>
          </w:tcPr>
          <w:p w14:paraId="408BBB67" w14:textId="77777777" w:rsidR="00E52108" w:rsidRPr="00626FCE" w:rsidRDefault="00E52108" w:rsidP="00626FCE">
            <w:pPr>
              <w:spacing w:before="120" w:after="120"/>
              <w:rPr>
                <w:sz w:val="16"/>
                <w:szCs w:val="16"/>
              </w:rPr>
            </w:pPr>
          </w:p>
        </w:tc>
        <w:tc>
          <w:tcPr>
            <w:tcW w:w="543" w:type="dxa"/>
            <w:shd w:val="clear" w:color="auto" w:fill="FFFFFF" w:themeFill="background1"/>
          </w:tcPr>
          <w:p w14:paraId="4BA13D34" w14:textId="77777777" w:rsidR="00E52108" w:rsidRPr="00626FCE" w:rsidRDefault="00E52108" w:rsidP="00626FCE">
            <w:pPr>
              <w:spacing w:before="120" w:after="120"/>
              <w:rPr>
                <w:sz w:val="16"/>
                <w:szCs w:val="16"/>
              </w:rPr>
            </w:pPr>
          </w:p>
        </w:tc>
        <w:tc>
          <w:tcPr>
            <w:tcW w:w="567" w:type="dxa"/>
            <w:shd w:val="clear" w:color="auto" w:fill="FFFFFF" w:themeFill="background1"/>
          </w:tcPr>
          <w:p w14:paraId="03B5C51E" w14:textId="77777777" w:rsidR="00E52108" w:rsidRPr="00626FCE" w:rsidRDefault="00E52108" w:rsidP="00626FCE">
            <w:pPr>
              <w:spacing w:before="120" w:after="120"/>
              <w:rPr>
                <w:sz w:val="16"/>
                <w:szCs w:val="16"/>
              </w:rPr>
            </w:pPr>
          </w:p>
        </w:tc>
        <w:tc>
          <w:tcPr>
            <w:tcW w:w="567" w:type="dxa"/>
            <w:shd w:val="clear" w:color="auto" w:fill="FFFFFF" w:themeFill="background1"/>
          </w:tcPr>
          <w:p w14:paraId="6F57BF7A" w14:textId="77777777" w:rsidR="00E52108" w:rsidRPr="00626FCE" w:rsidRDefault="00E52108" w:rsidP="00626FCE">
            <w:pPr>
              <w:spacing w:before="120" w:after="120"/>
              <w:rPr>
                <w:sz w:val="16"/>
                <w:szCs w:val="16"/>
              </w:rPr>
            </w:pPr>
          </w:p>
        </w:tc>
        <w:tc>
          <w:tcPr>
            <w:tcW w:w="680" w:type="dxa"/>
            <w:shd w:val="clear" w:color="auto" w:fill="FFFFFF" w:themeFill="background1"/>
          </w:tcPr>
          <w:p w14:paraId="14599246" w14:textId="77777777" w:rsidR="00E52108" w:rsidRPr="00626FCE" w:rsidRDefault="00E52108" w:rsidP="00626FCE">
            <w:pPr>
              <w:spacing w:before="120" w:after="120"/>
              <w:rPr>
                <w:sz w:val="16"/>
                <w:szCs w:val="16"/>
              </w:rPr>
            </w:pPr>
          </w:p>
        </w:tc>
        <w:tc>
          <w:tcPr>
            <w:tcW w:w="692" w:type="dxa"/>
            <w:shd w:val="clear" w:color="auto" w:fill="FFFFFF" w:themeFill="background1"/>
          </w:tcPr>
          <w:p w14:paraId="4B4D5115" w14:textId="77777777" w:rsidR="00E52108" w:rsidRPr="00626FCE" w:rsidRDefault="00E52108" w:rsidP="00626FCE">
            <w:pPr>
              <w:spacing w:before="120" w:after="120"/>
              <w:rPr>
                <w:sz w:val="16"/>
                <w:szCs w:val="16"/>
              </w:rPr>
            </w:pPr>
          </w:p>
        </w:tc>
        <w:tc>
          <w:tcPr>
            <w:tcW w:w="754" w:type="dxa"/>
            <w:shd w:val="clear" w:color="auto" w:fill="FFFFFF" w:themeFill="background1"/>
          </w:tcPr>
          <w:p w14:paraId="702C81AC" w14:textId="77777777" w:rsidR="00E52108" w:rsidRPr="00626FCE" w:rsidRDefault="00E52108" w:rsidP="00626FCE">
            <w:pPr>
              <w:spacing w:before="120" w:after="120"/>
              <w:rPr>
                <w:sz w:val="16"/>
                <w:szCs w:val="16"/>
              </w:rPr>
            </w:pPr>
          </w:p>
        </w:tc>
        <w:tc>
          <w:tcPr>
            <w:tcW w:w="709" w:type="dxa"/>
            <w:shd w:val="clear" w:color="auto" w:fill="FFFFFF" w:themeFill="background1"/>
          </w:tcPr>
          <w:p w14:paraId="767784AA" w14:textId="77777777" w:rsidR="00E52108" w:rsidRPr="00626FCE" w:rsidRDefault="00E52108" w:rsidP="00626FCE">
            <w:pPr>
              <w:spacing w:before="120" w:after="120"/>
              <w:rPr>
                <w:sz w:val="16"/>
                <w:szCs w:val="16"/>
              </w:rPr>
            </w:pPr>
          </w:p>
        </w:tc>
        <w:tc>
          <w:tcPr>
            <w:tcW w:w="567" w:type="dxa"/>
            <w:shd w:val="clear" w:color="auto" w:fill="FFFFFF" w:themeFill="background1"/>
          </w:tcPr>
          <w:p w14:paraId="62295E39" w14:textId="77777777" w:rsidR="00E52108" w:rsidRPr="00626FCE" w:rsidRDefault="00E52108" w:rsidP="00626FCE">
            <w:pPr>
              <w:spacing w:before="120" w:after="120"/>
              <w:rPr>
                <w:sz w:val="16"/>
                <w:szCs w:val="16"/>
              </w:rPr>
            </w:pPr>
          </w:p>
        </w:tc>
        <w:tc>
          <w:tcPr>
            <w:tcW w:w="708" w:type="dxa"/>
            <w:shd w:val="clear" w:color="auto" w:fill="FFFFFF" w:themeFill="background1"/>
          </w:tcPr>
          <w:p w14:paraId="6810A345" w14:textId="77777777" w:rsidR="00E52108" w:rsidRPr="00626FCE" w:rsidRDefault="00E52108" w:rsidP="00626FCE">
            <w:pPr>
              <w:spacing w:before="120" w:after="120"/>
              <w:rPr>
                <w:sz w:val="16"/>
                <w:szCs w:val="16"/>
              </w:rPr>
            </w:pPr>
          </w:p>
        </w:tc>
        <w:tc>
          <w:tcPr>
            <w:tcW w:w="709" w:type="dxa"/>
            <w:shd w:val="clear" w:color="auto" w:fill="FFFFFF" w:themeFill="background1"/>
          </w:tcPr>
          <w:p w14:paraId="615483DA" w14:textId="77777777" w:rsidR="00E52108" w:rsidRPr="00626FCE" w:rsidRDefault="00E52108" w:rsidP="00626FCE">
            <w:pPr>
              <w:spacing w:before="120" w:after="120"/>
              <w:rPr>
                <w:sz w:val="16"/>
                <w:szCs w:val="16"/>
              </w:rPr>
            </w:pPr>
          </w:p>
        </w:tc>
        <w:tc>
          <w:tcPr>
            <w:tcW w:w="709" w:type="dxa"/>
            <w:shd w:val="clear" w:color="auto" w:fill="FFFFFF" w:themeFill="background1"/>
          </w:tcPr>
          <w:p w14:paraId="025330B8" w14:textId="77777777" w:rsidR="00E52108" w:rsidRPr="00626FCE" w:rsidRDefault="00E52108" w:rsidP="00626FCE">
            <w:pPr>
              <w:spacing w:before="120" w:after="120"/>
              <w:rPr>
                <w:sz w:val="16"/>
                <w:szCs w:val="16"/>
              </w:rPr>
            </w:pPr>
          </w:p>
        </w:tc>
        <w:tc>
          <w:tcPr>
            <w:tcW w:w="709" w:type="dxa"/>
            <w:shd w:val="clear" w:color="auto" w:fill="FFFFFF" w:themeFill="background1"/>
          </w:tcPr>
          <w:p w14:paraId="4C80B33F" w14:textId="77777777" w:rsidR="00E52108" w:rsidRPr="00626FCE" w:rsidRDefault="00E52108" w:rsidP="00626FCE">
            <w:pPr>
              <w:spacing w:before="120" w:after="120"/>
              <w:rPr>
                <w:sz w:val="16"/>
                <w:szCs w:val="16"/>
              </w:rPr>
            </w:pPr>
          </w:p>
        </w:tc>
      </w:tr>
      <w:tr w:rsidR="00E52108" w:rsidRPr="00626FCE" w14:paraId="30FA8F7C" w14:textId="77777777" w:rsidTr="00E52108">
        <w:trPr>
          <w:trHeight w:val="348"/>
        </w:trPr>
        <w:tc>
          <w:tcPr>
            <w:tcW w:w="1864" w:type="dxa"/>
            <w:shd w:val="clear" w:color="auto" w:fill="D9D9D9" w:themeFill="background1" w:themeFillShade="D9"/>
          </w:tcPr>
          <w:p w14:paraId="7FB10D2F" w14:textId="033010D3" w:rsidR="00E52108" w:rsidRPr="00E52108" w:rsidRDefault="00E52108" w:rsidP="00626FCE">
            <w:pPr>
              <w:spacing w:before="120" w:after="120"/>
              <w:rPr>
                <w:b/>
                <w:sz w:val="18"/>
                <w:szCs w:val="16"/>
                <w:lang w:val="en-US"/>
              </w:rPr>
            </w:pPr>
            <w:r w:rsidRPr="00E52108">
              <w:rPr>
                <w:b/>
                <w:sz w:val="18"/>
                <w:szCs w:val="16"/>
                <w:lang w:val="en-US"/>
              </w:rPr>
              <w:t>T 6.2 - Replication of the OSS in Cyprus</w:t>
            </w:r>
          </w:p>
        </w:tc>
        <w:tc>
          <w:tcPr>
            <w:tcW w:w="706" w:type="dxa"/>
            <w:shd w:val="clear" w:color="auto" w:fill="C4BC96" w:themeFill="background2" w:themeFillShade="BF"/>
            <w:noWrap/>
          </w:tcPr>
          <w:p w14:paraId="4653C361" w14:textId="77777777" w:rsidR="00E52108" w:rsidRPr="00626FCE" w:rsidRDefault="00E52108" w:rsidP="00626FCE">
            <w:pPr>
              <w:spacing w:before="120" w:after="120"/>
              <w:rPr>
                <w:sz w:val="16"/>
                <w:szCs w:val="16"/>
              </w:rPr>
            </w:pPr>
          </w:p>
        </w:tc>
        <w:tc>
          <w:tcPr>
            <w:tcW w:w="709" w:type="dxa"/>
            <w:gridSpan w:val="2"/>
            <w:shd w:val="clear" w:color="auto" w:fill="C4BC96" w:themeFill="background2" w:themeFillShade="BF"/>
          </w:tcPr>
          <w:p w14:paraId="167B2B18" w14:textId="77777777" w:rsidR="00E52108" w:rsidRPr="00626FCE" w:rsidRDefault="00E52108" w:rsidP="00626FCE">
            <w:pPr>
              <w:spacing w:before="120" w:after="120"/>
              <w:rPr>
                <w:sz w:val="16"/>
                <w:szCs w:val="16"/>
              </w:rPr>
            </w:pPr>
          </w:p>
        </w:tc>
        <w:tc>
          <w:tcPr>
            <w:tcW w:w="709" w:type="dxa"/>
            <w:shd w:val="clear" w:color="auto" w:fill="C4BC96" w:themeFill="background2" w:themeFillShade="BF"/>
          </w:tcPr>
          <w:p w14:paraId="0E30FCCE" w14:textId="77777777" w:rsidR="00E52108" w:rsidRPr="00626FCE" w:rsidRDefault="00E52108" w:rsidP="00626FCE">
            <w:pPr>
              <w:spacing w:before="120" w:after="120"/>
              <w:rPr>
                <w:sz w:val="16"/>
                <w:szCs w:val="16"/>
              </w:rPr>
            </w:pPr>
          </w:p>
        </w:tc>
        <w:tc>
          <w:tcPr>
            <w:tcW w:w="733" w:type="dxa"/>
            <w:shd w:val="clear" w:color="auto" w:fill="C4BC96" w:themeFill="background2" w:themeFillShade="BF"/>
          </w:tcPr>
          <w:p w14:paraId="085F3073" w14:textId="77777777" w:rsidR="00E52108" w:rsidRPr="00626FCE" w:rsidRDefault="00E52108" w:rsidP="00626FCE">
            <w:pPr>
              <w:spacing w:before="120" w:after="120"/>
              <w:rPr>
                <w:sz w:val="16"/>
                <w:szCs w:val="16"/>
              </w:rPr>
            </w:pPr>
          </w:p>
        </w:tc>
        <w:tc>
          <w:tcPr>
            <w:tcW w:w="543" w:type="dxa"/>
            <w:shd w:val="clear" w:color="auto" w:fill="C4BC96" w:themeFill="background2" w:themeFillShade="BF"/>
          </w:tcPr>
          <w:p w14:paraId="46D25570" w14:textId="77777777" w:rsidR="00E52108" w:rsidRPr="00626FCE" w:rsidRDefault="00E52108" w:rsidP="00626FCE">
            <w:pPr>
              <w:spacing w:before="120" w:after="120"/>
              <w:rPr>
                <w:sz w:val="16"/>
                <w:szCs w:val="16"/>
              </w:rPr>
            </w:pPr>
          </w:p>
        </w:tc>
        <w:tc>
          <w:tcPr>
            <w:tcW w:w="567" w:type="dxa"/>
            <w:shd w:val="clear" w:color="auto" w:fill="C4BC96" w:themeFill="background2" w:themeFillShade="BF"/>
          </w:tcPr>
          <w:p w14:paraId="0E24833B" w14:textId="77777777" w:rsidR="00E52108" w:rsidRPr="00626FCE" w:rsidRDefault="00E52108" w:rsidP="00626FCE">
            <w:pPr>
              <w:spacing w:before="120" w:after="120"/>
              <w:rPr>
                <w:sz w:val="16"/>
                <w:szCs w:val="16"/>
              </w:rPr>
            </w:pPr>
          </w:p>
        </w:tc>
        <w:tc>
          <w:tcPr>
            <w:tcW w:w="567" w:type="dxa"/>
            <w:shd w:val="clear" w:color="auto" w:fill="C4BC96" w:themeFill="background2" w:themeFillShade="BF"/>
          </w:tcPr>
          <w:p w14:paraId="29CB243C" w14:textId="77777777" w:rsidR="00E52108" w:rsidRPr="00626FCE" w:rsidRDefault="00E52108" w:rsidP="00626FCE">
            <w:pPr>
              <w:spacing w:before="120" w:after="120"/>
              <w:rPr>
                <w:sz w:val="16"/>
                <w:szCs w:val="16"/>
              </w:rPr>
            </w:pPr>
          </w:p>
        </w:tc>
        <w:tc>
          <w:tcPr>
            <w:tcW w:w="680" w:type="dxa"/>
            <w:shd w:val="clear" w:color="auto" w:fill="C4BC96" w:themeFill="background2" w:themeFillShade="BF"/>
          </w:tcPr>
          <w:p w14:paraId="7139D54E" w14:textId="77777777" w:rsidR="00E52108" w:rsidRPr="00626FCE" w:rsidRDefault="00E52108" w:rsidP="00626FCE">
            <w:pPr>
              <w:spacing w:before="120" w:after="120"/>
              <w:rPr>
                <w:sz w:val="16"/>
                <w:szCs w:val="16"/>
              </w:rPr>
            </w:pPr>
          </w:p>
        </w:tc>
        <w:tc>
          <w:tcPr>
            <w:tcW w:w="692" w:type="dxa"/>
            <w:shd w:val="clear" w:color="auto" w:fill="C4BC96" w:themeFill="background2" w:themeFillShade="BF"/>
          </w:tcPr>
          <w:p w14:paraId="52B9046D" w14:textId="77777777" w:rsidR="00E52108" w:rsidRPr="00626FCE" w:rsidRDefault="00E52108" w:rsidP="00626FCE">
            <w:pPr>
              <w:spacing w:before="120" w:after="120"/>
              <w:rPr>
                <w:sz w:val="16"/>
                <w:szCs w:val="16"/>
              </w:rPr>
            </w:pPr>
          </w:p>
        </w:tc>
        <w:tc>
          <w:tcPr>
            <w:tcW w:w="754" w:type="dxa"/>
            <w:shd w:val="clear" w:color="auto" w:fill="C4BC96" w:themeFill="background2" w:themeFillShade="BF"/>
          </w:tcPr>
          <w:p w14:paraId="1EEBA370" w14:textId="77777777" w:rsidR="00E52108" w:rsidRPr="00626FCE" w:rsidRDefault="00E52108" w:rsidP="00626FCE">
            <w:pPr>
              <w:spacing w:before="120" w:after="120"/>
              <w:rPr>
                <w:sz w:val="16"/>
                <w:szCs w:val="16"/>
              </w:rPr>
            </w:pPr>
          </w:p>
        </w:tc>
        <w:tc>
          <w:tcPr>
            <w:tcW w:w="709" w:type="dxa"/>
            <w:shd w:val="clear" w:color="auto" w:fill="C4BC96" w:themeFill="background2" w:themeFillShade="BF"/>
          </w:tcPr>
          <w:p w14:paraId="50E9D15C" w14:textId="77777777" w:rsidR="00E52108" w:rsidRPr="00626FCE" w:rsidRDefault="00E52108" w:rsidP="00626FCE">
            <w:pPr>
              <w:spacing w:before="120" w:after="120"/>
              <w:rPr>
                <w:sz w:val="16"/>
                <w:szCs w:val="16"/>
              </w:rPr>
            </w:pPr>
          </w:p>
        </w:tc>
        <w:tc>
          <w:tcPr>
            <w:tcW w:w="567" w:type="dxa"/>
            <w:shd w:val="clear" w:color="auto" w:fill="C4BC96" w:themeFill="background2" w:themeFillShade="BF"/>
          </w:tcPr>
          <w:p w14:paraId="35118FD0" w14:textId="77777777" w:rsidR="00E52108" w:rsidRPr="00626FCE" w:rsidRDefault="00E52108" w:rsidP="00626FCE">
            <w:pPr>
              <w:spacing w:before="120" w:after="120"/>
              <w:rPr>
                <w:sz w:val="16"/>
                <w:szCs w:val="16"/>
              </w:rPr>
            </w:pPr>
          </w:p>
        </w:tc>
        <w:tc>
          <w:tcPr>
            <w:tcW w:w="708" w:type="dxa"/>
            <w:shd w:val="clear" w:color="auto" w:fill="C4BC96" w:themeFill="background2" w:themeFillShade="BF"/>
          </w:tcPr>
          <w:p w14:paraId="7DC6ECC9" w14:textId="77777777" w:rsidR="00E52108" w:rsidRPr="00626FCE" w:rsidRDefault="00E52108" w:rsidP="00626FCE">
            <w:pPr>
              <w:spacing w:before="120" w:after="120"/>
              <w:rPr>
                <w:sz w:val="16"/>
                <w:szCs w:val="16"/>
              </w:rPr>
            </w:pPr>
          </w:p>
        </w:tc>
        <w:tc>
          <w:tcPr>
            <w:tcW w:w="709" w:type="dxa"/>
            <w:shd w:val="clear" w:color="auto" w:fill="C4BC96" w:themeFill="background2" w:themeFillShade="BF"/>
          </w:tcPr>
          <w:p w14:paraId="5376CD22" w14:textId="77777777" w:rsidR="00E52108" w:rsidRPr="00626FCE" w:rsidRDefault="00E52108" w:rsidP="00626FCE">
            <w:pPr>
              <w:spacing w:before="120" w:after="120"/>
              <w:rPr>
                <w:sz w:val="16"/>
                <w:szCs w:val="16"/>
              </w:rPr>
            </w:pPr>
          </w:p>
        </w:tc>
        <w:tc>
          <w:tcPr>
            <w:tcW w:w="709" w:type="dxa"/>
            <w:shd w:val="clear" w:color="auto" w:fill="C4BC96" w:themeFill="background2" w:themeFillShade="BF"/>
          </w:tcPr>
          <w:p w14:paraId="0FA883C5" w14:textId="77777777" w:rsidR="00E52108" w:rsidRPr="00626FCE" w:rsidRDefault="00E52108" w:rsidP="00626FCE">
            <w:pPr>
              <w:spacing w:before="120" w:after="120"/>
              <w:rPr>
                <w:sz w:val="16"/>
                <w:szCs w:val="16"/>
              </w:rPr>
            </w:pPr>
          </w:p>
        </w:tc>
        <w:tc>
          <w:tcPr>
            <w:tcW w:w="709" w:type="dxa"/>
            <w:shd w:val="clear" w:color="auto" w:fill="C4BC96" w:themeFill="background2" w:themeFillShade="BF"/>
          </w:tcPr>
          <w:p w14:paraId="4ED3DE0E" w14:textId="77777777" w:rsidR="00E52108" w:rsidRPr="00626FCE" w:rsidRDefault="00E52108" w:rsidP="00626FCE">
            <w:pPr>
              <w:spacing w:before="120" w:after="120"/>
              <w:rPr>
                <w:sz w:val="16"/>
                <w:szCs w:val="16"/>
              </w:rPr>
            </w:pPr>
          </w:p>
        </w:tc>
      </w:tr>
      <w:tr w:rsidR="00E52108" w:rsidRPr="00626FCE" w14:paraId="3EAAA716" w14:textId="77777777" w:rsidTr="00E52108">
        <w:trPr>
          <w:trHeight w:val="348"/>
        </w:trPr>
        <w:tc>
          <w:tcPr>
            <w:tcW w:w="1864" w:type="dxa"/>
            <w:shd w:val="clear" w:color="auto" w:fill="D9D9D9" w:themeFill="background1" w:themeFillShade="D9"/>
          </w:tcPr>
          <w:p w14:paraId="0B363BAE" w14:textId="77777777" w:rsidR="00E52108" w:rsidRPr="00E52108" w:rsidRDefault="00E52108" w:rsidP="00626FCE">
            <w:pPr>
              <w:spacing w:before="120" w:after="120"/>
              <w:rPr>
                <w:b/>
                <w:sz w:val="18"/>
                <w:szCs w:val="16"/>
              </w:rPr>
            </w:pPr>
          </w:p>
        </w:tc>
        <w:tc>
          <w:tcPr>
            <w:tcW w:w="706" w:type="dxa"/>
            <w:shd w:val="clear" w:color="auto" w:fill="FFFFFF" w:themeFill="background1"/>
            <w:noWrap/>
          </w:tcPr>
          <w:p w14:paraId="3A9C46B2" w14:textId="77777777" w:rsidR="00E52108" w:rsidRPr="00626FCE" w:rsidRDefault="00E52108" w:rsidP="00626FCE">
            <w:pPr>
              <w:spacing w:before="120" w:after="120"/>
              <w:rPr>
                <w:sz w:val="16"/>
                <w:szCs w:val="16"/>
              </w:rPr>
            </w:pPr>
          </w:p>
        </w:tc>
        <w:tc>
          <w:tcPr>
            <w:tcW w:w="709" w:type="dxa"/>
            <w:gridSpan w:val="2"/>
            <w:shd w:val="clear" w:color="auto" w:fill="FFFFFF" w:themeFill="background1"/>
          </w:tcPr>
          <w:p w14:paraId="1850F541" w14:textId="77777777" w:rsidR="00E52108" w:rsidRPr="00626FCE" w:rsidRDefault="00E52108" w:rsidP="00626FCE">
            <w:pPr>
              <w:spacing w:before="120" w:after="120"/>
              <w:rPr>
                <w:sz w:val="16"/>
                <w:szCs w:val="16"/>
              </w:rPr>
            </w:pPr>
          </w:p>
        </w:tc>
        <w:tc>
          <w:tcPr>
            <w:tcW w:w="709" w:type="dxa"/>
            <w:shd w:val="clear" w:color="auto" w:fill="FFFFFF" w:themeFill="background1"/>
          </w:tcPr>
          <w:p w14:paraId="74DD893D" w14:textId="77777777" w:rsidR="00E52108" w:rsidRPr="00626FCE" w:rsidRDefault="00E52108" w:rsidP="00626FCE">
            <w:pPr>
              <w:spacing w:before="120" w:after="120"/>
              <w:rPr>
                <w:sz w:val="16"/>
                <w:szCs w:val="16"/>
              </w:rPr>
            </w:pPr>
          </w:p>
        </w:tc>
        <w:tc>
          <w:tcPr>
            <w:tcW w:w="733" w:type="dxa"/>
            <w:shd w:val="clear" w:color="auto" w:fill="FFFFFF" w:themeFill="background1"/>
          </w:tcPr>
          <w:p w14:paraId="71E6E610" w14:textId="77777777" w:rsidR="00E52108" w:rsidRPr="00626FCE" w:rsidRDefault="00E52108" w:rsidP="00626FCE">
            <w:pPr>
              <w:spacing w:before="120" w:after="120"/>
              <w:rPr>
                <w:sz w:val="16"/>
                <w:szCs w:val="16"/>
              </w:rPr>
            </w:pPr>
          </w:p>
        </w:tc>
        <w:tc>
          <w:tcPr>
            <w:tcW w:w="543" w:type="dxa"/>
            <w:shd w:val="clear" w:color="auto" w:fill="FFFFFF" w:themeFill="background1"/>
          </w:tcPr>
          <w:p w14:paraId="4214EC39" w14:textId="77777777" w:rsidR="00E52108" w:rsidRPr="00626FCE" w:rsidRDefault="00E52108" w:rsidP="00626FCE">
            <w:pPr>
              <w:spacing w:before="120" w:after="120"/>
              <w:rPr>
                <w:sz w:val="16"/>
                <w:szCs w:val="16"/>
              </w:rPr>
            </w:pPr>
          </w:p>
        </w:tc>
        <w:tc>
          <w:tcPr>
            <w:tcW w:w="567" w:type="dxa"/>
            <w:shd w:val="clear" w:color="auto" w:fill="FFFFFF" w:themeFill="background1"/>
          </w:tcPr>
          <w:p w14:paraId="37B71CA7" w14:textId="77777777" w:rsidR="00E52108" w:rsidRPr="00626FCE" w:rsidRDefault="00E52108" w:rsidP="00626FCE">
            <w:pPr>
              <w:spacing w:before="120" w:after="120"/>
              <w:rPr>
                <w:sz w:val="16"/>
                <w:szCs w:val="16"/>
              </w:rPr>
            </w:pPr>
          </w:p>
        </w:tc>
        <w:tc>
          <w:tcPr>
            <w:tcW w:w="567" w:type="dxa"/>
            <w:shd w:val="clear" w:color="auto" w:fill="FFFFFF" w:themeFill="background1"/>
          </w:tcPr>
          <w:p w14:paraId="06D2F343" w14:textId="77777777" w:rsidR="00E52108" w:rsidRPr="00626FCE" w:rsidRDefault="00E52108" w:rsidP="00626FCE">
            <w:pPr>
              <w:spacing w:before="120" w:after="120"/>
              <w:rPr>
                <w:sz w:val="16"/>
                <w:szCs w:val="16"/>
              </w:rPr>
            </w:pPr>
          </w:p>
        </w:tc>
        <w:tc>
          <w:tcPr>
            <w:tcW w:w="680" w:type="dxa"/>
            <w:shd w:val="clear" w:color="auto" w:fill="FFFFFF" w:themeFill="background1"/>
          </w:tcPr>
          <w:p w14:paraId="65CAF47B" w14:textId="77777777" w:rsidR="00E52108" w:rsidRPr="00626FCE" w:rsidRDefault="00E52108" w:rsidP="00626FCE">
            <w:pPr>
              <w:spacing w:before="120" w:after="120"/>
              <w:rPr>
                <w:sz w:val="16"/>
                <w:szCs w:val="16"/>
              </w:rPr>
            </w:pPr>
          </w:p>
        </w:tc>
        <w:tc>
          <w:tcPr>
            <w:tcW w:w="692" w:type="dxa"/>
            <w:shd w:val="clear" w:color="auto" w:fill="FFFFFF" w:themeFill="background1"/>
          </w:tcPr>
          <w:p w14:paraId="3611F3CB" w14:textId="77777777" w:rsidR="00E52108" w:rsidRPr="00626FCE" w:rsidRDefault="00E52108" w:rsidP="00626FCE">
            <w:pPr>
              <w:spacing w:before="120" w:after="120"/>
              <w:rPr>
                <w:sz w:val="16"/>
                <w:szCs w:val="16"/>
              </w:rPr>
            </w:pPr>
          </w:p>
        </w:tc>
        <w:tc>
          <w:tcPr>
            <w:tcW w:w="754" w:type="dxa"/>
            <w:shd w:val="clear" w:color="auto" w:fill="FFFFFF" w:themeFill="background1"/>
          </w:tcPr>
          <w:p w14:paraId="69C275CE" w14:textId="77777777" w:rsidR="00E52108" w:rsidRPr="00626FCE" w:rsidRDefault="00E52108" w:rsidP="00626FCE">
            <w:pPr>
              <w:spacing w:before="120" w:after="120"/>
              <w:rPr>
                <w:sz w:val="16"/>
                <w:szCs w:val="16"/>
              </w:rPr>
            </w:pPr>
          </w:p>
        </w:tc>
        <w:tc>
          <w:tcPr>
            <w:tcW w:w="709" w:type="dxa"/>
            <w:shd w:val="clear" w:color="auto" w:fill="FFFFFF" w:themeFill="background1"/>
          </w:tcPr>
          <w:p w14:paraId="642E4F7A" w14:textId="77777777" w:rsidR="00E52108" w:rsidRPr="00626FCE" w:rsidRDefault="00E52108" w:rsidP="00626FCE">
            <w:pPr>
              <w:spacing w:before="120" w:after="120"/>
              <w:rPr>
                <w:sz w:val="16"/>
                <w:szCs w:val="16"/>
              </w:rPr>
            </w:pPr>
          </w:p>
        </w:tc>
        <w:tc>
          <w:tcPr>
            <w:tcW w:w="567" w:type="dxa"/>
            <w:shd w:val="clear" w:color="auto" w:fill="FFFFFF" w:themeFill="background1"/>
          </w:tcPr>
          <w:p w14:paraId="5FABEDE2" w14:textId="77777777" w:rsidR="00E52108" w:rsidRPr="00626FCE" w:rsidRDefault="00E52108" w:rsidP="00626FCE">
            <w:pPr>
              <w:spacing w:before="120" w:after="120"/>
              <w:rPr>
                <w:sz w:val="16"/>
                <w:szCs w:val="16"/>
              </w:rPr>
            </w:pPr>
          </w:p>
        </w:tc>
        <w:tc>
          <w:tcPr>
            <w:tcW w:w="708" w:type="dxa"/>
            <w:shd w:val="clear" w:color="auto" w:fill="FFFFFF" w:themeFill="background1"/>
          </w:tcPr>
          <w:p w14:paraId="61D1ECE3" w14:textId="77777777" w:rsidR="00E52108" w:rsidRPr="00626FCE" w:rsidRDefault="00E52108" w:rsidP="00626FCE">
            <w:pPr>
              <w:spacing w:before="120" w:after="120"/>
              <w:rPr>
                <w:sz w:val="16"/>
                <w:szCs w:val="16"/>
              </w:rPr>
            </w:pPr>
          </w:p>
        </w:tc>
        <w:tc>
          <w:tcPr>
            <w:tcW w:w="709" w:type="dxa"/>
            <w:shd w:val="clear" w:color="auto" w:fill="FFFFFF" w:themeFill="background1"/>
          </w:tcPr>
          <w:p w14:paraId="4D79AEFC" w14:textId="77777777" w:rsidR="00E52108" w:rsidRPr="00626FCE" w:rsidRDefault="00E52108" w:rsidP="00626FCE">
            <w:pPr>
              <w:spacing w:before="120" w:after="120"/>
              <w:rPr>
                <w:sz w:val="16"/>
                <w:szCs w:val="16"/>
              </w:rPr>
            </w:pPr>
          </w:p>
        </w:tc>
        <w:tc>
          <w:tcPr>
            <w:tcW w:w="709" w:type="dxa"/>
            <w:shd w:val="clear" w:color="auto" w:fill="FFFFFF" w:themeFill="background1"/>
          </w:tcPr>
          <w:p w14:paraId="503AD050" w14:textId="77777777" w:rsidR="00E52108" w:rsidRPr="00626FCE" w:rsidRDefault="00E52108" w:rsidP="00626FCE">
            <w:pPr>
              <w:spacing w:before="120" w:after="120"/>
              <w:rPr>
                <w:sz w:val="16"/>
                <w:szCs w:val="16"/>
              </w:rPr>
            </w:pPr>
          </w:p>
        </w:tc>
        <w:tc>
          <w:tcPr>
            <w:tcW w:w="709" w:type="dxa"/>
            <w:shd w:val="clear" w:color="auto" w:fill="FFFFFF" w:themeFill="background1"/>
          </w:tcPr>
          <w:p w14:paraId="7B5673F0" w14:textId="77777777" w:rsidR="00E52108" w:rsidRPr="00626FCE" w:rsidRDefault="00E52108" w:rsidP="00626FCE">
            <w:pPr>
              <w:spacing w:before="120" w:after="120"/>
              <w:rPr>
                <w:sz w:val="16"/>
                <w:szCs w:val="16"/>
              </w:rPr>
            </w:pPr>
          </w:p>
        </w:tc>
      </w:tr>
      <w:tr w:rsidR="00E52108" w:rsidRPr="00626FCE" w14:paraId="7146C8DE" w14:textId="77777777" w:rsidTr="00E52108">
        <w:trPr>
          <w:trHeight w:val="348"/>
        </w:trPr>
        <w:tc>
          <w:tcPr>
            <w:tcW w:w="1864" w:type="dxa"/>
            <w:shd w:val="clear" w:color="auto" w:fill="D9D9D9" w:themeFill="background1" w:themeFillShade="D9"/>
          </w:tcPr>
          <w:p w14:paraId="25451F49" w14:textId="2DFD9E68" w:rsidR="00E52108" w:rsidRPr="00E52108" w:rsidRDefault="00E52108" w:rsidP="00626FCE">
            <w:pPr>
              <w:spacing w:before="120" w:after="120"/>
              <w:rPr>
                <w:b/>
                <w:sz w:val="18"/>
                <w:szCs w:val="16"/>
              </w:rPr>
            </w:pPr>
            <w:r w:rsidRPr="00E52108">
              <w:rPr>
                <w:b/>
                <w:sz w:val="18"/>
                <w:szCs w:val="16"/>
              </w:rPr>
              <w:t>T 6.3 - Other replication activities</w:t>
            </w:r>
          </w:p>
        </w:tc>
        <w:tc>
          <w:tcPr>
            <w:tcW w:w="706" w:type="dxa"/>
            <w:shd w:val="clear" w:color="auto" w:fill="FFFFFF" w:themeFill="background1"/>
            <w:noWrap/>
          </w:tcPr>
          <w:p w14:paraId="67CDF860" w14:textId="77777777" w:rsidR="00E52108" w:rsidRPr="00626FCE" w:rsidRDefault="00E52108" w:rsidP="00626FCE">
            <w:pPr>
              <w:spacing w:before="120" w:after="120"/>
              <w:rPr>
                <w:sz w:val="16"/>
                <w:szCs w:val="16"/>
              </w:rPr>
            </w:pPr>
          </w:p>
        </w:tc>
        <w:tc>
          <w:tcPr>
            <w:tcW w:w="709" w:type="dxa"/>
            <w:gridSpan w:val="2"/>
            <w:shd w:val="clear" w:color="auto" w:fill="FFFFFF" w:themeFill="background1"/>
          </w:tcPr>
          <w:p w14:paraId="63BE784E" w14:textId="77777777" w:rsidR="00E52108" w:rsidRPr="00626FCE" w:rsidRDefault="00E52108" w:rsidP="00626FCE">
            <w:pPr>
              <w:spacing w:before="120" w:after="120"/>
              <w:rPr>
                <w:sz w:val="16"/>
                <w:szCs w:val="16"/>
              </w:rPr>
            </w:pPr>
          </w:p>
        </w:tc>
        <w:tc>
          <w:tcPr>
            <w:tcW w:w="709" w:type="dxa"/>
            <w:shd w:val="clear" w:color="auto" w:fill="FFFFFF" w:themeFill="background1"/>
          </w:tcPr>
          <w:p w14:paraId="1D1A24BA" w14:textId="77777777" w:rsidR="00E52108" w:rsidRPr="00626FCE" w:rsidRDefault="00E52108" w:rsidP="00626FCE">
            <w:pPr>
              <w:spacing w:before="120" w:after="120"/>
              <w:rPr>
                <w:sz w:val="16"/>
                <w:szCs w:val="16"/>
              </w:rPr>
            </w:pPr>
          </w:p>
        </w:tc>
        <w:tc>
          <w:tcPr>
            <w:tcW w:w="733" w:type="dxa"/>
            <w:shd w:val="clear" w:color="auto" w:fill="FFFFFF" w:themeFill="background1"/>
          </w:tcPr>
          <w:p w14:paraId="0EFFA5A0" w14:textId="77777777" w:rsidR="00E52108" w:rsidRPr="00626FCE" w:rsidRDefault="00E52108" w:rsidP="00626FCE">
            <w:pPr>
              <w:spacing w:before="120" w:after="120"/>
              <w:rPr>
                <w:sz w:val="16"/>
                <w:szCs w:val="16"/>
              </w:rPr>
            </w:pPr>
          </w:p>
        </w:tc>
        <w:tc>
          <w:tcPr>
            <w:tcW w:w="543" w:type="dxa"/>
            <w:shd w:val="clear" w:color="auto" w:fill="FFFFFF" w:themeFill="background1"/>
          </w:tcPr>
          <w:p w14:paraId="0081AB7E" w14:textId="77777777" w:rsidR="00E52108" w:rsidRPr="00626FCE" w:rsidRDefault="00E52108" w:rsidP="00626FCE">
            <w:pPr>
              <w:spacing w:before="120" w:after="120"/>
              <w:rPr>
                <w:sz w:val="16"/>
                <w:szCs w:val="16"/>
              </w:rPr>
            </w:pPr>
          </w:p>
        </w:tc>
        <w:tc>
          <w:tcPr>
            <w:tcW w:w="567" w:type="dxa"/>
            <w:shd w:val="clear" w:color="auto" w:fill="FFFFFF" w:themeFill="background1"/>
          </w:tcPr>
          <w:p w14:paraId="099CB560" w14:textId="77777777" w:rsidR="00E52108" w:rsidRPr="00626FCE" w:rsidRDefault="00E52108" w:rsidP="00626FCE">
            <w:pPr>
              <w:spacing w:before="120" w:after="120"/>
              <w:rPr>
                <w:sz w:val="16"/>
                <w:szCs w:val="16"/>
              </w:rPr>
            </w:pPr>
          </w:p>
        </w:tc>
        <w:tc>
          <w:tcPr>
            <w:tcW w:w="567" w:type="dxa"/>
            <w:shd w:val="clear" w:color="auto" w:fill="FFFFFF" w:themeFill="background1"/>
          </w:tcPr>
          <w:p w14:paraId="5BE6EAFB" w14:textId="77777777" w:rsidR="00E52108" w:rsidRPr="00626FCE" w:rsidRDefault="00E52108" w:rsidP="00626FCE">
            <w:pPr>
              <w:spacing w:before="120" w:after="120"/>
              <w:rPr>
                <w:sz w:val="16"/>
                <w:szCs w:val="16"/>
              </w:rPr>
            </w:pPr>
          </w:p>
        </w:tc>
        <w:tc>
          <w:tcPr>
            <w:tcW w:w="680" w:type="dxa"/>
            <w:shd w:val="clear" w:color="auto" w:fill="C4BC96" w:themeFill="background2" w:themeFillShade="BF"/>
          </w:tcPr>
          <w:p w14:paraId="44D192FC" w14:textId="77777777" w:rsidR="00E52108" w:rsidRPr="00626FCE" w:rsidRDefault="00E52108" w:rsidP="00626FCE">
            <w:pPr>
              <w:spacing w:before="120" w:after="120"/>
              <w:rPr>
                <w:sz w:val="16"/>
                <w:szCs w:val="16"/>
              </w:rPr>
            </w:pPr>
          </w:p>
        </w:tc>
        <w:tc>
          <w:tcPr>
            <w:tcW w:w="692" w:type="dxa"/>
            <w:shd w:val="clear" w:color="auto" w:fill="C4BC96" w:themeFill="background2" w:themeFillShade="BF"/>
          </w:tcPr>
          <w:p w14:paraId="3700B001" w14:textId="77777777" w:rsidR="00E52108" w:rsidRPr="00626FCE" w:rsidRDefault="00E52108" w:rsidP="00626FCE">
            <w:pPr>
              <w:spacing w:before="120" w:after="120"/>
              <w:rPr>
                <w:sz w:val="16"/>
                <w:szCs w:val="16"/>
              </w:rPr>
            </w:pPr>
          </w:p>
        </w:tc>
        <w:tc>
          <w:tcPr>
            <w:tcW w:w="754" w:type="dxa"/>
            <w:shd w:val="clear" w:color="auto" w:fill="C4BC96" w:themeFill="background2" w:themeFillShade="BF"/>
          </w:tcPr>
          <w:p w14:paraId="306CE3C4" w14:textId="77777777" w:rsidR="00E52108" w:rsidRPr="00626FCE" w:rsidRDefault="00E52108" w:rsidP="00626FCE">
            <w:pPr>
              <w:spacing w:before="120" w:after="120"/>
              <w:rPr>
                <w:sz w:val="16"/>
                <w:szCs w:val="16"/>
              </w:rPr>
            </w:pPr>
          </w:p>
        </w:tc>
        <w:tc>
          <w:tcPr>
            <w:tcW w:w="709" w:type="dxa"/>
            <w:shd w:val="clear" w:color="auto" w:fill="C4BC96" w:themeFill="background2" w:themeFillShade="BF"/>
          </w:tcPr>
          <w:p w14:paraId="5C6AA207" w14:textId="77777777" w:rsidR="00E52108" w:rsidRPr="00626FCE" w:rsidRDefault="00E52108" w:rsidP="00626FCE">
            <w:pPr>
              <w:spacing w:before="120" w:after="120"/>
              <w:rPr>
                <w:sz w:val="16"/>
                <w:szCs w:val="16"/>
              </w:rPr>
            </w:pPr>
          </w:p>
        </w:tc>
        <w:tc>
          <w:tcPr>
            <w:tcW w:w="567" w:type="dxa"/>
            <w:shd w:val="clear" w:color="auto" w:fill="C4BC96" w:themeFill="background2" w:themeFillShade="BF"/>
          </w:tcPr>
          <w:p w14:paraId="01D6DFDB" w14:textId="77777777" w:rsidR="00E52108" w:rsidRPr="00626FCE" w:rsidRDefault="00E52108" w:rsidP="00626FCE">
            <w:pPr>
              <w:spacing w:before="120" w:after="120"/>
              <w:rPr>
                <w:sz w:val="16"/>
                <w:szCs w:val="16"/>
              </w:rPr>
            </w:pPr>
          </w:p>
        </w:tc>
        <w:tc>
          <w:tcPr>
            <w:tcW w:w="708" w:type="dxa"/>
            <w:shd w:val="clear" w:color="auto" w:fill="C4BC96" w:themeFill="background2" w:themeFillShade="BF"/>
          </w:tcPr>
          <w:p w14:paraId="2B568AF5" w14:textId="77777777" w:rsidR="00E52108" w:rsidRPr="00626FCE" w:rsidRDefault="00E52108" w:rsidP="00626FCE">
            <w:pPr>
              <w:spacing w:before="120" w:after="120"/>
              <w:rPr>
                <w:sz w:val="16"/>
                <w:szCs w:val="16"/>
              </w:rPr>
            </w:pPr>
          </w:p>
        </w:tc>
        <w:tc>
          <w:tcPr>
            <w:tcW w:w="709" w:type="dxa"/>
            <w:shd w:val="clear" w:color="auto" w:fill="C4BC96" w:themeFill="background2" w:themeFillShade="BF"/>
          </w:tcPr>
          <w:p w14:paraId="321DADE7" w14:textId="77777777" w:rsidR="00E52108" w:rsidRPr="00626FCE" w:rsidRDefault="00E52108" w:rsidP="00626FCE">
            <w:pPr>
              <w:spacing w:before="120" w:after="120"/>
              <w:rPr>
                <w:sz w:val="16"/>
                <w:szCs w:val="16"/>
              </w:rPr>
            </w:pPr>
          </w:p>
        </w:tc>
        <w:tc>
          <w:tcPr>
            <w:tcW w:w="709" w:type="dxa"/>
            <w:shd w:val="clear" w:color="auto" w:fill="C4BC96" w:themeFill="background2" w:themeFillShade="BF"/>
          </w:tcPr>
          <w:p w14:paraId="37A539AE" w14:textId="77777777" w:rsidR="00E52108" w:rsidRPr="00626FCE" w:rsidRDefault="00E52108" w:rsidP="00626FCE">
            <w:pPr>
              <w:spacing w:before="120" w:after="120"/>
              <w:rPr>
                <w:sz w:val="16"/>
                <w:szCs w:val="16"/>
              </w:rPr>
            </w:pPr>
          </w:p>
        </w:tc>
        <w:tc>
          <w:tcPr>
            <w:tcW w:w="709" w:type="dxa"/>
            <w:shd w:val="clear" w:color="auto" w:fill="C4BC96" w:themeFill="background2" w:themeFillShade="BF"/>
          </w:tcPr>
          <w:p w14:paraId="58A29BFB" w14:textId="77777777" w:rsidR="00E52108" w:rsidRPr="00626FCE" w:rsidRDefault="00E52108" w:rsidP="00626FCE">
            <w:pPr>
              <w:spacing w:before="120" w:after="120"/>
              <w:rPr>
                <w:sz w:val="16"/>
                <w:szCs w:val="16"/>
              </w:rPr>
            </w:pPr>
          </w:p>
        </w:tc>
      </w:tr>
      <w:tr w:rsidR="00E52108" w:rsidRPr="00626FCE" w14:paraId="21A79437" w14:textId="77777777" w:rsidTr="00E52108">
        <w:trPr>
          <w:trHeight w:val="348"/>
        </w:trPr>
        <w:tc>
          <w:tcPr>
            <w:tcW w:w="1864" w:type="dxa"/>
            <w:shd w:val="clear" w:color="auto" w:fill="D9D9D9" w:themeFill="background1" w:themeFillShade="D9"/>
          </w:tcPr>
          <w:p w14:paraId="37A0F515" w14:textId="77777777" w:rsidR="00E52108" w:rsidRPr="00E52108" w:rsidRDefault="00E52108" w:rsidP="00626FCE">
            <w:pPr>
              <w:spacing w:before="120" w:after="120"/>
              <w:rPr>
                <w:b/>
                <w:sz w:val="18"/>
                <w:szCs w:val="16"/>
              </w:rPr>
            </w:pPr>
          </w:p>
        </w:tc>
        <w:tc>
          <w:tcPr>
            <w:tcW w:w="706" w:type="dxa"/>
            <w:shd w:val="clear" w:color="auto" w:fill="FFFFFF" w:themeFill="background1"/>
            <w:noWrap/>
          </w:tcPr>
          <w:p w14:paraId="34E70903" w14:textId="77777777" w:rsidR="00E52108" w:rsidRPr="00626FCE" w:rsidRDefault="00E52108" w:rsidP="00626FCE">
            <w:pPr>
              <w:spacing w:before="120" w:after="120"/>
              <w:rPr>
                <w:sz w:val="16"/>
                <w:szCs w:val="16"/>
              </w:rPr>
            </w:pPr>
          </w:p>
        </w:tc>
        <w:tc>
          <w:tcPr>
            <w:tcW w:w="709" w:type="dxa"/>
            <w:gridSpan w:val="2"/>
            <w:shd w:val="clear" w:color="auto" w:fill="FFFFFF" w:themeFill="background1"/>
          </w:tcPr>
          <w:p w14:paraId="1E517E86" w14:textId="77777777" w:rsidR="00E52108" w:rsidRPr="00626FCE" w:rsidRDefault="00E52108" w:rsidP="00626FCE">
            <w:pPr>
              <w:spacing w:before="120" w:after="120"/>
              <w:rPr>
                <w:sz w:val="16"/>
                <w:szCs w:val="16"/>
              </w:rPr>
            </w:pPr>
          </w:p>
        </w:tc>
        <w:tc>
          <w:tcPr>
            <w:tcW w:w="709" w:type="dxa"/>
            <w:shd w:val="clear" w:color="auto" w:fill="FFFFFF" w:themeFill="background1"/>
          </w:tcPr>
          <w:p w14:paraId="376FAAA1" w14:textId="77777777" w:rsidR="00E52108" w:rsidRPr="00626FCE" w:rsidRDefault="00E52108" w:rsidP="00626FCE">
            <w:pPr>
              <w:spacing w:before="120" w:after="120"/>
              <w:rPr>
                <w:sz w:val="16"/>
                <w:szCs w:val="16"/>
              </w:rPr>
            </w:pPr>
          </w:p>
        </w:tc>
        <w:tc>
          <w:tcPr>
            <w:tcW w:w="733" w:type="dxa"/>
            <w:shd w:val="clear" w:color="auto" w:fill="FFFFFF" w:themeFill="background1"/>
          </w:tcPr>
          <w:p w14:paraId="51F1B50F" w14:textId="77777777" w:rsidR="00E52108" w:rsidRPr="00626FCE" w:rsidRDefault="00E52108" w:rsidP="00626FCE">
            <w:pPr>
              <w:spacing w:before="120" w:after="120"/>
              <w:rPr>
                <w:sz w:val="16"/>
                <w:szCs w:val="16"/>
              </w:rPr>
            </w:pPr>
          </w:p>
        </w:tc>
        <w:tc>
          <w:tcPr>
            <w:tcW w:w="543" w:type="dxa"/>
            <w:shd w:val="clear" w:color="auto" w:fill="FFFFFF" w:themeFill="background1"/>
          </w:tcPr>
          <w:p w14:paraId="40BBE0BB" w14:textId="77777777" w:rsidR="00E52108" w:rsidRPr="00626FCE" w:rsidRDefault="00E52108" w:rsidP="00626FCE">
            <w:pPr>
              <w:spacing w:before="120" w:after="120"/>
              <w:rPr>
                <w:sz w:val="16"/>
                <w:szCs w:val="16"/>
              </w:rPr>
            </w:pPr>
          </w:p>
        </w:tc>
        <w:tc>
          <w:tcPr>
            <w:tcW w:w="567" w:type="dxa"/>
            <w:shd w:val="clear" w:color="auto" w:fill="FFFFFF" w:themeFill="background1"/>
          </w:tcPr>
          <w:p w14:paraId="02A94F70" w14:textId="77777777" w:rsidR="00E52108" w:rsidRPr="00626FCE" w:rsidRDefault="00E52108" w:rsidP="00626FCE">
            <w:pPr>
              <w:spacing w:before="120" w:after="120"/>
              <w:rPr>
                <w:sz w:val="16"/>
                <w:szCs w:val="16"/>
              </w:rPr>
            </w:pPr>
          </w:p>
        </w:tc>
        <w:tc>
          <w:tcPr>
            <w:tcW w:w="567" w:type="dxa"/>
            <w:shd w:val="clear" w:color="auto" w:fill="FFFFFF" w:themeFill="background1"/>
          </w:tcPr>
          <w:p w14:paraId="34592593" w14:textId="77777777" w:rsidR="00E52108" w:rsidRPr="00626FCE" w:rsidRDefault="00E52108" w:rsidP="00626FCE">
            <w:pPr>
              <w:spacing w:before="120" w:after="120"/>
              <w:rPr>
                <w:sz w:val="16"/>
                <w:szCs w:val="16"/>
              </w:rPr>
            </w:pPr>
          </w:p>
        </w:tc>
        <w:tc>
          <w:tcPr>
            <w:tcW w:w="680" w:type="dxa"/>
            <w:shd w:val="clear" w:color="auto" w:fill="FFFFFF" w:themeFill="background1"/>
          </w:tcPr>
          <w:p w14:paraId="5B03407C" w14:textId="77777777" w:rsidR="00E52108" w:rsidRPr="00626FCE" w:rsidRDefault="00E52108" w:rsidP="00626FCE">
            <w:pPr>
              <w:spacing w:before="120" w:after="120"/>
              <w:rPr>
                <w:sz w:val="16"/>
                <w:szCs w:val="16"/>
              </w:rPr>
            </w:pPr>
          </w:p>
        </w:tc>
        <w:tc>
          <w:tcPr>
            <w:tcW w:w="692" w:type="dxa"/>
            <w:shd w:val="clear" w:color="auto" w:fill="FFFFFF" w:themeFill="background1"/>
          </w:tcPr>
          <w:p w14:paraId="26CDBBDA" w14:textId="77777777" w:rsidR="00E52108" w:rsidRPr="00626FCE" w:rsidRDefault="00E52108" w:rsidP="00626FCE">
            <w:pPr>
              <w:spacing w:before="120" w:after="120"/>
              <w:rPr>
                <w:sz w:val="16"/>
                <w:szCs w:val="16"/>
              </w:rPr>
            </w:pPr>
          </w:p>
        </w:tc>
        <w:tc>
          <w:tcPr>
            <w:tcW w:w="754" w:type="dxa"/>
            <w:shd w:val="clear" w:color="auto" w:fill="FFFFFF" w:themeFill="background1"/>
          </w:tcPr>
          <w:p w14:paraId="3DAC55C4" w14:textId="77777777" w:rsidR="00E52108" w:rsidRPr="00626FCE" w:rsidRDefault="00E52108" w:rsidP="00626FCE">
            <w:pPr>
              <w:spacing w:before="120" w:after="120"/>
              <w:rPr>
                <w:sz w:val="16"/>
                <w:szCs w:val="16"/>
              </w:rPr>
            </w:pPr>
          </w:p>
        </w:tc>
        <w:tc>
          <w:tcPr>
            <w:tcW w:w="709" w:type="dxa"/>
            <w:shd w:val="clear" w:color="auto" w:fill="FFFFFF" w:themeFill="background1"/>
          </w:tcPr>
          <w:p w14:paraId="17630331" w14:textId="77777777" w:rsidR="00E52108" w:rsidRPr="00626FCE" w:rsidRDefault="00E52108" w:rsidP="00626FCE">
            <w:pPr>
              <w:spacing w:before="120" w:after="120"/>
              <w:rPr>
                <w:sz w:val="16"/>
                <w:szCs w:val="16"/>
              </w:rPr>
            </w:pPr>
          </w:p>
        </w:tc>
        <w:tc>
          <w:tcPr>
            <w:tcW w:w="567" w:type="dxa"/>
            <w:shd w:val="clear" w:color="auto" w:fill="FFFFFF" w:themeFill="background1"/>
          </w:tcPr>
          <w:p w14:paraId="4C7E311D" w14:textId="77777777" w:rsidR="00E52108" w:rsidRPr="00626FCE" w:rsidRDefault="00E52108" w:rsidP="00626FCE">
            <w:pPr>
              <w:spacing w:before="120" w:after="120"/>
              <w:rPr>
                <w:sz w:val="16"/>
                <w:szCs w:val="16"/>
              </w:rPr>
            </w:pPr>
          </w:p>
        </w:tc>
        <w:tc>
          <w:tcPr>
            <w:tcW w:w="708" w:type="dxa"/>
            <w:shd w:val="clear" w:color="auto" w:fill="FFFFFF" w:themeFill="background1"/>
          </w:tcPr>
          <w:p w14:paraId="202EF5DC" w14:textId="77777777" w:rsidR="00E52108" w:rsidRPr="00626FCE" w:rsidRDefault="00E52108" w:rsidP="00626FCE">
            <w:pPr>
              <w:spacing w:before="120" w:after="120"/>
              <w:rPr>
                <w:sz w:val="16"/>
                <w:szCs w:val="16"/>
              </w:rPr>
            </w:pPr>
          </w:p>
        </w:tc>
        <w:tc>
          <w:tcPr>
            <w:tcW w:w="709" w:type="dxa"/>
            <w:shd w:val="clear" w:color="auto" w:fill="FFFFFF" w:themeFill="background1"/>
          </w:tcPr>
          <w:p w14:paraId="449AC7F9" w14:textId="77777777" w:rsidR="00E52108" w:rsidRPr="00626FCE" w:rsidRDefault="00E52108" w:rsidP="00626FCE">
            <w:pPr>
              <w:spacing w:before="120" w:after="120"/>
              <w:rPr>
                <w:sz w:val="16"/>
                <w:szCs w:val="16"/>
              </w:rPr>
            </w:pPr>
          </w:p>
        </w:tc>
        <w:tc>
          <w:tcPr>
            <w:tcW w:w="709" w:type="dxa"/>
            <w:shd w:val="clear" w:color="auto" w:fill="FFFFFF" w:themeFill="background1"/>
          </w:tcPr>
          <w:p w14:paraId="00F66724" w14:textId="77777777" w:rsidR="00E52108" w:rsidRPr="00626FCE" w:rsidRDefault="00E52108" w:rsidP="00626FCE">
            <w:pPr>
              <w:spacing w:before="120" w:after="120"/>
              <w:rPr>
                <w:sz w:val="16"/>
                <w:szCs w:val="16"/>
              </w:rPr>
            </w:pPr>
          </w:p>
        </w:tc>
        <w:tc>
          <w:tcPr>
            <w:tcW w:w="709" w:type="dxa"/>
            <w:shd w:val="clear" w:color="auto" w:fill="FFFFFF" w:themeFill="background1"/>
          </w:tcPr>
          <w:p w14:paraId="07DF6EBA" w14:textId="77777777" w:rsidR="00E52108" w:rsidRPr="00626FCE" w:rsidRDefault="00E52108" w:rsidP="00626FCE">
            <w:pPr>
              <w:spacing w:before="120" w:after="120"/>
              <w:rPr>
                <w:sz w:val="16"/>
                <w:szCs w:val="16"/>
              </w:rPr>
            </w:pPr>
          </w:p>
        </w:tc>
      </w:tr>
      <w:tr w:rsidR="00E52108" w:rsidRPr="00626FCE" w14:paraId="72A50F66" w14:textId="77777777" w:rsidTr="00E52108">
        <w:trPr>
          <w:trHeight w:val="348"/>
        </w:trPr>
        <w:tc>
          <w:tcPr>
            <w:tcW w:w="1864" w:type="dxa"/>
            <w:shd w:val="clear" w:color="auto" w:fill="D9D9D9" w:themeFill="background1" w:themeFillShade="D9"/>
          </w:tcPr>
          <w:p w14:paraId="7946647E" w14:textId="1DF5F43C" w:rsidR="00E52108" w:rsidRPr="00E52108" w:rsidRDefault="00E52108" w:rsidP="00626FCE">
            <w:pPr>
              <w:spacing w:before="120" w:after="120"/>
              <w:rPr>
                <w:b/>
                <w:sz w:val="18"/>
                <w:szCs w:val="16"/>
              </w:rPr>
            </w:pPr>
            <w:r w:rsidRPr="00E52108">
              <w:rPr>
                <w:b/>
                <w:sz w:val="18"/>
                <w:szCs w:val="16"/>
              </w:rPr>
              <w:t>T 6.4 - Exploitation plan</w:t>
            </w:r>
          </w:p>
        </w:tc>
        <w:tc>
          <w:tcPr>
            <w:tcW w:w="706" w:type="dxa"/>
            <w:shd w:val="clear" w:color="auto" w:fill="FFFFFF" w:themeFill="background1"/>
            <w:noWrap/>
          </w:tcPr>
          <w:p w14:paraId="1C8A2365" w14:textId="77777777" w:rsidR="00E52108" w:rsidRPr="00626FCE" w:rsidRDefault="00E52108" w:rsidP="00626FCE">
            <w:pPr>
              <w:spacing w:before="120" w:after="120"/>
              <w:rPr>
                <w:sz w:val="16"/>
                <w:szCs w:val="16"/>
              </w:rPr>
            </w:pPr>
          </w:p>
        </w:tc>
        <w:tc>
          <w:tcPr>
            <w:tcW w:w="709" w:type="dxa"/>
            <w:gridSpan w:val="2"/>
            <w:shd w:val="clear" w:color="auto" w:fill="FFFFFF" w:themeFill="background1"/>
          </w:tcPr>
          <w:p w14:paraId="7A7CA9A3" w14:textId="77777777" w:rsidR="00E52108" w:rsidRPr="00626FCE" w:rsidRDefault="00E52108" w:rsidP="00626FCE">
            <w:pPr>
              <w:spacing w:before="120" w:after="120"/>
              <w:rPr>
                <w:sz w:val="16"/>
                <w:szCs w:val="16"/>
              </w:rPr>
            </w:pPr>
          </w:p>
        </w:tc>
        <w:tc>
          <w:tcPr>
            <w:tcW w:w="709" w:type="dxa"/>
            <w:shd w:val="clear" w:color="auto" w:fill="FFFFFF" w:themeFill="background1"/>
          </w:tcPr>
          <w:p w14:paraId="1B84CB27" w14:textId="77777777" w:rsidR="00E52108" w:rsidRPr="00626FCE" w:rsidRDefault="00E52108" w:rsidP="00626FCE">
            <w:pPr>
              <w:spacing w:before="120" w:after="120"/>
              <w:rPr>
                <w:sz w:val="16"/>
                <w:szCs w:val="16"/>
              </w:rPr>
            </w:pPr>
          </w:p>
        </w:tc>
        <w:tc>
          <w:tcPr>
            <w:tcW w:w="733" w:type="dxa"/>
            <w:shd w:val="clear" w:color="auto" w:fill="FFFFFF" w:themeFill="background1"/>
          </w:tcPr>
          <w:p w14:paraId="5072513D" w14:textId="77777777" w:rsidR="00E52108" w:rsidRPr="00626FCE" w:rsidRDefault="00E52108" w:rsidP="00626FCE">
            <w:pPr>
              <w:spacing w:before="120" w:after="120"/>
              <w:rPr>
                <w:sz w:val="16"/>
                <w:szCs w:val="16"/>
              </w:rPr>
            </w:pPr>
          </w:p>
        </w:tc>
        <w:tc>
          <w:tcPr>
            <w:tcW w:w="543" w:type="dxa"/>
            <w:shd w:val="clear" w:color="auto" w:fill="FFFFFF" w:themeFill="background1"/>
          </w:tcPr>
          <w:p w14:paraId="4CA3623B" w14:textId="77777777" w:rsidR="00E52108" w:rsidRPr="00626FCE" w:rsidRDefault="00E52108" w:rsidP="00626FCE">
            <w:pPr>
              <w:spacing w:before="120" w:after="120"/>
              <w:rPr>
                <w:sz w:val="16"/>
                <w:szCs w:val="16"/>
              </w:rPr>
            </w:pPr>
          </w:p>
        </w:tc>
        <w:tc>
          <w:tcPr>
            <w:tcW w:w="567" w:type="dxa"/>
            <w:shd w:val="clear" w:color="auto" w:fill="FFFFFF" w:themeFill="background1"/>
          </w:tcPr>
          <w:p w14:paraId="32FC5FCE" w14:textId="77777777" w:rsidR="00E52108" w:rsidRPr="00626FCE" w:rsidRDefault="00E52108" w:rsidP="00626FCE">
            <w:pPr>
              <w:spacing w:before="120" w:after="120"/>
              <w:rPr>
                <w:sz w:val="16"/>
                <w:szCs w:val="16"/>
              </w:rPr>
            </w:pPr>
          </w:p>
        </w:tc>
        <w:tc>
          <w:tcPr>
            <w:tcW w:w="567" w:type="dxa"/>
            <w:shd w:val="clear" w:color="auto" w:fill="FFFFFF" w:themeFill="background1"/>
          </w:tcPr>
          <w:p w14:paraId="16F42AAB" w14:textId="77777777" w:rsidR="00E52108" w:rsidRPr="00626FCE" w:rsidRDefault="00E52108" w:rsidP="00626FCE">
            <w:pPr>
              <w:spacing w:before="120" w:after="120"/>
              <w:rPr>
                <w:sz w:val="16"/>
                <w:szCs w:val="16"/>
              </w:rPr>
            </w:pPr>
          </w:p>
        </w:tc>
        <w:tc>
          <w:tcPr>
            <w:tcW w:w="680" w:type="dxa"/>
            <w:shd w:val="clear" w:color="auto" w:fill="FFFFFF" w:themeFill="background1"/>
          </w:tcPr>
          <w:p w14:paraId="3015AAE1" w14:textId="77777777" w:rsidR="00E52108" w:rsidRPr="00626FCE" w:rsidRDefault="00E52108" w:rsidP="00626FCE">
            <w:pPr>
              <w:spacing w:before="120" w:after="120"/>
              <w:rPr>
                <w:sz w:val="16"/>
                <w:szCs w:val="16"/>
              </w:rPr>
            </w:pPr>
          </w:p>
        </w:tc>
        <w:tc>
          <w:tcPr>
            <w:tcW w:w="692" w:type="dxa"/>
            <w:shd w:val="clear" w:color="auto" w:fill="FFFFFF" w:themeFill="background1"/>
          </w:tcPr>
          <w:p w14:paraId="4A493B86" w14:textId="77777777" w:rsidR="00E52108" w:rsidRPr="00626FCE" w:rsidRDefault="00E52108" w:rsidP="00626FCE">
            <w:pPr>
              <w:spacing w:before="120" w:after="120"/>
              <w:rPr>
                <w:sz w:val="16"/>
                <w:szCs w:val="16"/>
              </w:rPr>
            </w:pPr>
          </w:p>
        </w:tc>
        <w:tc>
          <w:tcPr>
            <w:tcW w:w="754" w:type="dxa"/>
            <w:shd w:val="clear" w:color="auto" w:fill="FFFFFF" w:themeFill="background1"/>
          </w:tcPr>
          <w:p w14:paraId="767D6FF3" w14:textId="77777777" w:rsidR="00E52108" w:rsidRPr="00626FCE" w:rsidRDefault="00E52108" w:rsidP="00626FCE">
            <w:pPr>
              <w:spacing w:before="120" w:after="120"/>
              <w:rPr>
                <w:sz w:val="16"/>
                <w:szCs w:val="16"/>
              </w:rPr>
            </w:pPr>
          </w:p>
        </w:tc>
        <w:tc>
          <w:tcPr>
            <w:tcW w:w="709" w:type="dxa"/>
            <w:shd w:val="clear" w:color="auto" w:fill="FFFFFF" w:themeFill="background1"/>
          </w:tcPr>
          <w:p w14:paraId="453CA92D" w14:textId="77777777" w:rsidR="00E52108" w:rsidRPr="00626FCE" w:rsidRDefault="00E52108" w:rsidP="00626FCE">
            <w:pPr>
              <w:spacing w:before="120" w:after="120"/>
              <w:rPr>
                <w:sz w:val="16"/>
                <w:szCs w:val="16"/>
              </w:rPr>
            </w:pPr>
          </w:p>
        </w:tc>
        <w:tc>
          <w:tcPr>
            <w:tcW w:w="567" w:type="dxa"/>
            <w:shd w:val="clear" w:color="auto" w:fill="C4BC96" w:themeFill="background2" w:themeFillShade="BF"/>
          </w:tcPr>
          <w:p w14:paraId="4332EC67" w14:textId="77777777" w:rsidR="00E52108" w:rsidRPr="00626FCE" w:rsidRDefault="00E52108" w:rsidP="00626FCE">
            <w:pPr>
              <w:spacing w:before="120" w:after="120"/>
              <w:rPr>
                <w:sz w:val="16"/>
                <w:szCs w:val="16"/>
              </w:rPr>
            </w:pPr>
          </w:p>
        </w:tc>
        <w:tc>
          <w:tcPr>
            <w:tcW w:w="708" w:type="dxa"/>
            <w:shd w:val="clear" w:color="auto" w:fill="C4BC96" w:themeFill="background2" w:themeFillShade="BF"/>
          </w:tcPr>
          <w:p w14:paraId="13A40915" w14:textId="77777777" w:rsidR="00E52108" w:rsidRPr="00626FCE" w:rsidRDefault="00E52108" w:rsidP="00626FCE">
            <w:pPr>
              <w:spacing w:before="120" w:after="120"/>
              <w:rPr>
                <w:sz w:val="16"/>
                <w:szCs w:val="16"/>
              </w:rPr>
            </w:pPr>
          </w:p>
        </w:tc>
        <w:tc>
          <w:tcPr>
            <w:tcW w:w="709" w:type="dxa"/>
            <w:shd w:val="clear" w:color="auto" w:fill="C4BC96" w:themeFill="background2" w:themeFillShade="BF"/>
          </w:tcPr>
          <w:p w14:paraId="16FD200E" w14:textId="77777777" w:rsidR="00E52108" w:rsidRPr="00626FCE" w:rsidRDefault="00E52108" w:rsidP="00626FCE">
            <w:pPr>
              <w:spacing w:before="120" w:after="120"/>
              <w:rPr>
                <w:sz w:val="16"/>
                <w:szCs w:val="16"/>
              </w:rPr>
            </w:pPr>
          </w:p>
        </w:tc>
        <w:tc>
          <w:tcPr>
            <w:tcW w:w="709" w:type="dxa"/>
            <w:shd w:val="clear" w:color="auto" w:fill="C4BC96" w:themeFill="background2" w:themeFillShade="BF"/>
          </w:tcPr>
          <w:p w14:paraId="07C3801F" w14:textId="77777777" w:rsidR="00E52108" w:rsidRPr="00626FCE" w:rsidRDefault="00E52108" w:rsidP="00626FCE">
            <w:pPr>
              <w:spacing w:before="120" w:after="120"/>
              <w:rPr>
                <w:sz w:val="16"/>
                <w:szCs w:val="16"/>
              </w:rPr>
            </w:pPr>
          </w:p>
        </w:tc>
        <w:tc>
          <w:tcPr>
            <w:tcW w:w="709" w:type="dxa"/>
            <w:shd w:val="clear" w:color="auto" w:fill="C4BC96" w:themeFill="background2" w:themeFillShade="BF"/>
          </w:tcPr>
          <w:p w14:paraId="7216E03A" w14:textId="77777777" w:rsidR="00E52108" w:rsidRPr="00626FCE" w:rsidRDefault="00E52108" w:rsidP="00626FCE">
            <w:pPr>
              <w:spacing w:before="120" w:after="120"/>
              <w:rPr>
                <w:sz w:val="16"/>
                <w:szCs w:val="16"/>
              </w:rPr>
            </w:pPr>
          </w:p>
        </w:tc>
      </w:tr>
      <w:tr w:rsidR="00E52108" w:rsidRPr="00626FCE" w14:paraId="609F190B" w14:textId="77777777" w:rsidTr="00E52108">
        <w:trPr>
          <w:trHeight w:val="348"/>
        </w:trPr>
        <w:tc>
          <w:tcPr>
            <w:tcW w:w="1864" w:type="dxa"/>
            <w:shd w:val="clear" w:color="auto" w:fill="D9D9D9" w:themeFill="background1" w:themeFillShade="D9"/>
          </w:tcPr>
          <w:p w14:paraId="01B9BAAE" w14:textId="77777777" w:rsidR="00E52108" w:rsidRPr="00E52108" w:rsidRDefault="00E52108" w:rsidP="00626FCE">
            <w:pPr>
              <w:spacing w:before="120" w:after="120"/>
              <w:rPr>
                <w:b/>
                <w:sz w:val="18"/>
                <w:szCs w:val="16"/>
              </w:rPr>
            </w:pPr>
          </w:p>
        </w:tc>
        <w:tc>
          <w:tcPr>
            <w:tcW w:w="706" w:type="dxa"/>
            <w:shd w:val="clear" w:color="auto" w:fill="FFFFFF" w:themeFill="background1"/>
            <w:noWrap/>
          </w:tcPr>
          <w:p w14:paraId="4D3B5EAE" w14:textId="77777777" w:rsidR="00E52108" w:rsidRPr="00626FCE" w:rsidRDefault="00E52108" w:rsidP="00626FCE">
            <w:pPr>
              <w:spacing w:before="120" w:after="120"/>
              <w:rPr>
                <w:sz w:val="16"/>
                <w:szCs w:val="16"/>
              </w:rPr>
            </w:pPr>
          </w:p>
        </w:tc>
        <w:tc>
          <w:tcPr>
            <w:tcW w:w="709" w:type="dxa"/>
            <w:gridSpan w:val="2"/>
            <w:shd w:val="clear" w:color="auto" w:fill="FFFFFF" w:themeFill="background1"/>
          </w:tcPr>
          <w:p w14:paraId="79AC1F43" w14:textId="77777777" w:rsidR="00E52108" w:rsidRPr="00626FCE" w:rsidRDefault="00E52108" w:rsidP="00626FCE">
            <w:pPr>
              <w:spacing w:before="120" w:after="120"/>
              <w:rPr>
                <w:sz w:val="16"/>
                <w:szCs w:val="16"/>
              </w:rPr>
            </w:pPr>
          </w:p>
        </w:tc>
        <w:tc>
          <w:tcPr>
            <w:tcW w:w="709" w:type="dxa"/>
            <w:shd w:val="clear" w:color="auto" w:fill="FFFFFF" w:themeFill="background1"/>
          </w:tcPr>
          <w:p w14:paraId="5B384D51" w14:textId="77777777" w:rsidR="00E52108" w:rsidRPr="00626FCE" w:rsidRDefault="00E52108" w:rsidP="00626FCE">
            <w:pPr>
              <w:spacing w:before="120" w:after="120"/>
              <w:rPr>
                <w:sz w:val="16"/>
                <w:szCs w:val="16"/>
              </w:rPr>
            </w:pPr>
          </w:p>
        </w:tc>
        <w:tc>
          <w:tcPr>
            <w:tcW w:w="733" w:type="dxa"/>
            <w:shd w:val="clear" w:color="auto" w:fill="FFFFFF" w:themeFill="background1"/>
          </w:tcPr>
          <w:p w14:paraId="19FAFF8F" w14:textId="77777777" w:rsidR="00E52108" w:rsidRPr="00626FCE" w:rsidRDefault="00E52108" w:rsidP="00626FCE">
            <w:pPr>
              <w:spacing w:before="120" w:after="120"/>
              <w:rPr>
                <w:sz w:val="16"/>
                <w:szCs w:val="16"/>
              </w:rPr>
            </w:pPr>
          </w:p>
        </w:tc>
        <w:tc>
          <w:tcPr>
            <w:tcW w:w="543" w:type="dxa"/>
            <w:shd w:val="clear" w:color="auto" w:fill="FFFFFF" w:themeFill="background1"/>
          </w:tcPr>
          <w:p w14:paraId="4D2AD057" w14:textId="77777777" w:rsidR="00E52108" w:rsidRPr="00626FCE" w:rsidRDefault="00E52108" w:rsidP="00626FCE">
            <w:pPr>
              <w:spacing w:before="120" w:after="120"/>
              <w:rPr>
                <w:sz w:val="16"/>
                <w:szCs w:val="16"/>
              </w:rPr>
            </w:pPr>
          </w:p>
        </w:tc>
        <w:tc>
          <w:tcPr>
            <w:tcW w:w="567" w:type="dxa"/>
            <w:shd w:val="clear" w:color="auto" w:fill="FFFFFF" w:themeFill="background1"/>
          </w:tcPr>
          <w:p w14:paraId="7E8766B4" w14:textId="77777777" w:rsidR="00E52108" w:rsidRPr="00626FCE" w:rsidRDefault="00E52108" w:rsidP="00626FCE">
            <w:pPr>
              <w:spacing w:before="120" w:after="120"/>
              <w:rPr>
                <w:sz w:val="16"/>
                <w:szCs w:val="16"/>
              </w:rPr>
            </w:pPr>
          </w:p>
        </w:tc>
        <w:tc>
          <w:tcPr>
            <w:tcW w:w="567" w:type="dxa"/>
            <w:shd w:val="clear" w:color="auto" w:fill="FFFFFF" w:themeFill="background1"/>
          </w:tcPr>
          <w:p w14:paraId="2B7C0413" w14:textId="77777777" w:rsidR="00E52108" w:rsidRPr="00626FCE" w:rsidRDefault="00E52108" w:rsidP="00626FCE">
            <w:pPr>
              <w:spacing w:before="120" w:after="120"/>
              <w:rPr>
                <w:sz w:val="16"/>
                <w:szCs w:val="16"/>
              </w:rPr>
            </w:pPr>
          </w:p>
        </w:tc>
        <w:tc>
          <w:tcPr>
            <w:tcW w:w="680" w:type="dxa"/>
            <w:shd w:val="clear" w:color="auto" w:fill="FFFFFF" w:themeFill="background1"/>
          </w:tcPr>
          <w:p w14:paraId="4FB509F8" w14:textId="77777777" w:rsidR="00E52108" w:rsidRPr="00626FCE" w:rsidRDefault="00E52108" w:rsidP="00626FCE">
            <w:pPr>
              <w:spacing w:before="120" w:after="120"/>
              <w:rPr>
                <w:sz w:val="16"/>
                <w:szCs w:val="16"/>
              </w:rPr>
            </w:pPr>
          </w:p>
        </w:tc>
        <w:tc>
          <w:tcPr>
            <w:tcW w:w="692" w:type="dxa"/>
            <w:shd w:val="clear" w:color="auto" w:fill="FFFFFF" w:themeFill="background1"/>
          </w:tcPr>
          <w:p w14:paraId="6F4C4A5B" w14:textId="77777777" w:rsidR="00E52108" w:rsidRPr="00626FCE" w:rsidRDefault="00E52108" w:rsidP="00626FCE">
            <w:pPr>
              <w:spacing w:before="120" w:after="120"/>
              <w:rPr>
                <w:sz w:val="16"/>
                <w:szCs w:val="16"/>
              </w:rPr>
            </w:pPr>
          </w:p>
        </w:tc>
        <w:tc>
          <w:tcPr>
            <w:tcW w:w="754" w:type="dxa"/>
            <w:shd w:val="clear" w:color="auto" w:fill="FFFFFF" w:themeFill="background1"/>
          </w:tcPr>
          <w:p w14:paraId="5CCD680A" w14:textId="77777777" w:rsidR="00E52108" w:rsidRPr="00626FCE" w:rsidRDefault="00E52108" w:rsidP="00626FCE">
            <w:pPr>
              <w:spacing w:before="120" w:after="120"/>
              <w:rPr>
                <w:sz w:val="16"/>
                <w:szCs w:val="16"/>
              </w:rPr>
            </w:pPr>
          </w:p>
        </w:tc>
        <w:tc>
          <w:tcPr>
            <w:tcW w:w="709" w:type="dxa"/>
            <w:shd w:val="clear" w:color="auto" w:fill="FFFFFF" w:themeFill="background1"/>
          </w:tcPr>
          <w:p w14:paraId="4F1D1F86" w14:textId="77777777" w:rsidR="00E52108" w:rsidRPr="00626FCE" w:rsidRDefault="00E52108" w:rsidP="00626FCE">
            <w:pPr>
              <w:spacing w:before="120" w:after="120"/>
              <w:rPr>
                <w:sz w:val="16"/>
                <w:szCs w:val="16"/>
              </w:rPr>
            </w:pPr>
          </w:p>
        </w:tc>
        <w:tc>
          <w:tcPr>
            <w:tcW w:w="567" w:type="dxa"/>
            <w:shd w:val="clear" w:color="auto" w:fill="FFFFFF" w:themeFill="background1"/>
          </w:tcPr>
          <w:p w14:paraId="2B4F33FE" w14:textId="77777777" w:rsidR="00E52108" w:rsidRPr="00626FCE" w:rsidRDefault="00E52108" w:rsidP="00626FCE">
            <w:pPr>
              <w:spacing w:before="120" w:after="120"/>
              <w:rPr>
                <w:sz w:val="16"/>
                <w:szCs w:val="16"/>
              </w:rPr>
            </w:pPr>
          </w:p>
        </w:tc>
        <w:tc>
          <w:tcPr>
            <w:tcW w:w="708" w:type="dxa"/>
            <w:shd w:val="clear" w:color="auto" w:fill="FFFFFF" w:themeFill="background1"/>
          </w:tcPr>
          <w:p w14:paraId="188A68B9" w14:textId="77777777" w:rsidR="00E52108" w:rsidRPr="00626FCE" w:rsidRDefault="00E52108" w:rsidP="00626FCE">
            <w:pPr>
              <w:spacing w:before="120" w:after="120"/>
              <w:rPr>
                <w:sz w:val="16"/>
                <w:szCs w:val="16"/>
              </w:rPr>
            </w:pPr>
          </w:p>
        </w:tc>
        <w:tc>
          <w:tcPr>
            <w:tcW w:w="709" w:type="dxa"/>
            <w:shd w:val="clear" w:color="auto" w:fill="FFFFFF" w:themeFill="background1"/>
          </w:tcPr>
          <w:p w14:paraId="10E045B2" w14:textId="77777777" w:rsidR="00E52108" w:rsidRPr="00626FCE" w:rsidRDefault="00E52108" w:rsidP="00626FCE">
            <w:pPr>
              <w:spacing w:before="120" w:after="120"/>
              <w:rPr>
                <w:sz w:val="16"/>
                <w:szCs w:val="16"/>
              </w:rPr>
            </w:pPr>
          </w:p>
        </w:tc>
        <w:tc>
          <w:tcPr>
            <w:tcW w:w="709" w:type="dxa"/>
            <w:shd w:val="clear" w:color="auto" w:fill="FFFFFF" w:themeFill="background1"/>
          </w:tcPr>
          <w:p w14:paraId="06DE71E5" w14:textId="77777777" w:rsidR="00E52108" w:rsidRPr="00626FCE" w:rsidRDefault="00E52108" w:rsidP="00626FCE">
            <w:pPr>
              <w:spacing w:before="120" w:after="120"/>
              <w:rPr>
                <w:sz w:val="16"/>
                <w:szCs w:val="16"/>
              </w:rPr>
            </w:pPr>
          </w:p>
        </w:tc>
        <w:tc>
          <w:tcPr>
            <w:tcW w:w="709" w:type="dxa"/>
            <w:shd w:val="clear" w:color="auto" w:fill="FFFFFF" w:themeFill="background1"/>
          </w:tcPr>
          <w:p w14:paraId="1EC40276" w14:textId="77777777" w:rsidR="00E52108" w:rsidRPr="00626FCE" w:rsidRDefault="00E52108" w:rsidP="00626FCE">
            <w:pPr>
              <w:spacing w:before="120" w:after="120"/>
              <w:rPr>
                <w:sz w:val="16"/>
                <w:szCs w:val="16"/>
              </w:rPr>
            </w:pPr>
          </w:p>
        </w:tc>
      </w:tr>
      <w:tr w:rsidR="00E52108" w:rsidRPr="00626FCE" w14:paraId="5CD56E43" w14:textId="77777777" w:rsidTr="00E52108">
        <w:trPr>
          <w:trHeight w:val="348"/>
        </w:trPr>
        <w:tc>
          <w:tcPr>
            <w:tcW w:w="1864" w:type="dxa"/>
            <w:shd w:val="clear" w:color="auto" w:fill="D9D9D9" w:themeFill="background1" w:themeFillShade="D9"/>
          </w:tcPr>
          <w:p w14:paraId="3AAFD105" w14:textId="141FD94D" w:rsidR="00E52108" w:rsidRPr="00E52108" w:rsidRDefault="00E52108" w:rsidP="00626FCE">
            <w:pPr>
              <w:spacing w:before="120" w:after="120"/>
              <w:rPr>
                <w:b/>
                <w:sz w:val="18"/>
                <w:szCs w:val="16"/>
              </w:rPr>
            </w:pPr>
            <w:r w:rsidRPr="00E52108">
              <w:rPr>
                <w:b/>
                <w:sz w:val="18"/>
                <w:szCs w:val="16"/>
              </w:rPr>
              <w:t>WP7 - Communication, Dissemination</w:t>
            </w:r>
          </w:p>
        </w:tc>
        <w:tc>
          <w:tcPr>
            <w:tcW w:w="706" w:type="dxa"/>
            <w:shd w:val="clear" w:color="auto" w:fill="948A54" w:themeFill="background2" w:themeFillShade="80"/>
            <w:noWrap/>
          </w:tcPr>
          <w:p w14:paraId="05F281CA" w14:textId="77777777" w:rsidR="00E52108" w:rsidRPr="00626FCE" w:rsidRDefault="00E52108" w:rsidP="00626FCE">
            <w:pPr>
              <w:spacing w:before="120" w:after="120"/>
              <w:rPr>
                <w:sz w:val="16"/>
                <w:szCs w:val="16"/>
              </w:rPr>
            </w:pPr>
          </w:p>
        </w:tc>
        <w:tc>
          <w:tcPr>
            <w:tcW w:w="709" w:type="dxa"/>
            <w:gridSpan w:val="2"/>
            <w:shd w:val="clear" w:color="auto" w:fill="948A54" w:themeFill="background2" w:themeFillShade="80"/>
          </w:tcPr>
          <w:p w14:paraId="4369D51C" w14:textId="77777777" w:rsidR="00E52108" w:rsidRPr="00626FCE" w:rsidRDefault="00E52108" w:rsidP="00626FCE">
            <w:pPr>
              <w:spacing w:before="120" w:after="120"/>
              <w:rPr>
                <w:sz w:val="16"/>
                <w:szCs w:val="16"/>
              </w:rPr>
            </w:pPr>
          </w:p>
        </w:tc>
        <w:tc>
          <w:tcPr>
            <w:tcW w:w="709" w:type="dxa"/>
            <w:shd w:val="clear" w:color="auto" w:fill="948A54" w:themeFill="background2" w:themeFillShade="80"/>
          </w:tcPr>
          <w:p w14:paraId="4E216BE3" w14:textId="77777777" w:rsidR="00E52108" w:rsidRPr="00626FCE" w:rsidRDefault="00E52108" w:rsidP="00626FCE">
            <w:pPr>
              <w:spacing w:before="120" w:after="120"/>
              <w:rPr>
                <w:sz w:val="16"/>
                <w:szCs w:val="16"/>
              </w:rPr>
            </w:pPr>
          </w:p>
        </w:tc>
        <w:tc>
          <w:tcPr>
            <w:tcW w:w="733" w:type="dxa"/>
            <w:shd w:val="clear" w:color="auto" w:fill="948A54" w:themeFill="background2" w:themeFillShade="80"/>
          </w:tcPr>
          <w:p w14:paraId="7334BFB3" w14:textId="77777777" w:rsidR="00E52108" w:rsidRPr="00626FCE" w:rsidRDefault="00E52108" w:rsidP="00626FCE">
            <w:pPr>
              <w:spacing w:before="120" w:after="120"/>
              <w:rPr>
                <w:sz w:val="16"/>
                <w:szCs w:val="16"/>
              </w:rPr>
            </w:pPr>
          </w:p>
        </w:tc>
        <w:tc>
          <w:tcPr>
            <w:tcW w:w="543" w:type="dxa"/>
            <w:shd w:val="clear" w:color="auto" w:fill="948A54" w:themeFill="background2" w:themeFillShade="80"/>
          </w:tcPr>
          <w:p w14:paraId="49AB26DE" w14:textId="77777777" w:rsidR="00E52108" w:rsidRPr="00626FCE" w:rsidRDefault="00E52108" w:rsidP="00626FCE">
            <w:pPr>
              <w:spacing w:before="120" w:after="120"/>
              <w:rPr>
                <w:sz w:val="16"/>
                <w:szCs w:val="16"/>
              </w:rPr>
            </w:pPr>
          </w:p>
        </w:tc>
        <w:tc>
          <w:tcPr>
            <w:tcW w:w="567" w:type="dxa"/>
            <w:shd w:val="clear" w:color="auto" w:fill="948A54" w:themeFill="background2" w:themeFillShade="80"/>
          </w:tcPr>
          <w:p w14:paraId="45FF01C4" w14:textId="77777777" w:rsidR="00E52108" w:rsidRPr="00626FCE" w:rsidRDefault="00E52108" w:rsidP="00626FCE">
            <w:pPr>
              <w:spacing w:before="120" w:after="120"/>
              <w:rPr>
                <w:sz w:val="16"/>
                <w:szCs w:val="16"/>
              </w:rPr>
            </w:pPr>
          </w:p>
        </w:tc>
        <w:tc>
          <w:tcPr>
            <w:tcW w:w="567" w:type="dxa"/>
            <w:shd w:val="clear" w:color="auto" w:fill="948A54" w:themeFill="background2" w:themeFillShade="80"/>
          </w:tcPr>
          <w:p w14:paraId="62F3A45A" w14:textId="77777777" w:rsidR="00E52108" w:rsidRPr="00626FCE" w:rsidRDefault="00E52108" w:rsidP="00626FCE">
            <w:pPr>
              <w:spacing w:before="120" w:after="120"/>
              <w:rPr>
                <w:sz w:val="16"/>
                <w:szCs w:val="16"/>
              </w:rPr>
            </w:pPr>
          </w:p>
        </w:tc>
        <w:tc>
          <w:tcPr>
            <w:tcW w:w="680" w:type="dxa"/>
            <w:shd w:val="clear" w:color="auto" w:fill="948A54" w:themeFill="background2" w:themeFillShade="80"/>
          </w:tcPr>
          <w:p w14:paraId="37F4FCF8" w14:textId="77777777" w:rsidR="00E52108" w:rsidRPr="00626FCE" w:rsidRDefault="00E52108" w:rsidP="00626FCE">
            <w:pPr>
              <w:spacing w:before="120" w:after="120"/>
              <w:rPr>
                <w:sz w:val="16"/>
                <w:szCs w:val="16"/>
              </w:rPr>
            </w:pPr>
          </w:p>
        </w:tc>
        <w:tc>
          <w:tcPr>
            <w:tcW w:w="692" w:type="dxa"/>
            <w:shd w:val="clear" w:color="auto" w:fill="948A54" w:themeFill="background2" w:themeFillShade="80"/>
          </w:tcPr>
          <w:p w14:paraId="4C997BA0" w14:textId="77777777" w:rsidR="00E52108" w:rsidRPr="00626FCE" w:rsidRDefault="00E52108" w:rsidP="00626FCE">
            <w:pPr>
              <w:spacing w:before="120" w:after="120"/>
              <w:rPr>
                <w:sz w:val="16"/>
                <w:szCs w:val="16"/>
              </w:rPr>
            </w:pPr>
          </w:p>
        </w:tc>
        <w:tc>
          <w:tcPr>
            <w:tcW w:w="754" w:type="dxa"/>
            <w:shd w:val="clear" w:color="auto" w:fill="948A54" w:themeFill="background2" w:themeFillShade="80"/>
          </w:tcPr>
          <w:p w14:paraId="3728988B" w14:textId="77777777" w:rsidR="00E52108" w:rsidRPr="00626FCE" w:rsidRDefault="00E52108" w:rsidP="00626FCE">
            <w:pPr>
              <w:spacing w:before="120" w:after="120"/>
              <w:rPr>
                <w:sz w:val="16"/>
                <w:szCs w:val="16"/>
              </w:rPr>
            </w:pPr>
          </w:p>
        </w:tc>
        <w:tc>
          <w:tcPr>
            <w:tcW w:w="709" w:type="dxa"/>
            <w:shd w:val="clear" w:color="auto" w:fill="948A54" w:themeFill="background2" w:themeFillShade="80"/>
          </w:tcPr>
          <w:p w14:paraId="2B70EA28" w14:textId="77777777" w:rsidR="00E52108" w:rsidRPr="00626FCE" w:rsidRDefault="00E52108" w:rsidP="00626FCE">
            <w:pPr>
              <w:spacing w:before="120" w:after="120"/>
              <w:rPr>
                <w:sz w:val="16"/>
                <w:szCs w:val="16"/>
              </w:rPr>
            </w:pPr>
          </w:p>
        </w:tc>
        <w:tc>
          <w:tcPr>
            <w:tcW w:w="567" w:type="dxa"/>
            <w:shd w:val="clear" w:color="auto" w:fill="948A54" w:themeFill="background2" w:themeFillShade="80"/>
          </w:tcPr>
          <w:p w14:paraId="25D3DC52" w14:textId="77777777" w:rsidR="00E52108" w:rsidRPr="00626FCE" w:rsidRDefault="00E52108" w:rsidP="00626FCE">
            <w:pPr>
              <w:spacing w:before="120" w:after="120"/>
              <w:rPr>
                <w:sz w:val="16"/>
                <w:szCs w:val="16"/>
              </w:rPr>
            </w:pPr>
          </w:p>
        </w:tc>
        <w:tc>
          <w:tcPr>
            <w:tcW w:w="708" w:type="dxa"/>
            <w:shd w:val="clear" w:color="auto" w:fill="948A54" w:themeFill="background2" w:themeFillShade="80"/>
          </w:tcPr>
          <w:p w14:paraId="4BB7FCD2" w14:textId="77777777" w:rsidR="00E52108" w:rsidRPr="00626FCE" w:rsidRDefault="00E52108" w:rsidP="00626FCE">
            <w:pPr>
              <w:spacing w:before="120" w:after="120"/>
              <w:rPr>
                <w:sz w:val="16"/>
                <w:szCs w:val="16"/>
              </w:rPr>
            </w:pPr>
          </w:p>
        </w:tc>
        <w:tc>
          <w:tcPr>
            <w:tcW w:w="709" w:type="dxa"/>
            <w:shd w:val="clear" w:color="auto" w:fill="948A54" w:themeFill="background2" w:themeFillShade="80"/>
          </w:tcPr>
          <w:p w14:paraId="6C6AE59E" w14:textId="77777777" w:rsidR="00E52108" w:rsidRPr="00626FCE" w:rsidRDefault="00E52108" w:rsidP="00626FCE">
            <w:pPr>
              <w:spacing w:before="120" w:after="120"/>
              <w:rPr>
                <w:sz w:val="16"/>
                <w:szCs w:val="16"/>
              </w:rPr>
            </w:pPr>
          </w:p>
        </w:tc>
        <w:tc>
          <w:tcPr>
            <w:tcW w:w="709" w:type="dxa"/>
            <w:shd w:val="clear" w:color="auto" w:fill="948A54" w:themeFill="background2" w:themeFillShade="80"/>
          </w:tcPr>
          <w:p w14:paraId="5BF7DCBA" w14:textId="77777777" w:rsidR="00E52108" w:rsidRPr="00626FCE" w:rsidRDefault="00E52108" w:rsidP="00626FCE">
            <w:pPr>
              <w:spacing w:before="120" w:after="120"/>
              <w:rPr>
                <w:sz w:val="16"/>
                <w:szCs w:val="16"/>
              </w:rPr>
            </w:pPr>
          </w:p>
        </w:tc>
        <w:tc>
          <w:tcPr>
            <w:tcW w:w="709" w:type="dxa"/>
            <w:shd w:val="clear" w:color="auto" w:fill="948A54" w:themeFill="background2" w:themeFillShade="80"/>
          </w:tcPr>
          <w:p w14:paraId="4EDBAF00" w14:textId="77777777" w:rsidR="00E52108" w:rsidRPr="00626FCE" w:rsidRDefault="00E52108" w:rsidP="00626FCE">
            <w:pPr>
              <w:spacing w:before="120" w:after="120"/>
              <w:rPr>
                <w:sz w:val="16"/>
                <w:szCs w:val="16"/>
              </w:rPr>
            </w:pPr>
          </w:p>
        </w:tc>
      </w:tr>
      <w:tr w:rsidR="00E52108" w:rsidRPr="00626FCE" w14:paraId="28F167CF" w14:textId="77777777" w:rsidTr="00E52108">
        <w:trPr>
          <w:trHeight w:val="348"/>
        </w:trPr>
        <w:tc>
          <w:tcPr>
            <w:tcW w:w="1864" w:type="dxa"/>
            <w:shd w:val="clear" w:color="auto" w:fill="D9D9D9" w:themeFill="background1" w:themeFillShade="D9"/>
          </w:tcPr>
          <w:p w14:paraId="024F7D25" w14:textId="77777777" w:rsidR="00E52108" w:rsidRPr="00E52108" w:rsidRDefault="00E52108" w:rsidP="00626FCE">
            <w:pPr>
              <w:spacing w:before="120" w:after="120"/>
              <w:rPr>
                <w:b/>
                <w:sz w:val="18"/>
                <w:szCs w:val="16"/>
              </w:rPr>
            </w:pPr>
          </w:p>
        </w:tc>
        <w:tc>
          <w:tcPr>
            <w:tcW w:w="706" w:type="dxa"/>
            <w:shd w:val="clear" w:color="auto" w:fill="FFFFFF" w:themeFill="background1"/>
            <w:noWrap/>
          </w:tcPr>
          <w:p w14:paraId="3E80B508" w14:textId="77777777" w:rsidR="00E52108" w:rsidRPr="00626FCE" w:rsidRDefault="00E52108" w:rsidP="00626FCE">
            <w:pPr>
              <w:spacing w:before="120" w:after="120"/>
              <w:rPr>
                <w:sz w:val="16"/>
                <w:szCs w:val="16"/>
              </w:rPr>
            </w:pPr>
          </w:p>
        </w:tc>
        <w:tc>
          <w:tcPr>
            <w:tcW w:w="709" w:type="dxa"/>
            <w:gridSpan w:val="2"/>
            <w:shd w:val="clear" w:color="auto" w:fill="FFFFFF" w:themeFill="background1"/>
          </w:tcPr>
          <w:p w14:paraId="6AADBD69" w14:textId="77777777" w:rsidR="00E52108" w:rsidRPr="00626FCE" w:rsidRDefault="00E52108" w:rsidP="00626FCE">
            <w:pPr>
              <w:spacing w:before="120" w:after="120"/>
              <w:rPr>
                <w:sz w:val="16"/>
                <w:szCs w:val="16"/>
              </w:rPr>
            </w:pPr>
          </w:p>
        </w:tc>
        <w:tc>
          <w:tcPr>
            <w:tcW w:w="709" w:type="dxa"/>
            <w:shd w:val="clear" w:color="auto" w:fill="FFFFFF" w:themeFill="background1"/>
          </w:tcPr>
          <w:p w14:paraId="26485D42" w14:textId="77777777" w:rsidR="00E52108" w:rsidRPr="00626FCE" w:rsidRDefault="00E52108" w:rsidP="00626FCE">
            <w:pPr>
              <w:spacing w:before="120" w:after="120"/>
              <w:rPr>
                <w:sz w:val="16"/>
                <w:szCs w:val="16"/>
              </w:rPr>
            </w:pPr>
          </w:p>
        </w:tc>
        <w:tc>
          <w:tcPr>
            <w:tcW w:w="733" w:type="dxa"/>
            <w:shd w:val="clear" w:color="auto" w:fill="FFFFFF" w:themeFill="background1"/>
          </w:tcPr>
          <w:p w14:paraId="412E66F9" w14:textId="77777777" w:rsidR="00E52108" w:rsidRPr="00626FCE" w:rsidRDefault="00E52108" w:rsidP="00626FCE">
            <w:pPr>
              <w:spacing w:before="120" w:after="120"/>
              <w:rPr>
                <w:sz w:val="16"/>
                <w:szCs w:val="16"/>
              </w:rPr>
            </w:pPr>
          </w:p>
        </w:tc>
        <w:tc>
          <w:tcPr>
            <w:tcW w:w="543" w:type="dxa"/>
            <w:shd w:val="clear" w:color="auto" w:fill="FFFFFF" w:themeFill="background1"/>
          </w:tcPr>
          <w:p w14:paraId="2C312890" w14:textId="77777777" w:rsidR="00E52108" w:rsidRPr="00626FCE" w:rsidRDefault="00E52108" w:rsidP="00626FCE">
            <w:pPr>
              <w:spacing w:before="120" w:after="120"/>
              <w:rPr>
                <w:sz w:val="16"/>
                <w:szCs w:val="16"/>
              </w:rPr>
            </w:pPr>
          </w:p>
        </w:tc>
        <w:tc>
          <w:tcPr>
            <w:tcW w:w="567" w:type="dxa"/>
            <w:shd w:val="clear" w:color="auto" w:fill="FFFFFF" w:themeFill="background1"/>
          </w:tcPr>
          <w:p w14:paraId="74EDE870" w14:textId="77777777" w:rsidR="00E52108" w:rsidRPr="00626FCE" w:rsidRDefault="00E52108" w:rsidP="00626FCE">
            <w:pPr>
              <w:spacing w:before="120" w:after="120"/>
              <w:rPr>
                <w:sz w:val="16"/>
                <w:szCs w:val="16"/>
              </w:rPr>
            </w:pPr>
          </w:p>
        </w:tc>
        <w:tc>
          <w:tcPr>
            <w:tcW w:w="567" w:type="dxa"/>
            <w:shd w:val="clear" w:color="auto" w:fill="FFFFFF" w:themeFill="background1"/>
          </w:tcPr>
          <w:p w14:paraId="65FAFF81" w14:textId="77777777" w:rsidR="00E52108" w:rsidRPr="00626FCE" w:rsidRDefault="00E52108" w:rsidP="00626FCE">
            <w:pPr>
              <w:spacing w:before="120" w:after="120"/>
              <w:rPr>
                <w:sz w:val="16"/>
                <w:szCs w:val="16"/>
              </w:rPr>
            </w:pPr>
          </w:p>
        </w:tc>
        <w:tc>
          <w:tcPr>
            <w:tcW w:w="680" w:type="dxa"/>
            <w:shd w:val="clear" w:color="auto" w:fill="FFFFFF" w:themeFill="background1"/>
          </w:tcPr>
          <w:p w14:paraId="6928EA94" w14:textId="77777777" w:rsidR="00E52108" w:rsidRPr="00626FCE" w:rsidRDefault="00E52108" w:rsidP="00626FCE">
            <w:pPr>
              <w:spacing w:before="120" w:after="120"/>
              <w:rPr>
                <w:sz w:val="16"/>
                <w:szCs w:val="16"/>
              </w:rPr>
            </w:pPr>
          </w:p>
        </w:tc>
        <w:tc>
          <w:tcPr>
            <w:tcW w:w="692" w:type="dxa"/>
            <w:shd w:val="clear" w:color="auto" w:fill="FFFFFF" w:themeFill="background1"/>
          </w:tcPr>
          <w:p w14:paraId="61BC0D20" w14:textId="77777777" w:rsidR="00E52108" w:rsidRPr="00626FCE" w:rsidRDefault="00E52108" w:rsidP="00626FCE">
            <w:pPr>
              <w:spacing w:before="120" w:after="120"/>
              <w:rPr>
                <w:sz w:val="16"/>
                <w:szCs w:val="16"/>
              </w:rPr>
            </w:pPr>
          </w:p>
        </w:tc>
        <w:tc>
          <w:tcPr>
            <w:tcW w:w="754" w:type="dxa"/>
            <w:shd w:val="clear" w:color="auto" w:fill="FFFFFF" w:themeFill="background1"/>
          </w:tcPr>
          <w:p w14:paraId="06506AE8" w14:textId="77777777" w:rsidR="00E52108" w:rsidRPr="00626FCE" w:rsidRDefault="00E52108" w:rsidP="00626FCE">
            <w:pPr>
              <w:spacing w:before="120" w:after="120"/>
              <w:rPr>
                <w:sz w:val="16"/>
                <w:szCs w:val="16"/>
              </w:rPr>
            </w:pPr>
          </w:p>
        </w:tc>
        <w:tc>
          <w:tcPr>
            <w:tcW w:w="709" w:type="dxa"/>
            <w:shd w:val="clear" w:color="auto" w:fill="FFFFFF" w:themeFill="background1"/>
          </w:tcPr>
          <w:p w14:paraId="5621F76F" w14:textId="77777777" w:rsidR="00E52108" w:rsidRPr="00626FCE" w:rsidRDefault="00E52108" w:rsidP="00626FCE">
            <w:pPr>
              <w:spacing w:before="120" w:after="120"/>
              <w:rPr>
                <w:sz w:val="16"/>
                <w:szCs w:val="16"/>
              </w:rPr>
            </w:pPr>
          </w:p>
        </w:tc>
        <w:tc>
          <w:tcPr>
            <w:tcW w:w="567" w:type="dxa"/>
            <w:shd w:val="clear" w:color="auto" w:fill="FFFFFF" w:themeFill="background1"/>
          </w:tcPr>
          <w:p w14:paraId="701E3D28" w14:textId="77777777" w:rsidR="00E52108" w:rsidRPr="00626FCE" w:rsidRDefault="00E52108" w:rsidP="00626FCE">
            <w:pPr>
              <w:spacing w:before="120" w:after="120"/>
              <w:rPr>
                <w:sz w:val="16"/>
                <w:szCs w:val="16"/>
              </w:rPr>
            </w:pPr>
          </w:p>
        </w:tc>
        <w:tc>
          <w:tcPr>
            <w:tcW w:w="708" w:type="dxa"/>
            <w:shd w:val="clear" w:color="auto" w:fill="FFFFFF" w:themeFill="background1"/>
          </w:tcPr>
          <w:p w14:paraId="531D0D95" w14:textId="77777777" w:rsidR="00E52108" w:rsidRPr="00626FCE" w:rsidRDefault="00E52108" w:rsidP="00626FCE">
            <w:pPr>
              <w:spacing w:before="120" w:after="120"/>
              <w:rPr>
                <w:sz w:val="16"/>
                <w:szCs w:val="16"/>
              </w:rPr>
            </w:pPr>
          </w:p>
        </w:tc>
        <w:tc>
          <w:tcPr>
            <w:tcW w:w="709" w:type="dxa"/>
            <w:shd w:val="clear" w:color="auto" w:fill="FFFFFF" w:themeFill="background1"/>
          </w:tcPr>
          <w:p w14:paraId="1C9EF641" w14:textId="77777777" w:rsidR="00E52108" w:rsidRPr="00626FCE" w:rsidRDefault="00E52108" w:rsidP="00626FCE">
            <w:pPr>
              <w:spacing w:before="120" w:after="120"/>
              <w:rPr>
                <w:sz w:val="16"/>
                <w:szCs w:val="16"/>
              </w:rPr>
            </w:pPr>
          </w:p>
        </w:tc>
        <w:tc>
          <w:tcPr>
            <w:tcW w:w="709" w:type="dxa"/>
            <w:shd w:val="clear" w:color="auto" w:fill="FFFFFF" w:themeFill="background1"/>
          </w:tcPr>
          <w:p w14:paraId="1959EF63" w14:textId="77777777" w:rsidR="00E52108" w:rsidRPr="00626FCE" w:rsidRDefault="00E52108" w:rsidP="00626FCE">
            <w:pPr>
              <w:spacing w:before="120" w:after="120"/>
              <w:rPr>
                <w:sz w:val="16"/>
                <w:szCs w:val="16"/>
              </w:rPr>
            </w:pPr>
          </w:p>
        </w:tc>
        <w:tc>
          <w:tcPr>
            <w:tcW w:w="709" w:type="dxa"/>
            <w:shd w:val="clear" w:color="auto" w:fill="FFFFFF" w:themeFill="background1"/>
          </w:tcPr>
          <w:p w14:paraId="2A415F4A" w14:textId="77777777" w:rsidR="00E52108" w:rsidRPr="00626FCE" w:rsidRDefault="00E52108" w:rsidP="00626FCE">
            <w:pPr>
              <w:spacing w:before="120" w:after="120"/>
              <w:rPr>
                <w:sz w:val="16"/>
                <w:szCs w:val="16"/>
              </w:rPr>
            </w:pPr>
          </w:p>
        </w:tc>
      </w:tr>
    </w:tbl>
    <w:p w14:paraId="7A3FC630" w14:textId="77777777" w:rsidR="00626FCE" w:rsidRDefault="00626FCE" w:rsidP="00325682">
      <w:pPr>
        <w:rPr>
          <w:lang w:eastAsia="en-GB"/>
        </w:rPr>
      </w:pPr>
    </w:p>
    <w:p w14:paraId="1C898F03" w14:textId="77777777" w:rsidR="009C347D" w:rsidRPr="00C55000" w:rsidRDefault="008556EC" w:rsidP="00C55000">
      <w:pPr>
        <w:spacing w:line="240" w:lineRule="auto"/>
        <w:rPr>
          <w:rFonts w:eastAsia="Times New Roman" w:cs="Times New Roman"/>
          <w:i/>
          <w:iCs/>
          <w:color w:val="auto"/>
        </w:rPr>
      </w:pPr>
      <w:r>
        <w:rPr>
          <w:rFonts w:cs="Arial"/>
          <w:noProof/>
          <w:color w:val="B5B5B5"/>
          <w:sz w:val="16"/>
          <w:szCs w:val="16"/>
          <w:lang w:val="en-US"/>
        </w:rPr>
        <w:t>#§</w:t>
      </w:r>
      <w:r w:rsidRPr="000E722D">
        <w:rPr>
          <w:rFonts w:cs="Arial"/>
          <w:noProof/>
          <w:color w:val="B5B5B5"/>
          <w:sz w:val="16"/>
          <w:szCs w:val="16"/>
          <w:lang w:val="en-US"/>
        </w:rPr>
        <w:t>WRK-PLA-WP</w:t>
      </w:r>
      <w:r>
        <w:rPr>
          <w:rFonts w:cs="Arial"/>
          <w:noProof/>
          <w:color w:val="B5B5B5"/>
          <w:sz w:val="16"/>
          <w:szCs w:val="16"/>
          <w:lang w:val="en-US"/>
        </w:rPr>
        <w:t>§</w:t>
      </w:r>
      <w:r w:rsidRPr="000E722D">
        <w:rPr>
          <w:rFonts w:cs="Arial"/>
          <w:noProof/>
          <w:color w:val="B5B5B5"/>
          <w:sz w:val="16"/>
          <w:szCs w:val="16"/>
          <w:lang w:val="en-US"/>
        </w:rPr>
        <w:t>#</w:t>
      </w:r>
      <w:r>
        <w:rPr>
          <w:rFonts w:cs="Arial"/>
          <w:noProof/>
          <w:color w:val="B5B5B5"/>
          <w:sz w:val="16"/>
          <w:szCs w:val="16"/>
          <w:lang w:val="en-US"/>
        </w:rPr>
        <w:t xml:space="preserve">                                                                                                                                                       </w:t>
      </w:r>
    </w:p>
    <w:p w14:paraId="64401E5C" w14:textId="77777777" w:rsidR="00C55000" w:rsidRDefault="00C55000" w:rsidP="00C55000">
      <w:pPr>
        <w:spacing w:line="240" w:lineRule="auto"/>
      </w:pPr>
    </w:p>
    <w:p w14:paraId="0AD99913" w14:textId="77777777" w:rsidR="009C347D" w:rsidRDefault="009C347D" w:rsidP="009C347D">
      <w:pPr>
        <w:sectPr w:rsidR="009C347D" w:rsidSect="001F1D2C">
          <w:pgSz w:w="15840" w:h="12240" w:orient="landscape" w:code="1"/>
          <w:pgMar w:top="1560" w:right="1588" w:bottom="1276" w:left="1588" w:header="720" w:footer="1010" w:gutter="0"/>
          <w:cols w:space="720"/>
          <w:noEndnote/>
          <w:docGrid w:linePitch="326"/>
        </w:sectPr>
      </w:pPr>
    </w:p>
    <w:p w14:paraId="58D225B9" w14:textId="77777777" w:rsidR="008C003E" w:rsidRDefault="008C003E" w:rsidP="008C003E">
      <w:pPr>
        <w:rPr>
          <w:noProof/>
        </w:rPr>
      </w:pPr>
      <w:bookmarkStart w:id="76" w:name="_Toc495508577"/>
      <w:bookmarkStart w:id="77" w:name="_Toc495592691"/>
      <w:bookmarkStart w:id="78" w:name="_Toc495508580"/>
      <w:bookmarkStart w:id="79" w:name="_Toc495592695"/>
      <w:r w:rsidRPr="00FF6D59">
        <w:rPr>
          <w:rFonts w:cs="Arial"/>
          <w:noProof/>
          <w:color w:val="B5B5B5"/>
          <w:sz w:val="16"/>
          <w:szCs w:val="16"/>
          <w:lang w:val="en-US"/>
        </w:rPr>
        <w:lastRenderedPageBreak/>
        <w:t>#@PRJ-MGT-PM@#</w:t>
      </w:r>
    </w:p>
    <w:p w14:paraId="10FE106A" w14:textId="77777777" w:rsidR="00170015" w:rsidRDefault="00C505B1" w:rsidP="00170015">
      <w:pPr>
        <w:pStyle w:val="Heading3"/>
        <w:rPr>
          <w:noProof/>
        </w:rPr>
      </w:pPr>
      <w:bookmarkStart w:id="80" w:name="_Toc227846977"/>
      <w:r>
        <w:t>3</w:t>
      </w:r>
      <w:r w:rsidR="00E727FE" w:rsidRPr="00C24948">
        <w:t>.2</w:t>
      </w:r>
      <w:r w:rsidR="00170015" w:rsidRPr="00C24948">
        <w:t xml:space="preserve"> Impact monitoring and reporting</w:t>
      </w:r>
      <w:bookmarkEnd w:id="80"/>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9E0A5C" w:rsidRPr="00714CB5" w14:paraId="24606171" w14:textId="77777777" w:rsidTr="008C003E">
        <w:trPr>
          <w:trHeight w:val="432"/>
        </w:trPr>
        <w:tc>
          <w:tcPr>
            <w:tcW w:w="8527" w:type="dxa"/>
            <w:shd w:val="clear" w:color="auto" w:fill="DDDDDD"/>
          </w:tcPr>
          <w:p w14:paraId="7DC85CB0" w14:textId="77777777" w:rsidR="009E0A5C" w:rsidRPr="00714CB5" w:rsidRDefault="009E0A5C" w:rsidP="008C003E">
            <w:pPr>
              <w:spacing w:before="120" w:after="120"/>
              <w:jc w:val="both"/>
              <w:rPr>
                <w:rFonts w:cs="Arial"/>
                <w:b/>
                <w:bCs/>
                <w:i/>
                <w:iCs/>
                <w:noProof/>
                <w:sz w:val="18"/>
                <w:szCs w:val="18"/>
                <w:lang w:val="en-US" w:eastAsia="en-GB"/>
              </w:rPr>
            </w:pPr>
            <w:r w:rsidRPr="003F4E7A">
              <w:rPr>
                <w:rFonts w:cs="Arial"/>
                <w:b/>
                <w:bCs/>
                <w:noProof/>
                <w:sz w:val="18"/>
                <w:szCs w:val="18"/>
                <w:lang w:val="en-US" w:eastAsia="en-GB"/>
              </w:rPr>
              <w:t>Impact monitoring, evaluation and reporting strategy</w:t>
            </w:r>
          </w:p>
          <w:p w14:paraId="0A98D642" w14:textId="77777777" w:rsidR="009E0A5C" w:rsidRPr="00507050" w:rsidRDefault="009E0A5C" w:rsidP="008C003E">
            <w:pPr>
              <w:spacing w:after="120"/>
              <w:jc w:val="both"/>
              <w:rPr>
                <w:rFonts w:cs="Arial"/>
                <w:i/>
                <w:iCs/>
                <w:noProof/>
                <w:sz w:val="16"/>
                <w:szCs w:val="16"/>
                <w:lang w:val="en-US"/>
              </w:rPr>
            </w:pPr>
            <w:r w:rsidRPr="51F6A2C3">
              <w:rPr>
                <w:rFonts w:eastAsia="Times New Roman" w:cs="Arial"/>
                <w:i/>
                <w:iCs/>
                <w:color w:val="595959"/>
                <w:sz w:val="16"/>
                <w:szCs w:val="16"/>
              </w:rPr>
              <w:t xml:space="preserve">Report on </w:t>
            </w:r>
            <w:r w:rsidRPr="51F6A2C3">
              <w:rPr>
                <w:rFonts w:eastAsia="Times New Roman" w:cs="Arial"/>
                <w:i/>
                <w:iCs/>
                <w:color w:val="595959"/>
                <w:sz w:val="16"/>
                <w:szCs w:val="16"/>
                <w:u w:val="single"/>
              </w:rPr>
              <w:t>changes</w:t>
            </w:r>
            <w:r w:rsidRPr="51F6A2C3">
              <w:rPr>
                <w:rFonts w:eastAsia="Times New Roman" w:cs="Arial"/>
                <w:i/>
                <w:iCs/>
                <w:color w:val="595959"/>
                <w:sz w:val="16"/>
                <w:szCs w:val="16"/>
              </w:rPr>
              <w:t xml:space="preserve"> to the impact monitoring and evaluation strategy (if any)</w:t>
            </w:r>
          </w:p>
        </w:tc>
      </w:tr>
      <w:tr w:rsidR="009E0A5C" w:rsidRPr="0068039A" w14:paraId="761C7775" w14:textId="77777777" w:rsidTr="008C003E">
        <w:trPr>
          <w:trHeight w:val="851"/>
        </w:trPr>
        <w:tc>
          <w:tcPr>
            <w:tcW w:w="8527" w:type="dxa"/>
            <w:shd w:val="clear" w:color="auto" w:fill="FFFFFF" w:themeFill="background1"/>
          </w:tcPr>
          <w:p w14:paraId="65566055" w14:textId="352C8886" w:rsidR="0068039A" w:rsidRPr="0068039A" w:rsidRDefault="0068039A" w:rsidP="0068039A">
            <w:pPr>
              <w:spacing w:before="120" w:after="120"/>
              <w:ind w:right="4"/>
              <w:jc w:val="both"/>
              <w:rPr>
                <w:rFonts w:eastAsia="Calibri" w:cs="Arial"/>
                <w:szCs w:val="20"/>
                <w:lang w:val="en-US"/>
              </w:rPr>
            </w:pPr>
            <w:r w:rsidRPr="0068039A">
              <w:rPr>
                <w:rFonts w:eastAsia="Calibri" w:cs="Arial"/>
                <w:szCs w:val="20"/>
                <w:lang w:val="en-US"/>
              </w:rPr>
              <w:t>No substantial changes have been made to the project’s impact monitoring, evaluation and reporting strategy during the present reporting period. The strategy established at the beginning of the project remains in place and continues to guide the monitoring of both short- and medium-term project progress and longer-term expected impacts. More specifically, the project continues to apply a two-level monitoring framework consisting of (a) Project Performance Indicators (PPIs), used for the operational monitoring of implementation progress, outreach, stakeholder engagement and short- to medium-term outputs, and (b) Key Performance Indicators (KPIs), used to monitor the project’s broader strategic impacts in line with the LIFE Programme requirements and the LIFE KPI webtool.</w:t>
            </w:r>
          </w:p>
          <w:p w14:paraId="36D0925A" w14:textId="087E5D6A" w:rsidR="0068039A" w:rsidRPr="0068039A" w:rsidRDefault="0068039A" w:rsidP="0068039A">
            <w:pPr>
              <w:spacing w:before="120" w:after="120"/>
              <w:ind w:right="4"/>
              <w:jc w:val="both"/>
              <w:rPr>
                <w:rFonts w:eastAsia="Calibri" w:cs="Arial"/>
                <w:szCs w:val="20"/>
                <w:lang w:val="en-US"/>
              </w:rPr>
            </w:pPr>
            <w:r w:rsidRPr="0068039A">
              <w:rPr>
                <w:rFonts w:eastAsia="Calibri" w:cs="Arial"/>
                <w:szCs w:val="20"/>
                <w:lang w:val="en-US"/>
              </w:rPr>
              <w:t>The monitoring and evaluation framework has been progressively operationalised through the preparation of the initial and updated versions of Deliverable D1.3, as well as through Deliverable D1.4, which further specifies the KPI framework, the measurement methodology, data sources, assumptions, validation process and linkage to the project’s specific objectives. The relevant KPIs have also been reported in the LIFE KPI webtool in line with the agreed reporting requirements. In this sense, the reporting period did not introduce a change in strategy, but rather a continuation and consolidation of the monitoring system initially established.</w:t>
            </w:r>
          </w:p>
          <w:p w14:paraId="4D7C768A" w14:textId="72D27216" w:rsidR="0068039A" w:rsidRPr="0068039A" w:rsidRDefault="0068039A" w:rsidP="0068039A">
            <w:pPr>
              <w:spacing w:before="120" w:after="120"/>
              <w:ind w:right="4"/>
              <w:jc w:val="both"/>
              <w:rPr>
                <w:rFonts w:eastAsia="Calibri" w:cs="Arial"/>
                <w:szCs w:val="20"/>
                <w:lang w:val="en-US"/>
              </w:rPr>
            </w:pPr>
            <w:r w:rsidRPr="0068039A">
              <w:rPr>
                <w:rFonts w:eastAsia="Calibri" w:cs="Arial"/>
                <w:szCs w:val="20"/>
                <w:lang w:val="en-US"/>
              </w:rPr>
              <w:t>As also reflected in the updated PPI reporting, no major methodological revisions were considered necessary during the reporting period. The general structure of the indicators, the interpretation approach and the long-term impact evaluation logic remain unchanged, while only minor updates were made to selected numerical values in order to reflect routine project evolution. At the current stage, several impact-related indicators remain at zero or at early values, which is consistent with the fact that a significant part of the project’s technical, financial and investment-related effects is expected to materialise in later implementation phases. This does not indicate underperformance, but rather reflects the planned sequencing of the project activities.</w:t>
            </w:r>
          </w:p>
          <w:p w14:paraId="2087001F" w14:textId="3ADC6C1E" w:rsidR="009E0A5C" w:rsidRPr="0068039A" w:rsidRDefault="0068039A" w:rsidP="0068039A">
            <w:pPr>
              <w:spacing w:before="120" w:after="120"/>
              <w:ind w:right="4"/>
              <w:jc w:val="both"/>
              <w:rPr>
                <w:rFonts w:cs="Arial"/>
                <w:color w:val="C0504D" w:themeColor="accent2"/>
                <w:sz w:val="18"/>
                <w:szCs w:val="18"/>
                <w:lang w:val="en-US"/>
              </w:rPr>
            </w:pPr>
            <w:r w:rsidRPr="0068039A">
              <w:rPr>
                <w:rFonts w:eastAsia="Calibri" w:cs="Arial"/>
                <w:szCs w:val="20"/>
                <w:lang w:val="en-US"/>
              </w:rPr>
              <w:t>The current strategy therefore remains appropriate and sufficiently robust for the present phase of the project. It provides a coherent basis for ongoing monitoring, internal management, formal reporting to the granting authority and future impact evaluation, including post-project assessment of longer-term environmental, economic, governance and replication effects.</w:t>
            </w:r>
          </w:p>
        </w:tc>
      </w:tr>
    </w:tbl>
    <w:p w14:paraId="3D1FA74F" w14:textId="77777777" w:rsidR="00170015" w:rsidRPr="00907106" w:rsidRDefault="00E727FE" w:rsidP="00E727FE">
      <w:pPr>
        <w:rPr>
          <w:rFonts w:eastAsia="Times New Roman" w:cs="Times New Roman"/>
          <w:szCs w:val="24"/>
          <w:lang w:val="de-DE"/>
        </w:rPr>
      </w:pPr>
      <w:r w:rsidRPr="00907106">
        <w:rPr>
          <w:rFonts w:cs="Arial"/>
          <w:noProof/>
          <w:color w:val="B5B5B5"/>
          <w:sz w:val="16"/>
          <w:szCs w:val="16"/>
          <w:lang w:val="de-DE"/>
        </w:rPr>
        <w:t xml:space="preserve">#§PRJ-MGT-PM§# </w:t>
      </w:r>
      <w:r w:rsidR="00170015" w:rsidRPr="00907106">
        <w:rPr>
          <w:rFonts w:cs="Arial"/>
          <w:noProof/>
          <w:color w:val="B5B5B5"/>
          <w:sz w:val="16"/>
          <w:szCs w:val="16"/>
          <w:lang w:val="de-DE"/>
        </w:rPr>
        <w:t>#@COM-DIS-VIS-CDV@#</w:t>
      </w:r>
    </w:p>
    <w:p w14:paraId="02625972" w14:textId="77777777" w:rsidR="00170015" w:rsidRPr="004A6D47" w:rsidRDefault="00C505B1" w:rsidP="00170015">
      <w:pPr>
        <w:pStyle w:val="Heading3"/>
        <w:rPr>
          <w:szCs w:val="14"/>
        </w:rPr>
      </w:pPr>
      <w:bookmarkStart w:id="81" w:name="_Toc495508579"/>
      <w:bookmarkStart w:id="82" w:name="_Toc495592693"/>
      <w:bookmarkStart w:id="83" w:name="_Toc227846978"/>
      <w:commentRangeStart w:id="84"/>
      <w:r>
        <w:t>3</w:t>
      </w:r>
      <w:r w:rsidR="00E727FE" w:rsidRPr="00C24948">
        <w:t>.3</w:t>
      </w:r>
      <w:r w:rsidR="00170015" w:rsidRPr="00C24948">
        <w:t xml:space="preserve"> </w:t>
      </w:r>
      <w:bookmarkEnd w:id="81"/>
      <w:bookmarkEnd w:id="82"/>
      <w:commentRangeEnd w:id="84"/>
      <w:r w:rsidR="007D500E" w:rsidRPr="00C24948">
        <w:rPr>
          <w:rStyle w:val="CommentReference"/>
          <w:sz w:val="20"/>
          <w:szCs w:val="24"/>
        </w:rPr>
        <w:commentReference w:id="84"/>
      </w:r>
      <w:r w:rsidR="00170015" w:rsidRPr="00C24948">
        <w:t>Communication, dissemination and visibility</w:t>
      </w:r>
      <w:bookmarkEnd w:id="83"/>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170015" w:rsidRPr="00F05977" w14:paraId="56BF42A5" w14:textId="77777777" w:rsidTr="008C003E">
        <w:trPr>
          <w:trHeight w:val="432"/>
        </w:trPr>
        <w:tc>
          <w:tcPr>
            <w:tcW w:w="8527" w:type="dxa"/>
            <w:shd w:val="clear" w:color="auto" w:fill="D9D9D9" w:themeFill="background1" w:themeFillShade="D9"/>
          </w:tcPr>
          <w:p w14:paraId="120E126E" w14:textId="77777777" w:rsidR="00170015" w:rsidRPr="006A4084" w:rsidRDefault="00170015" w:rsidP="008C003E">
            <w:pPr>
              <w:spacing w:before="120" w:after="120" w:line="240" w:lineRule="auto"/>
              <w:jc w:val="both"/>
              <w:rPr>
                <w:rFonts w:eastAsia="Times New Roman" w:cs="Arial"/>
                <w:b/>
                <w:bCs/>
                <w:i/>
                <w:noProof/>
                <w:color w:val="595959"/>
                <w:sz w:val="18"/>
                <w:szCs w:val="18"/>
                <w:lang w:val="en-US" w:eastAsia="en-GB"/>
              </w:rPr>
            </w:pPr>
            <w:r w:rsidRPr="006A4084">
              <w:rPr>
                <w:rFonts w:eastAsia="Times New Roman" w:cs="Arial"/>
                <w:b/>
                <w:bCs/>
                <w:noProof/>
                <w:color w:val="595959"/>
                <w:sz w:val="18"/>
                <w:szCs w:val="18"/>
                <w:lang w:val="en-US" w:eastAsia="en-GB"/>
              </w:rPr>
              <w:t xml:space="preserve">Communication, dissemination and visibility of funding </w:t>
            </w:r>
          </w:p>
          <w:p w14:paraId="40E5B94A" w14:textId="77777777" w:rsidR="00170015" w:rsidRPr="006A4084" w:rsidRDefault="00170015" w:rsidP="008C003E">
            <w:pPr>
              <w:spacing w:before="120" w:after="60" w:line="240" w:lineRule="auto"/>
              <w:jc w:val="both"/>
              <w:rPr>
                <w:i/>
                <w:iCs/>
                <w:sz w:val="16"/>
                <w:szCs w:val="16"/>
              </w:rPr>
            </w:pPr>
            <w:r w:rsidRPr="51F6A2C3">
              <w:rPr>
                <w:i/>
                <w:iCs/>
                <w:sz w:val="16"/>
                <w:szCs w:val="16"/>
              </w:rPr>
              <w:t>Report on the communication and dissemination activities undertaken (to whom, which format, how many, etc.).</w:t>
            </w:r>
          </w:p>
          <w:p w14:paraId="4802269F" w14:textId="77777777" w:rsidR="00170015" w:rsidRPr="006A4084" w:rsidRDefault="00170015" w:rsidP="008C003E">
            <w:pPr>
              <w:spacing w:after="60" w:line="240" w:lineRule="auto"/>
              <w:jc w:val="both"/>
              <w:rPr>
                <w:i/>
                <w:iCs/>
                <w:sz w:val="16"/>
                <w:szCs w:val="16"/>
              </w:rPr>
            </w:pPr>
            <w:r w:rsidRPr="51F6A2C3">
              <w:rPr>
                <w:i/>
                <w:iCs/>
                <w:sz w:val="16"/>
                <w:szCs w:val="16"/>
              </w:rPr>
              <w:t xml:space="preserve">Describe how the visibility of EU funding was ensured. </w:t>
            </w:r>
          </w:p>
          <w:p w14:paraId="15907A54" w14:textId="77777777" w:rsidR="00170015" w:rsidRDefault="00170015" w:rsidP="008C003E">
            <w:pPr>
              <w:spacing w:after="60" w:line="240" w:lineRule="auto"/>
              <w:jc w:val="both"/>
              <w:rPr>
                <w:i/>
                <w:iCs/>
                <w:sz w:val="16"/>
                <w:szCs w:val="16"/>
              </w:rPr>
            </w:pPr>
            <w:r w:rsidRPr="51F6A2C3">
              <w:rPr>
                <w:i/>
                <w:iCs/>
                <w:sz w:val="16"/>
                <w:szCs w:val="16"/>
              </w:rPr>
              <w:t>If you described your project on your website(s) and/or social media accounts, please provide the links.</w:t>
            </w:r>
          </w:p>
          <w:p w14:paraId="62B1B6D0" w14:textId="77777777" w:rsidR="00170015" w:rsidRPr="00196457" w:rsidRDefault="00170015" w:rsidP="008C003E">
            <w:pPr>
              <w:spacing w:after="120" w:line="240" w:lineRule="auto"/>
              <w:jc w:val="both"/>
              <w:rPr>
                <w:i/>
                <w:iCs/>
                <w:sz w:val="16"/>
                <w:szCs w:val="16"/>
              </w:rPr>
            </w:pPr>
            <w:r w:rsidRPr="51F6A2C3">
              <w:rPr>
                <w:rFonts w:eastAsia="Times New Roman" w:cs="Arial"/>
                <w:i/>
                <w:iCs/>
                <w:sz w:val="16"/>
                <w:szCs w:val="16"/>
              </w:rPr>
              <w:t xml:space="preserve">Report on any important </w:t>
            </w:r>
            <w:r w:rsidRPr="51F6A2C3">
              <w:rPr>
                <w:rFonts w:eastAsia="Times New Roman" w:cs="Arial"/>
                <w:i/>
                <w:iCs/>
                <w:sz w:val="16"/>
                <w:szCs w:val="16"/>
                <w:u w:val="single"/>
              </w:rPr>
              <w:t>changes to your dissemination and communication strategy.</w:t>
            </w:r>
          </w:p>
        </w:tc>
      </w:tr>
      <w:tr w:rsidR="00170015" w:rsidRPr="00B41F58" w14:paraId="3356D3A5" w14:textId="77777777" w:rsidTr="008C003E">
        <w:tblPrEx>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Ex>
        <w:tc>
          <w:tcPr>
            <w:tcW w:w="852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026CA22A" w14:textId="24095267" w:rsidR="00170015" w:rsidRPr="00740D31" w:rsidRDefault="00A10971" w:rsidP="008C003E">
            <w:pPr>
              <w:spacing w:before="120" w:after="120" w:line="240" w:lineRule="auto"/>
              <w:ind w:right="4"/>
              <w:jc w:val="both"/>
              <w:rPr>
                <w:rFonts w:eastAsia="Calibri" w:cs="Arial"/>
                <w:b/>
                <w:bCs/>
                <w:color w:val="E36C0A" w:themeColor="accent6" w:themeShade="BF"/>
                <w:szCs w:val="20"/>
                <w:lang w:val="en-US"/>
              </w:rPr>
            </w:pPr>
            <w:r w:rsidRPr="00A10971">
              <w:rPr>
                <w:rFonts w:eastAsia="Calibri" w:cs="Arial"/>
                <w:b/>
                <w:bCs/>
                <w:color w:val="E36C0A" w:themeColor="accent6" w:themeShade="BF"/>
                <w:szCs w:val="20"/>
                <w:lang w:val="el-GR"/>
              </w:rPr>
              <w:t>ΕΥΔΙΤΗ</w:t>
            </w:r>
          </w:p>
          <w:p w14:paraId="1C95E027" w14:textId="77777777" w:rsidR="00170015" w:rsidRPr="00B41F58" w:rsidRDefault="00170015" w:rsidP="008C003E">
            <w:pPr>
              <w:tabs>
                <w:tab w:val="left" w:pos="-907"/>
                <w:tab w:val="left" w:pos="-187"/>
                <w:tab w:val="left" w:leader="dot" w:pos="5670"/>
              </w:tabs>
              <w:suppressAutoHyphens/>
              <w:spacing w:before="120" w:after="120" w:line="240" w:lineRule="auto"/>
              <w:rPr>
                <w:rFonts w:eastAsia="Calibri" w:cs="Arial"/>
                <w:color w:val="595959"/>
                <w:sz w:val="18"/>
                <w:szCs w:val="20"/>
                <w:highlight w:val="yellow"/>
                <w:shd w:val="clear" w:color="auto" w:fill="F2F2F2" w:themeFill="background1" w:themeFillShade="F2"/>
                <w:lang w:val="en-US"/>
              </w:rPr>
            </w:pPr>
          </w:p>
          <w:p w14:paraId="3CC5092B" w14:textId="77777777" w:rsidR="00170015" w:rsidRPr="00B41F58" w:rsidRDefault="00170015" w:rsidP="008C003E">
            <w:pPr>
              <w:tabs>
                <w:tab w:val="left" w:pos="-907"/>
                <w:tab w:val="left" w:pos="-187"/>
                <w:tab w:val="left" w:leader="dot" w:pos="5670"/>
              </w:tabs>
              <w:suppressAutoHyphens/>
              <w:spacing w:before="120" w:after="120" w:line="240" w:lineRule="auto"/>
              <w:rPr>
                <w:rFonts w:eastAsia="Calibri" w:cs="Arial"/>
                <w:color w:val="595959"/>
                <w:sz w:val="18"/>
                <w:szCs w:val="20"/>
                <w:highlight w:val="yellow"/>
                <w:shd w:val="clear" w:color="auto" w:fill="F2F2F2" w:themeFill="background1" w:themeFillShade="F2"/>
                <w:lang w:val="en-US"/>
              </w:rPr>
            </w:pPr>
          </w:p>
          <w:p w14:paraId="6DFD8EA9" w14:textId="77777777" w:rsidR="00170015" w:rsidRPr="00B41F58" w:rsidRDefault="00170015" w:rsidP="008C003E">
            <w:pPr>
              <w:tabs>
                <w:tab w:val="left" w:pos="-907"/>
                <w:tab w:val="left" w:pos="-187"/>
                <w:tab w:val="left" w:leader="dot" w:pos="5670"/>
              </w:tabs>
              <w:suppressAutoHyphens/>
              <w:spacing w:before="120" w:after="120" w:line="240" w:lineRule="auto"/>
              <w:rPr>
                <w:rFonts w:eastAsia="Calibri" w:cs="Arial"/>
                <w:b/>
                <w:bCs/>
                <w:color w:val="595959"/>
                <w:sz w:val="18"/>
                <w:szCs w:val="18"/>
              </w:rPr>
            </w:pPr>
            <w:r w:rsidRPr="006669E9">
              <w:rPr>
                <w:rFonts w:eastAsia="Calibri" w:cs="Arial"/>
                <w:color w:val="595959"/>
                <w:sz w:val="18"/>
                <w:szCs w:val="18"/>
                <w:lang w:val="en-US"/>
              </w:rPr>
              <w:lastRenderedPageBreak/>
              <w:t>See also Technical Report (</w:t>
            </w:r>
            <w:r w:rsidRPr="006669E9">
              <w:rPr>
                <w:rFonts w:eastAsia="Calibri" w:cs="Arial"/>
                <w:sz w:val="18"/>
                <w:szCs w:val="18"/>
                <w:lang w:val="en-US"/>
              </w:rPr>
              <w:t>Part</w:t>
            </w:r>
            <w:r w:rsidRPr="006669E9">
              <w:rPr>
                <w:rFonts w:eastAsia="Calibri" w:cs="Arial"/>
                <w:color w:val="595959"/>
                <w:sz w:val="18"/>
                <w:szCs w:val="18"/>
                <w:lang w:val="en-US"/>
              </w:rPr>
              <w:t xml:space="preserve"> A).</w:t>
            </w:r>
          </w:p>
        </w:tc>
      </w:tr>
    </w:tbl>
    <w:p w14:paraId="25022A4C" w14:textId="77777777" w:rsidR="00816DF2" w:rsidRPr="00E727FE" w:rsidRDefault="00170015" w:rsidP="00816DF2">
      <w:pPr>
        <w:rPr>
          <w:lang w:val="fr-BE"/>
        </w:rPr>
      </w:pPr>
      <w:r w:rsidRPr="00E727FE">
        <w:rPr>
          <w:rFonts w:cs="Arial"/>
          <w:noProof/>
          <w:color w:val="B5B5B5"/>
          <w:sz w:val="16"/>
          <w:szCs w:val="16"/>
          <w:lang w:val="fr-BE"/>
        </w:rPr>
        <w:lastRenderedPageBreak/>
        <w:t>#§COM-DIS-VIS-CDV§#</w:t>
      </w:r>
      <w:r w:rsidR="00E727FE" w:rsidRPr="00E727FE">
        <w:rPr>
          <w:rFonts w:cs="Arial"/>
          <w:noProof/>
          <w:color w:val="B5B5B5"/>
          <w:sz w:val="16"/>
          <w:szCs w:val="16"/>
          <w:lang w:val="fr-BE"/>
        </w:rPr>
        <w:t xml:space="preserve"> </w:t>
      </w:r>
      <w:r w:rsidR="00816DF2" w:rsidRPr="00E727FE">
        <w:rPr>
          <w:rFonts w:cs="Arial"/>
          <w:noProof/>
          <w:color w:val="B5B5B5"/>
          <w:sz w:val="16"/>
          <w:szCs w:val="16"/>
          <w:lang w:val="fr-BE"/>
        </w:rPr>
        <w:t xml:space="preserve">#@CON-SOR-CS@# </w:t>
      </w:r>
    </w:p>
    <w:p w14:paraId="5F1D78C7" w14:textId="77777777" w:rsidR="00F228A8" w:rsidRDefault="00C505B1" w:rsidP="51F6A2C3">
      <w:pPr>
        <w:pStyle w:val="Heading2"/>
      </w:pPr>
      <w:bookmarkStart w:id="85" w:name="_Toc227846979"/>
      <w:r>
        <w:t>4</w:t>
      </w:r>
      <w:r w:rsidR="00F228A8" w:rsidRPr="00C24948">
        <w:t xml:space="preserve">. </w:t>
      </w:r>
      <w:r w:rsidR="00B270D8" w:rsidRPr="00C24948">
        <w:rPr>
          <w:caps w:val="0"/>
        </w:rPr>
        <w:t>RESOURCES</w:t>
      </w:r>
      <w:bookmarkEnd w:id="85"/>
    </w:p>
    <w:p w14:paraId="08AF5BF6" w14:textId="77777777" w:rsidR="006A4084" w:rsidRPr="004A6D47" w:rsidRDefault="00C505B1" w:rsidP="4D76D3B0">
      <w:pPr>
        <w:pStyle w:val="Heading3"/>
        <w:rPr>
          <w:szCs w:val="18"/>
        </w:rPr>
      </w:pPr>
      <w:bookmarkStart w:id="86" w:name="_Toc227846980"/>
      <w:r>
        <w:t>4</w:t>
      </w:r>
      <w:r w:rsidR="00B1192B">
        <w:t>.1</w:t>
      </w:r>
      <w:r w:rsidR="006A4084" w:rsidRPr="51F6A2C3">
        <w:t xml:space="preserve"> </w:t>
      </w:r>
      <w:bookmarkEnd w:id="76"/>
      <w:bookmarkEnd w:id="77"/>
      <w:r w:rsidR="006A4084" w:rsidRPr="00604D98">
        <w:t>Consortium set-up</w:t>
      </w:r>
      <w:bookmarkEnd w:id="86"/>
    </w:p>
    <w:tbl>
      <w:tblPr>
        <w:tblW w:w="0" w:type="auto"/>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4A0" w:firstRow="1" w:lastRow="0" w:firstColumn="1" w:lastColumn="0" w:noHBand="0" w:noVBand="1"/>
      </w:tblPr>
      <w:tblGrid>
        <w:gridCol w:w="8450"/>
      </w:tblGrid>
      <w:tr w:rsidR="006A4084" w:rsidRPr="00F05977" w14:paraId="3CE023CC" w14:textId="77777777" w:rsidTr="51F6A2C3">
        <w:trPr>
          <w:trHeight w:val="427"/>
        </w:trPr>
        <w:tc>
          <w:tcPr>
            <w:tcW w:w="8505" w:type="dxa"/>
            <w:shd w:val="clear" w:color="auto" w:fill="D9D9D9" w:themeFill="background1" w:themeFillShade="D9"/>
          </w:tcPr>
          <w:p w14:paraId="4A67B4E6" w14:textId="77777777" w:rsidR="006A4084" w:rsidRDefault="008C003E" w:rsidP="51F6A2C3">
            <w:pPr>
              <w:widowControl w:val="0"/>
              <w:spacing w:before="60" w:after="60" w:line="230" w:lineRule="exact"/>
              <w:rPr>
                <w:rFonts w:eastAsia="Calibri" w:cs="Arial"/>
                <w:b/>
                <w:bCs/>
                <w:color w:val="595959"/>
                <w:sz w:val="18"/>
                <w:szCs w:val="18"/>
                <w:shd w:val="clear" w:color="auto" w:fill="D9D9D9"/>
                <w:lang w:val="en-US"/>
              </w:rPr>
            </w:pPr>
            <w:r w:rsidRPr="0024572C">
              <w:rPr>
                <w:rFonts w:cs="Arial"/>
                <w:b/>
                <w:bCs/>
                <w:noProof/>
                <w:sz w:val="18"/>
                <w:szCs w:val="18"/>
                <w:lang w:val="en-US" w:eastAsia="en-GB"/>
              </w:rPr>
              <w:t xml:space="preserve">Consortium cooperation and division of roles </w:t>
            </w:r>
            <w:r w:rsidRPr="0024572C">
              <w:rPr>
                <w:rFonts w:cs="Arial"/>
                <w:b/>
                <w:bCs/>
                <w:sz w:val="18"/>
                <w:szCs w:val="18"/>
                <w:lang w:eastAsia="en-GB"/>
              </w:rPr>
              <w:t>(if applicable)</w:t>
            </w:r>
          </w:p>
          <w:p w14:paraId="0793AECE" w14:textId="77777777" w:rsidR="00694790" w:rsidRPr="00915C46" w:rsidRDefault="006A4084" w:rsidP="00915C46">
            <w:pPr>
              <w:widowControl w:val="0"/>
              <w:spacing w:before="120" w:after="60" w:line="240" w:lineRule="auto"/>
              <w:jc w:val="both"/>
              <w:rPr>
                <w:rFonts w:eastAsia="Times New Roman" w:cs="Arial"/>
                <w:i/>
                <w:iCs/>
                <w:color w:val="595959"/>
                <w:sz w:val="16"/>
                <w:szCs w:val="16"/>
              </w:rPr>
            </w:pPr>
            <w:r w:rsidRPr="51F6A2C3">
              <w:rPr>
                <w:rFonts w:eastAsia="Calibri" w:cs="Arial"/>
                <w:i/>
                <w:iCs/>
                <w:sz w:val="16"/>
                <w:szCs w:val="16"/>
                <w:shd w:val="clear" w:color="auto" w:fill="D9D9D9"/>
                <w:lang w:val="en-US"/>
              </w:rPr>
              <w:t xml:space="preserve">Report on </w:t>
            </w:r>
            <w:r w:rsidRPr="51F6A2C3">
              <w:rPr>
                <w:rFonts w:eastAsia="Calibri" w:cs="Arial"/>
                <w:i/>
                <w:iCs/>
                <w:sz w:val="16"/>
                <w:szCs w:val="16"/>
                <w:u w:val="single"/>
                <w:shd w:val="clear" w:color="auto" w:fill="D9D9D9"/>
                <w:lang w:val="en-US"/>
              </w:rPr>
              <w:t>changes</w:t>
            </w:r>
            <w:r w:rsidRPr="51F6A2C3">
              <w:rPr>
                <w:rFonts w:eastAsia="Calibri" w:cs="Arial"/>
                <w:i/>
                <w:iCs/>
                <w:sz w:val="16"/>
                <w:szCs w:val="16"/>
                <w:shd w:val="clear" w:color="auto" w:fill="D9D9D9"/>
                <w:lang w:val="en-US"/>
              </w:rPr>
              <w:t xml:space="preserve"> in the </w:t>
            </w:r>
            <w:r w:rsidR="008C003E">
              <w:rPr>
                <w:rFonts w:eastAsia="Calibri" w:cs="Arial"/>
                <w:i/>
                <w:iCs/>
                <w:sz w:val="16"/>
                <w:szCs w:val="16"/>
                <w:shd w:val="clear" w:color="auto" w:fill="D9D9D9"/>
                <w:lang w:val="en-US"/>
              </w:rPr>
              <w:t>c</w:t>
            </w:r>
            <w:r w:rsidRPr="51F6A2C3">
              <w:rPr>
                <w:rFonts w:eastAsia="Calibri" w:cs="Arial"/>
                <w:i/>
                <w:iCs/>
                <w:sz w:val="16"/>
                <w:szCs w:val="16"/>
                <w:shd w:val="clear" w:color="auto" w:fill="D9D9D9"/>
                <w:lang w:val="en-US"/>
              </w:rPr>
              <w:t>onsortium composition (including structural, legal or management changes, if any)</w:t>
            </w:r>
            <w:r w:rsidR="00187E49" w:rsidRPr="51F6A2C3">
              <w:rPr>
                <w:rFonts w:eastAsia="Calibri" w:cs="Arial"/>
                <w:i/>
                <w:iCs/>
                <w:sz w:val="16"/>
                <w:szCs w:val="16"/>
                <w:shd w:val="clear" w:color="auto" w:fill="D9D9D9"/>
                <w:lang w:val="en-US"/>
              </w:rPr>
              <w:t xml:space="preserve"> or its </w:t>
            </w:r>
            <w:r w:rsidR="00187E49" w:rsidRPr="00915C46">
              <w:rPr>
                <w:rFonts w:eastAsia="Calibri" w:cs="Arial"/>
                <w:i/>
                <w:iCs/>
                <w:sz w:val="16"/>
                <w:szCs w:val="16"/>
                <w:shd w:val="clear" w:color="auto" w:fill="D9D9D9"/>
                <w:lang w:val="en-US"/>
              </w:rPr>
              <w:t>key personnel</w:t>
            </w:r>
            <w:r w:rsidR="00FC140C" w:rsidRPr="00915C46">
              <w:rPr>
                <w:rFonts w:eastAsia="Calibri" w:cs="Arial"/>
                <w:i/>
                <w:iCs/>
                <w:sz w:val="16"/>
                <w:szCs w:val="16"/>
                <w:shd w:val="clear" w:color="auto" w:fill="D9D9D9"/>
                <w:lang w:val="en-US"/>
              </w:rPr>
              <w:t>.</w:t>
            </w:r>
          </w:p>
          <w:p w14:paraId="47A5C0BE" w14:textId="77777777" w:rsidR="00694790" w:rsidRPr="00287E08" w:rsidRDefault="00694790" w:rsidP="00915C46">
            <w:pPr>
              <w:widowControl w:val="0"/>
              <w:spacing w:after="120" w:line="240" w:lineRule="auto"/>
              <w:jc w:val="both"/>
              <w:rPr>
                <w:rFonts w:eastAsia="Calibri" w:cs="Arial"/>
                <w:i/>
                <w:iCs/>
                <w:color w:val="595959"/>
                <w:sz w:val="18"/>
                <w:szCs w:val="18"/>
                <w:shd w:val="clear" w:color="auto" w:fill="D9D9D9"/>
                <w:lang w:val="en-US"/>
              </w:rPr>
            </w:pPr>
            <w:r w:rsidRPr="00915C46">
              <w:rPr>
                <w:i/>
                <w:iCs/>
                <w:color w:val="4AA55B"/>
                <w:sz w:val="16"/>
                <w:szCs w:val="16"/>
              </w:rPr>
              <w:t>For Operating Grants</w:t>
            </w:r>
            <w:r w:rsidR="00915C46">
              <w:rPr>
                <w:i/>
                <w:iCs/>
                <w:color w:val="4AA55B"/>
                <w:sz w:val="16"/>
                <w:szCs w:val="16"/>
              </w:rPr>
              <w:t xml:space="preserve">: </w:t>
            </w:r>
            <w:r w:rsidR="00915C46">
              <w:rPr>
                <w:i/>
                <w:iCs/>
                <w:sz w:val="16"/>
                <w:szCs w:val="16"/>
              </w:rPr>
              <w:t>R</w:t>
            </w:r>
            <w:r w:rsidRPr="00915C46">
              <w:rPr>
                <w:rFonts w:eastAsia="Calibri" w:cs="Arial"/>
                <w:i/>
                <w:iCs/>
                <w:sz w:val="16"/>
                <w:szCs w:val="16"/>
                <w:shd w:val="clear" w:color="auto" w:fill="D9D9D9"/>
                <w:lang w:val="en-US"/>
              </w:rPr>
              <w:t xml:space="preserve">eport </w:t>
            </w:r>
            <w:r w:rsidR="00915C46">
              <w:rPr>
                <w:rFonts w:eastAsia="Calibri" w:cs="Arial"/>
                <w:i/>
                <w:iCs/>
                <w:sz w:val="16"/>
                <w:szCs w:val="16"/>
                <w:shd w:val="clear" w:color="auto" w:fill="D9D9D9"/>
                <w:lang w:val="en-US"/>
              </w:rPr>
              <w:t xml:space="preserve">only </w:t>
            </w:r>
            <w:r w:rsidRPr="00915C46">
              <w:rPr>
                <w:rFonts w:eastAsia="Calibri" w:cs="Arial"/>
                <w:i/>
                <w:iCs/>
                <w:sz w:val="16"/>
                <w:szCs w:val="16"/>
                <w:shd w:val="clear" w:color="auto" w:fill="D9D9D9"/>
                <w:lang w:val="en-US"/>
              </w:rPr>
              <w:t>on changes to key personnel</w:t>
            </w:r>
            <w:r w:rsidR="00915C46" w:rsidRPr="00915C46">
              <w:rPr>
                <w:rFonts w:eastAsia="Calibri" w:cs="Arial"/>
                <w:i/>
                <w:iCs/>
                <w:sz w:val="16"/>
                <w:szCs w:val="16"/>
                <w:shd w:val="clear" w:color="auto" w:fill="D9D9D9"/>
                <w:lang w:val="en-US"/>
              </w:rPr>
              <w:t>.</w:t>
            </w:r>
          </w:p>
        </w:tc>
      </w:tr>
      <w:tr w:rsidR="006A4084" w:rsidRPr="00B41F58" w14:paraId="66D00FD1" w14:textId="77777777" w:rsidTr="51F6A2C3">
        <w:trPr>
          <w:trHeight w:val="340"/>
        </w:trPr>
        <w:tc>
          <w:tcPr>
            <w:tcW w:w="8505" w:type="dxa"/>
          </w:tcPr>
          <w:p w14:paraId="71B45F30" w14:textId="6BB0C1EC" w:rsidR="000C02C8" w:rsidRPr="00980F10" w:rsidRDefault="000C02C8" w:rsidP="00980F10">
            <w:pPr>
              <w:widowControl w:val="0"/>
              <w:spacing w:before="120" w:after="120"/>
              <w:jc w:val="both"/>
              <w:rPr>
                <w:rFonts w:eastAsia="Calibri" w:cs="Arial"/>
                <w:color w:val="595959"/>
                <w:szCs w:val="20"/>
                <w:lang w:val="en-US"/>
              </w:rPr>
            </w:pPr>
            <w:r w:rsidRPr="00980F10">
              <w:rPr>
                <w:rFonts w:eastAsia="Calibri" w:cs="Arial"/>
                <w:color w:val="595959"/>
                <w:szCs w:val="20"/>
                <w:lang w:val="en-US"/>
              </w:rPr>
              <w:t>During the reporting period, no changes have occurred in the composition of the consortium as defined in the Grant Agreement. All project beneficiaries continue to participate in the implementation of the action in accordance with the roles and responsibilities described in the Description of the Action.</w:t>
            </w:r>
          </w:p>
          <w:p w14:paraId="4182F4E9" w14:textId="46B78527" w:rsidR="000C02C8" w:rsidRPr="00980F10" w:rsidRDefault="000C02C8" w:rsidP="00980F10">
            <w:pPr>
              <w:widowControl w:val="0"/>
              <w:spacing w:before="120" w:after="120"/>
              <w:jc w:val="both"/>
              <w:rPr>
                <w:rFonts w:eastAsia="Calibri" w:cs="Arial"/>
                <w:color w:val="595959"/>
                <w:szCs w:val="20"/>
                <w:lang w:val="en-US"/>
              </w:rPr>
            </w:pPr>
            <w:r w:rsidRPr="00980F10">
              <w:rPr>
                <w:rFonts w:eastAsia="Calibri" w:cs="Arial"/>
                <w:color w:val="595959"/>
                <w:szCs w:val="20"/>
                <w:lang w:val="en-US"/>
              </w:rPr>
              <w:t>No structural, legal or management changes have taken place within the beneficiary organisations that would affect the implementation of the project. Furthermore, no changes have occurred in the key personnel responsible for the coordination and execution of the project activities.</w:t>
            </w:r>
          </w:p>
          <w:p w14:paraId="7DCA1CBA" w14:textId="57FA651C" w:rsidR="008A32D5" w:rsidRPr="00980F10" w:rsidRDefault="000C02C8" w:rsidP="00980F10">
            <w:pPr>
              <w:widowControl w:val="0"/>
              <w:spacing w:before="120" w:after="120"/>
              <w:jc w:val="both"/>
              <w:rPr>
                <w:rFonts w:eastAsia="Calibri" w:cs="Arial"/>
                <w:color w:val="595959"/>
                <w:szCs w:val="20"/>
                <w:lang w:val="en-US"/>
              </w:rPr>
            </w:pPr>
            <w:r w:rsidRPr="00980F10">
              <w:rPr>
                <w:rFonts w:eastAsia="Calibri" w:cs="Arial"/>
                <w:color w:val="595959"/>
                <w:szCs w:val="20"/>
                <w:lang w:val="en-US"/>
              </w:rPr>
              <w:t>Cooperation among the consortium partners continues to function effectively through regular communication, coordination meetings and ongoing collaboration between the project partners under the coordination of the project coordinator.</w:t>
            </w:r>
          </w:p>
          <w:p w14:paraId="4DBD00AF" w14:textId="77777777" w:rsidR="006A4084" w:rsidRPr="00980F10" w:rsidRDefault="006A4084" w:rsidP="00980F10">
            <w:pPr>
              <w:widowControl w:val="0"/>
              <w:spacing w:before="120" w:after="120"/>
              <w:jc w:val="both"/>
              <w:rPr>
                <w:rFonts w:eastAsia="Calibri" w:cs="Arial"/>
                <w:color w:val="595959"/>
                <w:szCs w:val="20"/>
                <w:shd w:val="clear" w:color="auto" w:fill="FFFFFF"/>
                <w:lang w:val="en-US"/>
              </w:rPr>
            </w:pPr>
          </w:p>
        </w:tc>
      </w:tr>
    </w:tbl>
    <w:p w14:paraId="56FBA163" w14:textId="77777777" w:rsidR="006A4084" w:rsidRDefault="00E727FE" w:rsidP="006A4084">
      <w:r w:rsidRPr="00335361">
        <w:rPr>
          <w:rFonts w:cs="Arial"/>
          <w:noProof/>
          <w:color w:val="B5B5B5"/>
          <w:sz w:val="16"/>
          <w:szCs w:val="16"/>
        </w:rPr>
        <w:t>#</w:t>
      </w:r>
      <w:r>
        <w:rPr>
          <w:rFonts w:cs="Arial"/>
          <w:noProof/>
          <w:color w:val="B5B5B5"/>
          <w:sz w:val="16"/>
          <w:szCs w:val="16"/>
        </w:rPr>
        <w:t>§</w:t>
      </w:r>
      <w:r w:rsidRPr="00335361">
        <w:rPr>
          <w:rFonts w:cs="Arial"/>
          <w:noProof/>
          <w:color w:val="B5B5B5"/>
          <w:sz w:val="16"/>
          <w:szCs w:val="16"/>
        </w:rPr>
        <w:t>CON-SOR-CS</w:t>
      </w:r>
      <w:r>
        <w:rPr>
          <w:rFonts w:cs="Arial"/>
          <w:noProof/>
          <w:color w:val="B5B5B5"/>
          <w:sz w:val="16"/>
          <w:szCs w:val="16"/>
        </w:rPr>
        <w:t>§</w:t>
      </w:r>
      <w:r w:rsidRPr="00335361">
        <w:rPr>
          <w:rFonts w:cs="Arial"/>
          <w:noProof/>
          <w:color w:val="B5B5B5"/>
          <w:sz w:val="16"/>
          <w:szCs w:val="16"/>
        </w:rPr>
        <w:t>#</w:t>
      </w:r>
      <w:r>
        <w:rPr>
          <w:rFonts w:cs="Arial"/>
          <w:noProof/>
          <w:color w:val="B5B5B5"/>
          <w:sz w:val="16"/>
          <w:szCs w:val="16"/>
        </w:rPr>
        <w:t xml:space="preserve"> </w:t>
      </w:r>
      <w:r w:rsidRPr="00E727FE">
        <w:rPr>
          <w:rFonts w:cs="Arial"/>
          <w:noProof/>
          <w:color w:val="B5B5B5"/>
          <w:sz w:val="16"/>
          <w:szCs w:val="16"/>
          <w:lang w:val="fr-BE"/>
        </w:rPr>
        <w:t xml:space="preserve">#@PRJ-MGT-PM@# </w:t>
      </w:r>
    </w:p>
    <w:p w14:paraId="0E6B325A" w14:textId="77777777" w:rsidR="009E0A5C" w:rsidRDefault="00C505B1" w:rsidP="009E0A5C">
      <w:pPr>
        <w:pStyle w:val="Heading3"/>
      </w:pPr>
      <w:bookmarkStart w:id="87" w:name="_Toc65676187"/>
      <w:bookmarkStart w:id="88" w:name="_Toc65674236"/>
      <w:bookmarkStart w:id="89" w:name="_Toc63417494"/>
      <w:bookmarkStart w:id="90" w:name="_Toc227846981"/>
      <w:r>
        <w:rPr>
          <w:shd w:val="clear" w:color="auto" w:fill="FFFFFF"/>
        </w:rPr>
        <w:t>4</w:t>
      </w:r>
      <w:r w:rsidR="00E727FE" w:rsidRPr="00C24948">
        <w:rPr>
          <w:shd w:val="clear" w:color="auto" w:fill="FFFFFF"/>
        </w:rPr>
        <w:t>.2</w:t>
      </w:r>
      <w:r w:rsidR="009E0A5C" w:rsidRPr="00C24948">
        <w:rPr>
          <w:shd w:val="clear" w:color="auto" w:fill="FFFFFF"/>
        </w:rPr>
        <w:t xml:space="preserve"> Project management</w:t>
      </w:r>
      <w:bookmarkEnd w:id="87"/>
      <w:bookmarkEnd w:id="88"/>
      <w:bookmarkEnd w:id="89"/>
      <w:bookmarkEnd w:id="90"/>
    </w:p>
    <w:tbl>
      <w:tblPr>
        <w:tblW w:w="0" w:type="auto"/>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4A0" w:firstRow="1" w:lastRow="0" w:firstColumn="1" w:lastColumn="0" w:noHBand="0" w:noVBand="1"/>
      </w:tblPr>
      <w:tblGrid>
        <w:gridCol w:w="8450"/>
      </w:tblGrid>
      <w:tr w:rsidR="009E0A5C" w:rsidRPr="00F05977" w14:paraId="1B0F0ECB" w14:textId="77777777" w:rsidTr="008C003E">
        <w:trPr>
          <w:trHeight w:val="427"/>
        </w:trPr>
        <w:tc>
          <w:tcPr>
            <w:tcW w:w="8505" w:type="dxa"/>
            <w:shd w:val="clear" w:color="auto" w:fill="D9D9D9" w:themeFill="background1" w:themeFillShade="D9"/>
          </w:tcPr>
          <w:p w14:paraId="417762F0" w14:textId="77777777" w:rsidR="009E0A5C" w:rsidRPr="00187E49" w:rsidRDefault="009E0A5C" w:rsidP="008C003E">
            <w:pPr>
              <w:widowControl w:val="0"/>
              <w:spacing w:before="120" w:after="120" w:line="230" w:lineRule="exact"/>
              <w:jc w:val="both"/>
              <w:rPr>
                <w:rFonts w:eastAsia="Calibri" w:cs="Arial"/>
                <w:b/>
                <w:bCs/>
                <w:color w:val="595959"/>
                <w:sz w:val="18"/>
                <w:szCs w:val="18"/>
                <w:shd w:val="clear" w:color="auto" w:fill="D9D9D9"/>
                <w:lang w:val="en-US"/>
              </w:rPr>
            </w:pPr>
            <w:r w:rsidRPr="00915C46">
              <w:rPr>
                <w:rFonts w:eastAsia="Calibri" w:cs="Arial"/>
                <w:b/>
                <w:bCs/>
                <w:color w:val="595959"/>
                <w:sz w:val="18"/>
                <w:szCs w:val="18"/>
                <w:lang w:val="en-US"/>
              </w:rPr>
              <w:t>Project management, quality assurance and monitoring of progress</w:t>
            </w:r>
          </w:p>
          <w:p w14:paraId="1C1B6C87" w14:textId="77777777" w:rsidR="009E0A5C" w:rsidRPr="00187E49" w:rsidRDefault="009E0A5C" w:rsidP="008C003E">
            <w:pPr>
              <w:widowControl w:val="0"/>
              <w:spacing w:after="60" w:line="240" w:lineRule="auto"/>
              <w:jc w:val="both"/>
              <w:rPr>
                <w:rFonts w:eastAsia="Times New Roman" w:cs="Arial"/>
                <w:i/>
                <w:iCs/>
                <w:color w:val="595959"/>
                <w:sz w:val="16"/>
                <w:szCs w:val="16"/>
              </w:rPr>
            </w:pPr>
            <w:r w:rsidRPr="51F6A2C3">
              <w:rPr>
                <w:rFonts w:eastAsia="Times New Roman" w:cs="Arial"/>
                <w:i/>
                <w:iCs/>
                <w:color w:val="595959"/>
                <w:sz w:val="16"/>
                <w:szCs w:val="16"/>
              </w:rPr>
              <w:t xml:space="preserve">Report on </w:t>
            </w:r>
            <w:r w:rsidRPr="51F6A2C3">
              <w:rPr>
                <w:rFonts w:eastAsia="Times New Roman" w:cs="Arial"/>
                <w:i/>
                <w:iCs/>
                <w:color w:val="595959"/>
                <w:sz w:val="16"/>
                <w:szCs w:val="16"/>
                <w:u w:val="single"/>
              </w:rPr>
              <w:t>changes</w:t>
            </w:r>
            <w:r w:rsidRPr="51F6A2C3">
              <w:rPr>
                <w:rFonts w:eastAsia="Times New Roman" w:cs="Arial"/>
                <w:i/>
                <w:iCs/>
                <w:color w:val="595959"/>
                <w:sz w:val="16"/>
                <w:szCs w:val="16"/>
              </w:rPr>
              <w:t xml:space="preserve"> to the overall project management approach (including quality assurance and monitoring). </w:t>
            </w:r>
          </w:p>
          <w:p w14:paraId="631F3AA0" w14:textId="77777777" w:rsidR="009E0A5C" w:rsidRPr="00915C46" w:rsidRDefault="009E0A5C" w:rsidP="008C003E">
            <w:pPr>
              <w:widowControl w:val="0"/>
              <w:spacing w:after="120" w:line="240" w:lineRule="auto"/>
              <w:jc w:val="both"/>
              <w:rPr>
                <w:rFonts w:eastAsia="Calibri" w:cs="Arial"/>
                <w:i/>
                <w:iCs/>
                <w:sz w:val="16"/>
                <w:szCs w:val="16"/>
                <w:lang w:val="en-US"/>
              </w:rPr>
            </w:pPr>
            <w:r w:rsidRPr="51F6A2C3">
              <w:rPr>
                <w:rFonts w:eastAsia="Calibri" w:cs="Arial"/>
                <w:i/>
                <w:iCs/>
                <w:sz w:val="16"/>
                <w:szCs w:val="16"/>
                <w:lang w:val="en-US"/>
              </w:rPr>
              <w:t xml:space="preserve">Report on important </w:t>
            </w:r>
            <w:r w:rsidRPr="51F6A2C3">
              <w:rPr>
                <w:rFonts w:eastAsia="Calibri" w:cs="Arial"/>
                <w:i/>
                <w:iCs/>
                <w:sz w:val="16"/>
                <w:szCs w:val="16"/>
                <w:u w:val="single"/>
                <w:lang w:val="en-US"/>
              </w:rPr>
              <w:t>changes</w:t>
            </w:r>
            <w:r w:rsidRPr="51F6A2C3">
              <w:rPr>
                <w:rFonts w:eastAsia="Calibri" w:cs="Arial"/>
                <w:i/>
                <w:iCs/>
                <w:sz w:val="16"/>
                <w:szCs w:val="16"/>
                <w:lang w:val="en-US"/>
              </w:rPr>
              <w:t xml:space="preserve"> in the way the consortium is managed, participants work together (Beneficiaries, Affiliated Entities, Associated Partners, etc</w:t>
            </w:r>
            <w:r w:rsidRPr="00915C46">
              <w:rPr>
                <w:rFonts w:eastAsia="Calibri" w:cs="Arial"/>
                <w:i/>
                <w:iCs/>
                <w:sz w:val="16"/>
                <w:szCs w:val="16"/>
                <w:lang w:val="en-US"/>
              </w:rPr>
              <w:t>.) and interact with key stakeholders, and decisions are taken</w:t>
            </w:r>
            <w:r>
              <w:rPr>
                <w:rFonts w:eastAsia="Calibri" w:cs="Arial"/>
                <w:i/>
                <w:iCs/>
                <w:sz w:val="16"/>
                <w:szCs w:val="16"/>
                <w:lang w:val="en-US"/>
              </w:rPr>
              <w:t>.</w:t>
            </w:r>
            <w:r w:rsidRPr="00915C46">
              <w:rPr>
                <w:rFonts w:eastAsia="Calibri" w:cs="Arial"/>
                <w:i/>
                <w:iCs/>
                <w:sz w:val="16"/>
                <w:szCs w:val="16"/>
                <w:lang w:val="en-US"/>
              </w:rPr>
              <w:t xml:space="preserve"> </w:t>
            </w:r>
            <w:r w:rsidRPr="00915C46">
              <w:rPr>
                <w:rFonts w:eastAsia="Calibri" w:cs="Arial"/>
                <w:i/>
                <w:iCs/>
                <w:color w:val="4AA55B"/>
                <w:sz w:val="16"/>
                <w:szCs w:val="16"/>
                <w:lang w:val="en-US"/>
              </w:rPr>
              <w:t>(</w:t>
            </w:r>
            <w:r w:rsidRPr="00915C46">
              <w:rPr>
                <w:rFonts w:eastAsia="Calibri" w:cs="Arial"/>
                <w:i/>
                <w:iCs/>
                <w:color w:val="4AA55B"/>
                <w:sz w:val="16"/>
                <w:szCs w:val="16"/>
              </w:rPr>
              <w:t xml:space="preserve">n/a for Operating </w:t>
            </w:r>
            <w:r>
              <w:rPr>
                <w:rFonts w:eastAsia="Calibri" w:cs="Arial"/>
                <w:i/>
                <w:iCs/>
                <w:color w:val="4AA55B"/>
                <w:sz w:val="16"/>
                <w:szCs w:val="16"/>
              </w:rPr>
              <w:t>G</w:t>
            </w:r>
            <w:r w:rsidRPr="00915C46">
              <w:rPr>
                <w:rFonts w:eastAsia="Calibri" w:cs="Arial"/>
                <w:i/>
                <w:iCs/>
                <w:color w:val="4AA55B"/>
                <w:sz w:val="16"/>
                <w:szCs w:val="16"/>
              </w:rPr>
              <w:t>rants</w:t>
            </w:r>
            <w:r w:rsidRPr="00915C46">
              <w:rPr>
                <w:rFonts w:eastAsia="Calibri" w:cs="Arial"/>
                <w:i/>
                <w:iCs/>
                <w:color w:val="4AA55B"/>
                <w:sz w:val="16"/>
                <w:szCs w:val="16"/>
                <w:lang w:val="en-US"/>
              </w:rPr>
              <w:t>)</w:t>
            </w:r>
          </w:p>
          <w:p w14:paraId="4019062F" w14:textId="77777777" w:rsidR="009E0A5C" w:rsidRPr="000C02C8" w:rsidRDefault="009E0A5C" w:rsidP="008C003E">
            <w:pPr>
              <w:widowControl w:val="0"/>
              <w:spacing w:after="120" w:line="240" w:lineRule="auto"/>
              <w:jc w:val="both"/>
              <w:rPr>
                <w:rFonts w:eastAsia="Calibri" w:cs="Arial"/>
                <w:i/>
                <w:iCs/>
                <w:strike/>
                <w:sz w:val="16"/>
                <w:szCs w:val="16"/>
                <w:lang w:val="en-US"/>
              </w:rPr>
            </w:pPr>
            <w:r w:rsidRPr="000C02C8">
              <w:rPr>
                <w:rFonts w:eastAsia="Calibri" w:cs="Arial"/>
                <w:i/>
                <w:iCs/>
                <w:strike/>
                <w:color w:val="4AA55B"/>
                <w:sz w:val="16"/>
                <w:szCs w:val="16"/>
              </w:rPr>
              <w:t>For SIPs/SNAPs</w:t>
            </w:r>
            <w:r w:rsidRPr="000C02C8">
              <w:rPr>
                <w:rFonts w:eastAsia="Calibri" w:cs="Arial"/>
                <w:i/>
                <w:iCs/>
                <w:strike/>
                <w:sz w:val="16"/>
                <w:szCs w:val="16"/>
              </w:rPr>
              <w:t>: In addition,</w:t>
            </w:r>
            <w:r w:rsidRPr="000C02C8">
              <w:rPr>
                <w:rFonts w:eastAsia="Calibri" w:cs="Arial"/>
                <w:i/>
                <w:iCs/>
                <w:strike/>
                <w:color w:val="4AA55B"/>
                <w:sz w:val="16"/>
                <w:szCs w:val="16"/>
              </w:rPr>
              <w:t xml:space="preserve"> </w:t>
            </w:r>
            <w:r w:rsidRPr="000C02C8">
              <w:rPr>
                <w:rFonts w:eastAsia="Calibri" w:cs="Arial"/>
                <w:i/>
                <w:iCs/>
                <w:strike/>
                <w:sz w:val="16"/>
                <w:szCs w:val="16"/>
              </w:rPr>
              <w:t>briefly report on how you manage the interaction with the complementary actions and the public and private funds secured, as well as on how you involve key stakeholders. Highlight any important problem encountered.</w:t>
            </w:r>
          </w:p>
        </w:tc>
      </w:tr>
      <w:tr w:rsidR="009E0A5C" w:rsidRPr="00B41F58" w14:paraId="7DB82F04" w14:textId="77777777" w:rsidTr="008C003E">
        <w:trPr>
          <w:trHeight w:val="340"/>
        </w:trPr>
        <w:tc>
          <w:tcPr>
            <w:tcW w:w="8505" w:type="dxa"/>
            <w:shd w:val="clear" w:color="auto" w:fill="FFFFFF" w:themeFill="background1"/>
          </w:tcPr>
          <w:p w14:paraId="7192F13B" w14:textId="65E31849" w:rsidR="003A41CC" w:rsidRPr="00350AD1" w:rsidRDefault="003A41CC" w:rsidP="00980F10">
            <w:pPr>
              <w:widowControl w:val="0"/>
              <w:spacing w:before="120" w:after="120"/>
              <w:jc w:val="both"/>
              <w:rPr>
                <w:rFonts w:eastAsia="Calibri" w:cs="Arial"/>
                <w:szCs w:val="20"/>
                <w:lang w:val="en-US"/>
              </w:rPr>
            </w:pPr>
            <w:r w:rsidRPr="00350AD1">
              <w:rPr>
                <w:rFonts w:eastAsia="Calibri" w:cs="Arial"/>
                <w:szCs w:val="20"/>
                <w:lang w:val="en-US"/>
              </w:rPr>
              <w:t>No substantial changes were made to the overall project management approach during the present reporting period. The project continued to be managed under the coordination of NTUA, in line with the management structure and procedures initially established. Overall coordination, quality assurance and monitoring of progress continued to rely on the combined functioning of the Project Coordinator, the Steering Committee, the regular progress meetings, the quality and green management framework, the risk management framework and the project monitoring and impact assessment system. In this sense, the management approach remained stable and appropriate for the needs of the project during the reporting period.</w:t>
            </w:r>
          </w:p>
          <w:p w14:paraId="25B82512" w14:textId="54279551" w:rsidR="003A41CC" w:rsidRPr="00350AD1" w:rsidRDefault="003A41CC" w:rsidP="00980F10">
            <w:pPr>
              <w:widowControl w:val="0"/>
              <w:spacing w:before="120" w:after="120"/>
              <w:jc w:val="both"/>
              <w:rPr>
                <w:rFonts w:eastAsia="Calibri" w:cs="Arial"/>
                <w:szCs w:val="20"/>
                <w:lang w:val="en-US"/>
              </w:rPr>
            </w:pPr>
            <w:r w:rsidRPr="00350AD1">
              <w:rPr>
                <w:rFonts w:eastAsia="Calibri" w:cs="Arial"/>
                <w:szCs w:val="20"/>
                <w:lang w:val="en-US"/>
              </w:rPr>
              <w:t xml:space="preserve">At operational level, the consortium continued to work through regular coordination exchanges, periodic progress meetings and monthly Steering Committee follow-up involving the core partners. Technical and financial progress information was collected centrally by the Coordinator, while quality assurance, risk monitoring and indicator-based progress tracking were carried out through the mechanisms established under WP1. The collaboration among beneficiaries remained active and functional, with closer coordination applied where needed, especially in relation to cross-cutting matters affecting more than one work package. The </w:t>
            </w:r>
            <w:r w:rsidRPr="00350AD1">
              <w:rPr>
                <w:rFonts w:eastAsia="Calibri" w:cs="Arial"/>
                <w:szCs w:val="20"/>
                <w:lang w:val="en-US"/>
              </w:rPr>
              <w:lastRenderedPageBreak/>
              <w:t>Advisory Board was also established during the reporting period and added a consultative layer to the broader governance environment of the project.</w:t>
            </w:r>
          </w:p>
          <w:p w14:paraId="3316689D" w14:textId="2472DF09" w:rsidR="00126528" w:rsidRPr="00126528" w:rsidRDefault="003A41CC" w:rsidP="00980F10">
            <w:pPr>
              <w:widowControl w:val="0"/>
              <w:spacing w:before="120" w:after="120"/>
              <w:jc w:val="both"/>
              <w:rPr>
                <w:rFonts w:eastAsia="Calibri" w:cs="Arial"/>
                <w:color w:val="C0504D" w:themeColor="accent2"/>
                <w:sz w:val="18"/>
                <w:szCs w:val="20"/>
                <w:shd w:val="clear" w:color="auto" w:fill="FFFFFF"/>
                <w:lang w:val="en-US"/>
              </w:rPr>
            </w:pPr>
            <w:r w:rsidRPr="00350AD1">
              <w:rPr>
                <w:rFonts w:eastAsia="Calibri" w:cs="Arial"/>
                <w:szCs w:val="20"/>
                <w:lang w:val="en-US"/>
              </w:rPr>
              <w:t>The main issue affecting project management during the reporting period concerned the complexity of finalising the legal and governance structure of the OSS under WP2. This did not lead to a change in the overall project management approach, but it did require a more gradual and adaptive coordination effort, including closer follow-up with the legal partner and relevant stakeholders, while the OSS continued to operate under NTUA. This issue affected the pace of institutional consolidation of the OSS, but did not disrupt the broader cooperation among partners or the implementation of the project as a whole.</w:t>
            </w:r>
          </w:p>
        </w:tc>
      </w:tr>
    </w:tbl>
    <w:p w14:paraId="1DF0A072" w14:textId="77777777" w:rsidR="006A4084" w:rsidRPr="00907106" w:rsidRDefault="00816DF2" w:rsidP="00117DA4">
      <w:pPr>
        <w:rPr>
          <w:lang w:val="de-DE" w:eastAsia="en-GB"/>
        </w:rPr>
      </w:pPr>
      <w:r w:rsidRPr="00907106">
        <w:rPr>
          <w:rFonts w:cs="Arial"/>
          <w:noProof/>
          <w:color w:val="B5B5B5"/>
          <w:sz w:val="16"/>
          <w:szCs w:val="16"/>
          <w:lang w:val="de-DE"/>
        </w:rPr>
        <w:lastRenderedPageBreak/>
        <w:t>#§PRJ-MGT-PM§#  #@FIN-MGT-FM@#</w:t>
      </w:r>
    </w:p>
    <w:p w14:paraId="3347EFC9" w14:textId="77777777" w:rsidR="006A4084" w:rsidRPr="005D147A" w:rsidRDefault="00C505B1" w:rsidP="006A4084">
      <w:pPr>
        <w:pStyle w:val="Heading3"/>
      </w:pPr>
      <w:bookmarkStart w:id="91" w:name="_Toc495508572"/>
      <w:bookmarkStart w:id="92" w:name="_Toc22843495"/>
      <w:bookmarkStart w:id="93" w:name="_Toc227846982"/>
      <w:r>
        <w:t>4</w:t>
      </w:r>
      <w:r w:rsidR="00E727FE" w:rsidRPr="00C24948">
        <w:t>.3</w:t>
      </w:r>
      <w:r w:rsidR="003F4E7A" w:rsidRPr="00C24948">
        <w:t xml:space="preserve"> </w:t>
      </w:r>
      <w:r w:rsidR="009E0A5C" w:rsidRPr="00C24948">
        <w:t>Budget</w:t>
      </w:r>
      <w:bookmarkEnd w:id="91"/>
      <w:bookmarkEnd w:id="92"/>
      <w:bookmarkEnd w:id="93"/>
    </w:p>
    <w:tbl>
      <w:tblPr>
        <w:tblW w:w="4766" w:type="pct"/>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2844"/>
        <w:gridCol w:w="5449"/>
      </w:tblGrid>
      <w:tr w:rsidR="006B7D8B" w:rsidRPr="00200D1C" w14:paraId="3D0A92C9" w14:textId="77777777" w:rsidTr="00CB68AD">
        <w:trPr>
          <w:trHeight w:val="511"/>
        </w:trPr>
        <w:tc>
          <w:tcPr>
            <w:tcW w:w="5000" w:type="pct"/>
            <w:gridSpan w:val="2"/>
            <w:shd w:val="clear" w:color="auto" w:fill="D9D9D9" w:themeFill="background1" w:themeFillShade="D9"/>
          </w:tcPr>
          <w:p w14:paraId="69C6B89A" w14:textId="77777777" w:rsidR="006B7D8B" w:rsidRDefault="006B7D8B" w:rsidP="00112F20">
            <w:pPr>
              <w:spacing w:before="120" w:after="120" w:line="240" w:lineRule="auto"/>
              <w:jc w:val="both"/>
              <w:rPr>
                <w:rFonts w:eastAsia="Times New Roman" w:cs="Arial"/>
                <w:b/>
                <w:bCs/>
                <w:color w:val="595959"/>
                <w:sz w:val="18"/>
                <w:szCs w:val="18"/>
              </w:rPr>
            </w:pPr>
            <w:r w:rsidRPr="51F6A2C3">
              <w:rPr>
                <w:rFonts w:eastAsia="Times New Roman" w:cs="Arial"/>
                <w:b/>
                <w:bCs/>
                <w:color w:val="595959"/>
                <w:sz w:val="18"/>
                <w:szCs w:val="18"/>
              </w:rPr>
              <w:t xml:space="preserve">Budget implementation </w:t>
            </w:r>
            <w:r w:rsidRPr="009C347D">
              <w:rPr>
                <w:rFonts w:eastAsia="Times New Roman" w:cs="Arial"/>
                <w:b/>
                <w:bCs/>
                <w:color w:val="595959"/>
                <w:kern w:val="32"/>
                <w:sz w:val="16"/>
                <w:szCs w:val="16"/>
                <w:lang w:eastAsia="en-GB"/>
              </w:rPr>
              <w:t>—</w:t>
            </w:r>
            <w:r w:rsidRPr="51F6A2C3">
              <w:rPr>
                <w:rFonts w:eastAsia="Times New Roman" w:cs="Arial"/>
                <w:i/>
                <w:iCs/>
                <w:color w:val="595959"/>
                <w:kern w:val="32"/>
                <w:sz w:val="16"/>
                <w:szCs w:val="16"/>
                <w:lang w:eastAsia="en-GB"/>
              </w:rPr>
              <w:t xml:space="preserve"> </w:t>
            </w:r>
            <w:r w:rsidRPr="51F6A2C3">
              <w:rPr>
                <w:rFonts w:eastAsia="Times New Roman" w:cs="Arial"/>
                <w:b/>
                <w:bCs/>
                <w:color w:val="595959"/>
                <w:sz w:val="18"/>
                <w:szCs w:val="18"/>
              </w:rPr>
              <w:t>Use of resources (d</w:t>
            </w:r>
            <w:r w:rsidRPr="009C347D">
              <w:rPr>
                <w:rFonts w:eastAsia="Times New Roman" w:cs="Arial"/>
                <w:b/>
                <w:bCs/>
                <w:kern w:val="32"/>
                <w:sz w:val="18"/>
                <w:szCs w:val="18"/>
                <w:lang w:eastAsia="en-GB"/>
              </w:rPr>
              <w:t>eviations)</w:t>
            </w:r>
            <w:r w:rsidR="00A52D5D" w:rsidRPr="009067D9">
              <w:rPr>
                <w:i/>
                <w:color w:val="4AA55B"/>
                <w:sz w:val="16"/>
                <w:szCs w:val="18"/>
              </w:rPr>
              <w:t xml:space="preserve"> (n/a for Lump Sum Grants)</w:t>
            </w:r>
            <w:r w:rsidR="00112F20">
              <w:rPr>
                <w:i/>
                <w:color w:val="4AA55B"/>
                <w:sz w:val="16"/>
                <w:szCs w:val="18"/>
              </w:rPr>
              <w:t xml:space="preserve"> (</w:t>
            </w:r>
            <w:r w:rsidR="00112F20" w:rsidRPr="00212CEB">
              <w:rPr>
                <w:i/>
                <w:color w:val="4AA55B"/>
                <w:sz w:val="16"/>
                <w:szCs w:val="18"/>
              </w:rPr>
              <w:t>n/a for Additional Prefinancing Report)</w:t>
            </w:r>
          </w:p>
          <w:p w14:paraId="07A4C9D6" w14:textId="77777777" w:rsidR="006B7D8B" w:rsidRPr="00626FCE" w:rsidRDefault="006B7D8B" w:rsidP="004A6D47">
            <w:pPr>
              <w:spacing w:before="120" w:after="60" w:line="240" w:lineRule="auto"/>
              <w:jc w:val="both"/>
              <w:rPr>
                <w:rFonts w:eastAsia="Times New Roman" w:cs="Arial"/>
                <w:i/>
                <w:iCs/>
                <w:color w:val="595959"/>
                <w:sz w:val="16"/>
                <w:szCs w:val="16"/>
              </w:rPr>
            </w:pPr>
            <w:r w:rsidRPr="003F4E7A">
              <w:rPr>
                <w:rFonts w:eastAsia="Times New Roman" w:cs="Arial"/>
                <w:i/>
                <w:iCs/>
                <w:color w:val="595959"/>
                <w:sz w:val="16"/>
                <w:szCs w:val="16"/>
              </w:rPr>
              <w:t xml:space="preserve">Explain major </w:t>
            </w:r>
            <w:r w:rsidRPr="003F4E7A">
              <w:rPr>
                <w:rFonts w:eastAsia="Times New Roman" w:cs="Arial"/>
                <w:i/>
                <w:iCs/>
                <w:color w:val="595959"/>
                <w:sz w:val="16"/>
                <w:szCs w:val="16"/>
                <w:u w:val="single"/>
              </w:rPr>
              <w:t>deviations</w:t>
            </w:r>
            <w:r w:rsidRPr="51F6A2C3">
              <w:rPr>
                <w:rFonts w:eastAsia="Times New Roman" w:cs="Arial"/>
                <w:i/>
                <w:iCs/>
                <w:color w:val="595959"/>
                <w:sz w:val="16"/>
                <w:szCs w:val="16"/>
              </w:rPr>
              <w:t xml:space="preserve"> from the budget planning (i.e. differences between actual and planned use of resources, especially for personnel). </w:t>
            </w:r>
          </w:p>
          <w:p w14:paraId="57DFBAB5" w14:textId="77777777" w:rsidR="006B7D8B" w:rsidRPr="008B06F9" w:rsidRDefault="006B7D8B" w:rsidP="00144E76">
            <w:pPr>
              <w:spacing w:after="120" w:line="240" w:lineRule="auto"/>
              <w:jc w:val="both"/>
              <w:rPr>
                <w:rFonts w:eastAsia="Times New Roman" w:cs="Arial"/>
                <w:i/>
                <w:color w:val="595959"/>
                <w:sz w:val="16"/>
                <w:szCs w:val="20"/>
              </w:rPr>
            </w:pPr>
            <w:r w:rsidRPr="51F6A2C3">
              <w:rPr>
                <w:rFonts w:eastAsia="Times New Roman" w:cs="Arial"/>
                <w:i/>
                <w:iCs/>
                <w:color w:val="595959"/>
                <w:sz w:val="16"/>
                <w:szCs w:val="16"/>
              </w:rPr>
              <w:t>Include explanations on major budget transfers between cost categories in the estimated budget (if applicable)</w:t>
            </w:r>
            <w:r>
              <w:rPr>
                <w:rFonts w:eastAsia="Times New Roman" w:cs="Arial"/>
                <w:i/>
                <w:iCs/>
                <w:color w:val="595959"/>
                <w:sz w:val="16"/>
                <w:szCs w:val="16"/>
              </w:rPr>
              <w:t xml:space="preserve">. </w:t>
            </w:r>
            <w:r w:rsidRPr="51F6A2C3">
              <w:rPr>
                <w:rFonts w:eastAsia="Times New Roman" w:cs="Arial"/>
                <w:i/>
                <w:iCs/>
                <w:sz w:val="16"/>
                <w:szCs w:val="16"/>
              </w:rPr>
              <w:t xml:space="preserve">Explain </w:t>
            </w:r>
            <w:r w:rsidRPr="51F6A2C3">
              <w:rPr>
                <w:rFonts w:eastAsia="Times New Roman" w:cs="Arial"/>
                <w:i/>
                <w:iCs/>
                <w:sz w:val="16"/>
                <w:szCs w:val="16"/>
                <w:u w:val="single"/>
              </w:rPr>
              <w:t>unforeseen</w:t>
            </w:r>
            <w:r w:rsidRPr="51F6A2C3">
              <w:rPr>
                <w:rFonts w:eastAsia="Times New Roman" w:cs="Arial"/>
                <w:i/>
                <w:iCs/>
                <w:sz w:val="16"/>
                <w:szCs w:val="16"/>
              </w:rPr>
              <w:t xml:space="preserve"> subcontracting in the ‘Report on the Use of Resources’, </w:t>
            </w:r>
            <w:r w:rsidRPr="003F4E7A">
              <w:rPr>
                <w:rFonts w:eastAsia="Times New Roman" w:cs="Arial"/>
                <w:i/>
                <w:iCs/>
                <w:sz w:val="16"/>
                <w:szCs w:val="16"/>
              </w:rPr>
              <w:t>not here.</w:t>
            </w:r>
            <w:r w:rsidR="00F90A5C">
              <w:rPr>
                <w:rFonts w:eastAsia="Times New Roman" w:cs="Arial"/>
                <w:i/>
                <w:iCs/>
                <w:sz w:val="16"/>
                <w:szCs w:val="16"/>
              </w:rPr>
              <w:t xml:space="preserve"> </w:t>
            </w:r>
            <w:r w:rsidRPr="00604D98">
              <w:rPr>
                <w:rFonts w:eastAsia="Times New Roman" w:cs="Arial"/>
                <w:i/>
                <w:color w:val="595959"/>
                <w:sz w:val="16"/>
                <w:szCs w:val="20"/>
              </w:rPr>
              <w:t>If needed, add explanations linked to the report on the use of resources filled in online. Ensure consistency with that report.</w:t>
            </w:r>
          </w:p>
        </w:tc>
      </w:tr>
      <w:tr w:rsidR="006B7D8B" w:rsidRPr="00200D1C" w14:paraId="2F56C909" w14:textId="77777777" w:rsidTr="00CB68AD">
        <w:trPr>
          <w:trHeight w:val="37"/>
        </w:trPr>
        <w:tc>
          <w:tcPr>
            <w:tcW w:w="5000" w:type="pct"/>
            <w:gridSpan w:val="2"/>
            <w:shd w:val="clear" w:color="auto" w:fill="FFFFFF" w:themeFill="background1"/>
          </w:tcPr>
          <w:p w14:paraId="3A51D02D" w14:textId="6124B726" w:rsidR="000C02C8" w:rsidRPr="0068039A" w:rsidRDefault="000C02C8" w:rsidP="00980F10">
            <w:pPr>
              <w:spacing w:before="120" w:after="120"/>
              <w:ind w:right="4"/>
              <w:jc w:val="both"/>
              <w:rPr>
                <w:rFonts w:eastAsia="Calibri" w:cs="Arial"/>
                <w:color w:val="595959"/>
                <w:szCs w:val="20"/>
              </w:rPr>
            </w:pPr>
            <w:commentRangeStart w:id="94"/>
            <w:r w:rsidRPr="0068039A">
              <w:rPr>
                <w:rFonts w:eastAsia="Calibri" w:cs="Arial"/>
                <w:color w:val="595959"/>
                <w:szCs w:val="20"/>
              </w:rPr>
              <w:t>The overall budget implementation remains broadly in line with the financial planning described in the Grant Agreement and the Description of the Action. No major deviations between the planned and actual use of resources have been identified during the reporting period.</w:t>
            </w:r>
          </w:p>
          <w:p w14:paraId="3C071A2B" w14:textId="00A10D1E" w:rsidR="000C02C8" w:rsidRPr="0068039A" w:rsidRDefault="000C02C8" w:rsidP="00980F10">
            <w:pPr>
              <w:spacing w:before="120" w:after="120"/>
              <w:ind w:right="4"/>
              <w:jc w:val="both"/>
              <w:rPr>
                <w:rFonts w:eastAsia="Calibri" w:cs="Arial"/>
                <w:color w:val="595959"/>
                <w:szCs w:val="20"/>
              </w:rPr>
            </w:pPr>
            <w:r w:rsidRPr="0068039A">
              <w:rPr>
                <w:rFonts w:eastAsia="Calibri" w:cs="Arial"/>
                <w:color w:val="595959"/>
                <w:szCs w:val="20"/>
              </w:rPr>
              <w:t>Minor variations in the distribution of costs between partners and cost categories reflect the normal progression of project activities and the timing of task implementation. These variations do not affect the overall financial structure of the project or the achievement of its objectives.</w:t>
            </w:r>
          </w:p>
          <w:p w14:paraId="1D4464AA" w14:textId="77777777" w:rsidR="006B7D8B" w:rsidRPr="0068039A" w:rsidRDefault="000C02C8" w:rsidP="00980F10">
            <w:pPr>
              <w:spacing w:before="120" w:after="120"/>
              <w:jc w:val="both"/>
              <w:rPr>
                <w:rFonts w:eastAsia="Calibri" w:cs="Arial"/>
                <w:color w:val="595959"/>
                <w:szCs w:val="20"/>
              </w:rPr>
            </w:pPr>
            <w:r w:rsidRPr="0068039A">
              <w:rPr>
                <w:rFonts w:eastAsia="Calibri" w:cs="Arial"/>
                <w:color w:val="595959"/>
                <w:szCs w:val="20"/>
              </w:rPr>
              <w:t>Detailed information on the use of resources is provided in the financial report submitted through the Funding &amp; Tenders Portal, which presents the actual costs incurred by the beneficiaries during the reporting period.</w:t>
            </w:r>
          </w:p>
          <w:p w14:paraId="04FB14BA" w14:textId="3C78117C" w:rsidR="000C02C8" w:rsidRPr="00B41F58" w:rsidRDefault="000C02C8" w:rsidP="00980F10">
            <w:pPr>
              <w:spacing w:before="120" w:after="120"/>
              <w:jc w:val="both"/>
              <w:rPr>
                <w:rFonts w:eastAsia="Times New Roman" w:cs="Arial"/>
                <w:color w:val="595959"/>
                <w:sz w:val="18"/>
                <w:szCs w:val="18"/>
              </w:rPr>
            </w:pPr>
            <w:r w:rsidRPr="0068039A">
              <w:rPr>
                <w:szCs w:val="20"/>
              </w:rPr>
              <w:t>No additional issues related to the project budget implementation have been identified during the reporting period.</w:t>
            </w:r>
            <w:commentRangeEnd w:id="94"/>
            <w:r w:rsidRPr="00B41F58">
              <w:rPr>
                <w:rStyle w:val="CommentReference"/>
                <w:rFonts w:eastAsia="Times New Roman" w:cs="Arial"/>
                <w:color w:val="595959"/>
                <w:sz w:val="18"/>
                <w:szCs w:val="18"/>
              </w:rPr>
              <w:commentReference w:id="94"/>
            </w:r>
          </w:p>
        </w:tc>
      </w:tr>
      <w:tr w:rsidR="006B7D8B" w:rsidRPr="00200D1C" w14:paraId="010638EC" w14:textId="77777777" w:rsidTr="00CB68AD">
        <w:tc>
          <w:tcPr>
            <w:tcW w:w="1715" w:type="pct"/>
            <w:shd w:val="clear" w:color="auto" w:fill="E6E6E6"/>
          </w:tcPr>
          <w:p w14:paraId="2F6B3137" w14:textId="77777777" w:rsidR="006B7D8B" w:rsidRPr="00394E34" w:rsidRDefault="006B7D8B" w:rsidP="004A6D47">
            <w:pPr>
              <w:spacing w:before="120" w:after="120" w:line="240" w:lineRule="auto"/>
              <w:rPr>
                <w:rFonts w:eastAsia="Times New Roman" w:cs="Arial"/>
                <w:color w:val="595959"/>
                <w:sz w:val="18"/>
                <w:szCs w:val="18"/>
              </w:rPr>
            </w:pPr>
            <w:r w:rsidRPr="00502422">
              <w:rPr>
                <w:rFonts w:eastAsia="Times New Roman" w:cs="Arial"/>
                <w:color w:val="595959"/>
                <w:sz w:val="18"/>
                <w:szCs w:val="18"/>
              </w:rPr>
              <w:t xml:space="preserve">Other </w:t>
            </w:r>
            <w:r>
              <w:rPr>
                <w:rFonts w:eastAsia="Times New Roman" w:cs="Arial"/>
                <w:color w:val="595959"/>
                <w:sz w:val="18"/>
                <w:szCs w:val="18"/>
              </w:rPr>
              <w:t xml:space="preserve">issues </w:t>
            </w:r>
          </w:p>
        </w:tc>
        <w:tc>
          <w:tcPr>
            <w:tcW w:w="3285" w:type="pct"/>
            <w:shd w:val="clear" w:color="auto" w:fill="FFFFFF" w:themeFill="background1"/>
          </w:tcPr>
          <w:p w14:paraId="3E4BE7BE" w14:textId="77777777" w:rsidR="006B7D8B" w:rsidRPr="00B41F58" w:rsidRDefault="006B7D8B" w:rsidP="004A6D47">
            <w:pPr>
              <w:spacing w:before="120" w:after="120" w:line="240" w:lineRule="auto"/>
              <w:ind w:right="4"/>
              <w:jc w:val="both"/>
              <w:rPr>
                <w:rFonts w:eastAsia="Calibri" w:cs="Arial"/>
                <w:color w:val="595959"/>
                <w:sz w:val="18"/>
                <w:szCs w:val="18"/>
              </w:rPr>
            </w:pPr>
            <w:r w:rsidRPr="00B41F58">
              <w:rPr>
                <w:rFonts w:eastAsia="Calibri" w:cs="Arial"/>
                <w:color w:val="595959"/>
                <w:sz w:val="18"/>
                <w:szCs w:val="18"/>
              </w:rPr>
              <w:t>Insert text</w:t>
            </w:r>
          </w:p>
        </w:tc>
      </w:tr>
    </w:tbl>
    <w:p w14:paraId="66C2617E" w14:textId="77777777" w:rsidR="00E727FE" w:rsidRPr="00E727FE" w:rsidRDefault="00E727FE" w:rsidP="00E727FE">
      <w:pPr>
        <w:rPr>
          <w:noProof/>
          <w:lang w:val="fr-BE"/>
        </w:rPr>
      </w:pPr>
      <w:r w:rsidRPr="00E727FE">
        <w:rPr>
          <w:rFonts w:cs="Arial"/>
          <w:noProof/>
          <w:color w:val="B5B5B5"/>
          <w:sz w:val="16"/>
          <w:szCs w:val="16"/>
          <w:lang w:val="fr-BE"/>
        </w:rPr>
        <w:t>#§FIN-MGT-FM§# #@RSK-MGT-RM@#</w:t>
      </w:r>
    </w:p>
    <w:p w14:paraId="4A22FB9C" w14:textId="77777777" w:rsidR="009E0A5C" w:rsidRDefault="00C505B1" w:rsidP="009E0A5C">
      <w:pPr>
        <w:pStyle w:val="Heading3"/>
        <w:rPr>
          <w:shd w:val="clear" w:color="auto" w:fill="FFFFFF"/>
        </w:rPr>
      </w:pPr>
      <w:bookmarkStart w:id="95" w:name="_Toc65676188"/>
      <w:bookmarkStart w:id="96" w:name="_Toc65674237"/>
      <w:bookmarkStart w:id="97" w:name="_Toc63417495"/>
      <w:bookmarkStart w:id="98" w:name="_Toc227846983"/>
      <w:r>
        <w:t>4</w:t>
      </w:r>
      <w:r w:rsidR="00E727FE" w:rsidRPr="00C24948">
        <w:t>.4</w:t>
      </w:r>
      <w:r w:rsidR="009E0A5C" w:rsidRPr="00C24948">
        <w:rPr>
          <w:shd w:val="clear" w:color="auto" w:fill="FFFFFF"/>
        </w:rPr>
        <w:t xml:space="preserve"> Risk management</w:t>
      </w:r>
      <w:bookmarkEnd w:id="95"/>
      <w:bookmarkEnd w:id="96"/>
      <w:bookmarkEnd w:id="97"/>
      <w:bookmarkEnd w:id="98"/>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9E0A5C" w:rsidRPr="00F05977" w14:paraId="4C7F900C" w14:textId="77777777" w:rsidTr="008C003E">
        <w:trPr>
          <w:trHeight w:val="667"/>
        </w:trPr>
        <w:tc>
          <w:tcPr>
            <w:tcW w:w="8527" w:type="dxa"/>
            <w:shd w:val="clear" w:color="auto" w:fill="D9D9D9" w:themeFill="background1" w:themeFillShade="D9"/>
          </w:tcPr>
          <w:p w14:paraId="3B1B7700" w14:textId="77777777" w:rsidR="009E0A5C" w:rsidRPr="00F05977" w:rsidRDefault="009E0A5C" w:rsidP="008C003E">
            <w:pPr>
              <w:spacing w:before="120" w:after="120" w:line="240" w:lineRule="auto"/>
              <w:jc w:val="both"/>
              <w:rPr>
                <w:rFonts w:eastAsia="Times New Roman" w:cs="Arial"/>
                <w:b/>
                <w:bCs/>
                <w:i/>
                <w:noProof/>
                <w:color w:val="595959"/>
                <w:sz w:val="18"/>
                <w:szCs w:val="18"/>
                <w:lang w:val="en-US" w:eastAsia="en-GB"/>
              </w:rPr>
            </w:pPr>
            <w:r>
              <w:rPr>
                <w:rFonts w:eastAsia="Times New Roman" w:cs="Arial"/>
                <w:b/>
                <w:bCs/>
                <w:noProof/>
                <w:color w:val="595959"/>
                <w:sz w:val="18"/>
                <w:szCs w:val="18"/>
                <w:lang w:val="en-US" w:eastAsia="en-GB"/>
              </w:rPr>
              <w:t>Critical risks and risk management strategy</w:t>
            </w:r>
          </w:p>
          <w:p w14:paraId="27B100FC" w14:textId="77777777" w:rsidR="009E0A5C" w:rsidRPr="00F05977" w:rsidRDefault="009E0A5C" w:rsidP="008C003E">
            <w:pPr>
              <w:spacing w:before="120" w:after="120" w:line="240" w:lineRule="auto"/>
              <w:jc w:val="both"/>
              <w:rPr>
                <w:rFonts w:eastAsia="Times New Roman" w:cs="Arial"/>
                <w:b/>
                <w:bCs/>
                <w:i/>
                <w:iCs/>
                <w:noProof/>
                <w:sz w:val="18"/>
                <w:szCs w:val="18"/>
                <w:lang w:val="en-US" w:eastAsia="en-GB"/>
              </w:rPr>
            </w:pPr>
            <w:r w:rsidRPr="51F6A2C3">
              <w:rPr>
                <w:rFonts w:eastAsia="Times New Roman" w:cs="Arial"/>
                <w:i/>
                <w:iCs/>
                <w:color w:val="595959"/>
                <w:sz w:val="16"/>
                <w:szCs w:val="16"/>
              </w:rPr>
              <w:t xml:space="preserve">Report on the </w:t>
            </w:r>
            <w:r w:rsidRPr="51F6A2C3">
              <w:rPr>
                <w:rFonts w:eastAsia="Times New Roman" w:cs="Arial"/>
                <w:i/>
                <w:iCs/>
                <w:color w:val="595959"/>
                <w:sz w:val="16"/>
                <w:szCs w:val="16"/>
                <w:u w:val="single"/>
              </w:rPr>
              <w:t>state of play</w:t>
            </w:r>
            <w:r w:rsidRPr="51F6A2C3">
              <w:rPr>
                <w:rFonts w:eastAsia="Times New Roman" w:cs="Arial"/>
                <w:i/>
                <w:iCs/>
                <w:color w:val="595959"/>
                <w:sz w:val="16"/>
                <w:szCs w:val="16"/>
              </w:rPr>
              <w:t xml:space="preserve"> concerning the risks and risk mitigation measures (if any).</w:t>
            </w:r>
            <w:r w:rsidRPr="51F6A2C3">
              <w:rPr>
                <w:rFonts w:eastAsia="Times New Roman" w:cs="Arial"/>
                <w:i/>
                <w:iCs/>
                <w:sz w:val="16"/>
                <w:szCs w:val="16"/>
              </w:rPr>
              <w:t xml:space="preserve"> </w:t>
            </w:r>
          </w:p>
        </w:tc>
      </w:tr>
      <w:tr w:rsidR="009E0A5C" w:rsidRPr="00B41F58" w14:paraId="4C209611" w14:textId="77777777" w:rsidTr="003A41CC">
        <w:tblPrEx>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Ex>
        <w:tc>
          <w:tcPr>
            <w:tcW w:w="852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4DD181B3" w14:textId="77777777" w:rsidR="003A41CC" w:rsidRPr="003A41CC" w:rsidRDefault="003A41CC" w:rsidP="00980F10">
            <w:pPr>
              <w:tabs>
                <w:tab w:val="left" w:pos="-907"/>
                <w:tab w:val="left" w:pos="-187"/>
                <w:tab w:val="left" w:leader="dot" w:pos="5670"/>
              </w:tabs>
              <w:suppressAutoHyphens/>
              <w:spacing w:before="120" w:after="120"/>
              <w:jc w:val="both"/>
              <w:rPr>
                <w:rFonts w:eastAsia="Calibri" w:cs="Arial"/>
                <w:color w:val="595959"/>
                <w:szCs w:val="20"/>
              </w:rPr>
            </w:pPr>
            <w:r w:rsidRPr="003A41CC">
              <w:rPr>
                <w:rFonts w:eastAsia="Calibri" w:cs="Arial"/>
                <w:color w:val="595959"/>
                <w:szCs w:val="20"/>
              </w:rPr>
              <w:t>The RenoInGR project follows a structured risk management approach as described in Deliverable D1.2 “Risk Management Plan”. The plan identifies potential risks, assesses their probability and impact, and defines mitigation and monitoring measures to ensure the smooth implementation of the project.</w:t>
            </w:r>
          </w:p>
          <w:p w14:paraId="79699E2B" w14:textId="77777777" w:rsidR="003A41CC" w:rsidRPr="003A41CC" w:rsidRDefault="003A41CC" w:rsidP="00980F10">
            <w:pPr>
              <w:tabs>
                <w:tab w:val="left" w:pos="-907"/>
                <w:tab w:val="left" w:pos="-187"/>
                <w:tab w:val="left" w:leader="dot" w:pos="5670"/>
              </w:tabs>
              <w:suppressAutoHyphens/>
              <w:spacing w:before="120" w:after="120"/>
              <w:jc w:val="both"/>
              <w:rPr>
                <w:rFonts w:eastAsia="Calibri" w:cs="Arial"/>
                <w:color w:val="595959"/>
                <w:szCs w:val="20"/>
              </w:rPr>
            </w:pPr>
            <w:r w:rsidRPr="003A41CC">
              <w:rPr>
                <w:rFonts w:eastAsia="Calibri" w:cs="Arial"/>
                <w:color w:val="595959"/>
                <w:szCs w:val="20"/>
              </w:rPr>
              <w:t xml:space="preserve">A total of 26 risks have been identified and categorised into coordination and management risks, internal risks, external risks and market-related risks. The risk assessment is based on a </w:t>
            </w:r>
            <w:r w:rsidRPr="003A41CC">
              <w:rPr>
                <w:rFonts w:eastAsia="Calibri" w:cs="Arial"/>
                <w:color w:val="595959"/>
                <w:szCs w:val="20"/>
              </w:rPr>
              <w:lastRenderedPageBreak/>
              <w:t xml:space="preserve">qualitative probability–impact matrix, allowing the consortium to evaluate and prioritise potential threats to project implementation. </w:t>
            </w:r>
          </w:p>
          <w:p w14:paraId="63E5D845" w14:textId="77777777" w:rsidR="003A41CC" w:rsidRPr="003A41CC" w:rsidRDefault="003A41CC" w:rsidP="00980F10">
            <w:pPr>
              <w:tabs>
                <w:tab w:val="left" w:pos="-907"/>
                <w:tab w:val="left" w:pos="-187"/>
                <w:tab w:val="left" w:leader="dot" w:pos="5670"/>
              </w:tabs>
              <w:suppressAutoHyphens/>
              <w:spacing w:before="120" w:after="120"/>
              <w:jc w:val="both"/>
              <w:rPr>
                <w:rFonts w:eastAsia="Calibri" w:cs="Arial"/>
                <w:color w:val="595959"/>
                <w:szCs w:val="20"/>
              </w:rPr>
            </w:pPr>
            <w:r w:rsidRPr="003A41CC">
              <w:rPr>
                <w:rFonts w:eastAsia="Calibri" w:cs="Arial"/>
                <w:color w:val="595959"/>
                <w:szCs w:val="20"/>
              </w:rPr>
              <w:t>Overall, the analysis indicates that the majority of identified risks fall within the low or medium risk category. Only one risk has been assessed as high (Risk R10), which concerns possible delays in municipalities’ responses following the signing of cooperation agreements.</w:t>
            </w:r>
          </w:p>
          <w:p w14:paraId="03A6CAA1" w14:textId="77777777" w:rsidR="003A41CC" w:rsidRPr="003A41CC" w:rsidRDefault="003A41CC" w:rsidP="00980F10">
            <w:pPr>
              <w:tabs>
                <w:tab w:val="left" w:pos="-907"/>
                <w:tab w:val="left" w:pos="-187"/>
                <w:tab w:val="left" w:leader="dot" w:pos="5670"/>
              </w:tabs>
              <w:suppressAutoHyphens/>
              <w:spacing w:before="120" w:after="120"/>
              <w:jc w:val="both"/>
              <w:rPr>
                <w:rFonts w:eastAsia="Calibri" w:cs="Arial"/>
                <w:color w:val="595959"/>
                <w:szCs w:val="20"/>
              </w:rPr>
            </w:pPr>
            <w:r w:rsidRPr="003A41CC">
              <w:rPr>
                <w:rFonts w:eastAsia="Calibri" w:cs="Arial"/>
                <w:color w:val="595959"/>
                <w:szCs w:val="20"/>
              </w:rPr>
              <w:t>During the reporting period, no critical risks have materialised that would significantly affect project implementation. The consortium continues to closely monitor the engagement of municipalities and other stakeholders, as this is a key factor for the effective operation of the One-Stop-Shop services.</w:t>
            </w:r>
          </w:p>
          <w:p w14:paraId="54C607A8" w14:textId="30B823C2" w:rsidR="009E0A5C" w:rsidRPr="00B41F58" w:rsidRDefault="003A41CC" w:rsidP="00980F10">
            <w:pPr>
              <w:tabs>
                <w:tab w:val="left" w:pos="-907"/>
                <w:tab w:val="left" w:pos="-187"/>
                <w:tab w:val="left" w:leader="dot" w:pos="5670"/>
              </w:tabs>
              <w:suppressAutoHyphens/>
              <w:spacing w:before="120" w:after="120"/>
              <w:jc w:val="both"/>
              <w:rPr>
                <w:rFonts w:eastAsia="Calibri" w:cs="Arial"/>
                <w:b/>
                <w:bCs/>
                <w:color w:val="595959"/>
                <w:sz w:val="18"/>
                <w:szCs w:val="18"/>
              </w:rPr>
            </w:pPr>
            <w:r w:rsidRPr="003A41CC">
              <w:rPr>
                <w:rFonts w:eastAsia="Calibri" w:cs="Arial"/>
                <w:color w:val="595959"/>
                <w:szCs w:val="20"/>
              </w:rPr>
              <w:t>Risk monitoring is carried out through regular coordination among the Project Coordinator, the Project Manager and the Work Package Leaders. The risk register is periodically reviewed and updated when necessary, and mitigation measures are applied where relevant to ensure the timely achievement of project objectives.</w:t>
            </w:r>
          </w:p>
        </w:tc>
      </w:tr>
    </w:tbl>
    <w:p w14:paraId="1929E272" w14:textId="77777777" w:rsidR="009E0A5C" w:rsidRPr="009E0A5C" w:rsidRDefault="00E727FE" w:rsidP="009E0A5C">
      <w:pPr>
        <w:rPr>
          <w:lang w:eastAsia="en-GB"/>
        </w:rPr>
      </w:pPr>
      <w:r w:rsidRPr="00E727FE">
        <w:rPr>
          <w:rFonts w:cs="Arial"/>
          <w:noProof/>
          <w:color w:val="B5B5B5"/>
          <w:sz w:val="16"/>
          <w:szCs w:val="16"/>
        </w:rPr>
        <w:lastRenderedPageBreak/>
        <w:t>#§RSK-MGT-RM§#</w:t>
      </w:r>
    </w:p>
    <w:p w14:paraId="76E0E1D6" w14:textId="77777777" w:rsidR="008A32D5" w:rsidRPr="004A6D47" w:rsidRDefault="00C505B1" w:rsidP="00440C81">
      <w:pPr>
        <w:pStyle w:val="Heading3"/>
        <w:rPr>
          <w:szCs w:val="14"/>
        </w:rPr>
      </w:pPr>
      <w:bookmarkStart w:id="99" w:name="_Toc63407642"/>
      <w:bookmarkStart w:id="100" w:name="_Toc227846984"/>
      <w:r>
        <w:t>4</w:t>
      </w:r>
      <w:r w:rsidR="00E727FE">
        <w:t>.5</w:t>
      </w:r>
      <w:bookmarkEnd w:id="99"/>
      <w:r w:rsidR="002E3AB9" w:rsidRPr="00915C46">
        <w:t xml:space="preserve"> </w:t>
      </w:r>
      <w:r w:rsidR="00905A54" w:rsidRPr="00915C46">
        <w:t xml:space="preserve">Next phase: </w:t>
      </w:r>
      <w:r w:rsidR="003F4E7A" w:rsidRPr="00915C46">
        <w:t>C</w:t>
      </w:r>
      <w:r w:rsidR="00905A54" w:rsidRPr="00915C46">
        <w:t>hanges/adjustments</w:t>
      </w:r>
      <w:bookmarkEnd w:id="100"/>
    </w:p>
    <w:tbl>
      <w:tblPr>
        <w:tblW w:w="8505" w:type="dxa"/>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05"/>
      </w:tblGrid>
      <w:tr w:rsidR="008A32D5" w:rsidRPr="008A32D5" w14:paraId="191944A6" w14:textId="77777777" w:rsidTr="00CB68AD">
        <w:trPr>
          <w:trHeight w:val="432"/>
        </w:trPr>
        <w:tc>
          <w:tcPr>
            <w:tcW w:w="8505" w:type="dxa"/>
            <w:shd w:val="clear" w:color="auto" w:fill="D9D9D9" w:themeFill="background1" w:themeFillShade="D9"/>
          </w:tcPr>
          <w:p w14:paraId="2C44D850" w14:textId="77777777" w:rsidR="008A32D5" w:rsidRPr="008A32D5" w:rsidRDefault="008A32D5" w:rsidP="51F6A2C3">
            <w:pPr>
              <w:spacing w:before="120" w:after="120" w:line="240" w:lineRule="auto"/>
              <w:jc w:val="both"/>
              <w:rPr>
                <w:rFonts w:eastAsia="Times New Roman" w:cs="Arial"/>
                <w:b/>
                <w:bCs/>
                <w:i/>
                <w:iCs/>
                <w:sz w:val="18"/>
                <w:szCs w:val="18"/>
                <w:lang w:eastAsia="en-GB"/>
              </w:rPr>
            </w:pPr>
            <w:r w:rsidRPr="008A32D5">
              <w:rPr>
                <w:rFonts w:eastAsia="Times New Roman" w:cs="Arial"/>
                <w:b/>
                <w:bCs/>
                <w:sz w:val="18"/>
                <w:szCs w:val="18"/>
                <w:lang w:eastAsia="en-GB"/>
              </w:rPr>
              <w:t xml:space="preserve">Next phase: changes/adjustments </w:t>
            </w:r>
            <w:r w:rsidR="00915C46">
              <w:rPr>
                <w:rFonts w:cs="Arial"/>
                <w:bCs/>
                <w:i/>
                <w:color w:val="4AA55B"/>
                <w:sz w:val="16"/>
                <w:szCs w:val="18"/>
              </w:rPr>
              <w:t xml:space="preserve"> (for SIP</w:t>
            </w:r>
            <w:r w:rsidR="009F4F64">
              <w:rPr>
                <w:rFonts w:cs="Arial"/>
                <w:bCs/>
                <w:i/>
                <w:color w:val="4AA55B"/>
                <w:sz w:val="16"/>
                <w:szCs w:val="18"/>
              </w:rPr>
              <w:t>s</w:t>
            </w:r>
            <w:r w:rsidR="00915C46">
              <w:rPr>
                <w:rFonts w:cs="Arial"/>
                <w:bCs/>
                <w:i/>
                <w:color w:val="4AA55B"/>
                <w:sz w:val="16"/>
                <w:szCs w:val="18"/>
              </w:rPr>
              <w:t>/SNAP</w:t>
            </w:r>
            <w:r w:rsidR="009F4F64">
              <w:rPr>
                <w:rFonts w:cs="Arial"/>
                <w:bCs/>
                <w:i/>
                <w:color w:val="4AA55B"/>
                <w:sz w:val="16"/>
                <w:szCs w:val="18"/>
              </w:rPr>
              <w:t>s</w:t>
            </w:r>
            <w:r w:rsidR="00915C46">
              <w:rPr>
                <w:rFonts w:cs="Arial"/>
                <w:bCs/>
                <w:i/>
                <w:color w:val="4AA55B"/>
                <w:sz w:val="16"/>
                <w:szCs w:val="18"/>
              </w:rPr>
              <w:t>; n/a for Final Report)</w:t>
            </w:r>
          </w:p>
          <w:p w14:paraId="682B3B6B" w14:textId="77777777" w:rsidR="008A32D5" w:rsidRPr="00604D98" w:rsidRDefault="006B7D8B" w:rsidP="003F4E7A">
            <w:pPr>
              <w:spacing w:after="60" w:line="240" w:lineRule="auto"/>
              <w:jc w:val="both"/>
              <w:rPr>
                <w:i/>
                <w:iCs/>
                <w:sz w:val="16"/>
                <w:szCs w:val="16"/>
              </w:rPr>
            </w:pPr>
            <w:r w:rsidRPr="00604D98">
              <w:rPr>
                <w:i/>
                <w:iCs/>
                <w:sz w:val="16"/>
                <w:szCs w:val="16"/>
              </w:rPr>
              <w:t>C</w:t>
            </w:r>
            <w:r w:rsidR="008A32D5" w:rsidRPr="00604D98">
              <w:rPr>
                <w:i/>
                <w:iCs/>
                <w:sz w:val="16"/>
                <w:szCs w:val="16"/>
              </w:rPr>
              <w:t xml:space="preserve">onfirm that the planning for the next </w:t>
            </w:r>
            <w:r w:rsidRPr="00604D98">
              <w:rPr>
                <w:i/>
                <w:iCs/>
                <w:sz w:val="16"/>
                <w:szCs w:val="16"/>
              </w:rPr>
              <w:t>phase/</w:t>
            </w:r>
            <w:r w:rsidR="008A32D5" w:rsidRPr="00604D98">
              <w:rPr>
                <w:i/>
                <w:iCs/>
                <w:sz w:val="16"/>
                <w:szCs w:val="16"/>
              </w:rPr>
              <w:t xml:space="preserve">reporting period remains as foreseen in </w:t>
            </w:r>
            <w:r w:rsidRPr="00604D98">
              <w:rPr>
                <w:i/>
                <w:iCs/>
                <w:sz w:val="16"/>
                <w:szCs w:val="16"/>
              </w:rPr>
              <w:t xml:space="preserve">Annex 1 of </w:t>
            </w:r>
            <w:r w:rsidR="008A32D5" w:rsidRPr="00604D98">
              <w:rPr>
                <w:i/>
                <w:iCs/>
                <w:sz w:val="16"/>
                <w:szCs w:val="16"/>
              </w:rPr>
              <w:t>the Grant Agreement or, if necessary, present additional details on the work</w:t>
            </w:r>
            <w:r w:rsidR="002169D5">
              <w:rPr>
                <w:i/>
                <w:iCs/>
                <w:sz w:val="16"/>
                <w:szCs w:val="16"/>
              </w:rPr>
              <w:t xml:space="preserve"> </w:t>
            </w:r>
            <w:r w:rsidR="008A32D5" w:rsidRPr="00604D98">
              <w:rPr>
                <w:i/>
                <w:iCs/>
                <w:sz w:val="16"/>
                <w:szCs w:val="16"/>
              </w:rPr>
              <w:t xml:space="preserve">plan, highlighting in particular, </w:t>
            </w:r>
            <w:r w:rsidRPr="00604D98">
              <w:rPr>
                <w:i/>
                <w:iCs/>
                <w:sz w:val="16"/>
                <w:szCs w:val="16"/>
              </w:rPr>
              <w:t>for each activity/task</w:t>
            </w:r>
            <w:r w:rsidR="008A32D5" w:rsidRPr="00604D98">
              <w:rPr>
                <w:i/>
                <w:iCs/>
                <w:sz w:val="16"/>
                <w:szCs w:val="16"/>
              </w:rPr>
              <w:t>, technical, financial</w:t>
            </w:r>
            <w:r w:rsidRPr="00604D98">
              <w:rPr>
                <w:i/>
                <w:iCs/>
                <w:sz w:val="16"/>
                <w:szCs w:val="16"/>
              </w:rPr>
              <w:t xml:space="preserve"> or</w:t>
            </w:r>
            <w:r w:rsidR="008A32D5" w:rsidRPr="00604D98">
              <w:rPr>
                <w:i/>
                <w:iCs/>
                <w:sz w:val="16"/>
                <w:szCs w:val="16"/>
              </w:rPr>
              <w:t xml:space="preserve"> timetable deviations. </w:t>
            </w:r>
          </w:p>
          <w:p w14:paraId="5D936737" w14:textId="77777777" w:rsidR="007206DC" w:rsidRPr="00604D98" w:rsidRDefault="006B7D8B" w:rsidP="003F4E7A">
            <w:pPr>
              <w:autoSpaceDE w:val="0"/>
              <w:autoSpaceDN w:val="0"/>
              <w:spacing w:after="60" w:line="240" w:lineRule="auto"/>
              <w:rPr>
                <w:i/>
                <w:iCs/>
                <w:sz w:val="16"/>
                <w:szCs w:val="16"/>
              </w:rPr>
            </w:pPr>
            <w:r w:rsidRPr="00604D98">
              <w:rPr>
                <w:i/>
                <w:iCs/>
                <w:sz w:val="16"/>
                <w:szCs w:val="16"/>
              </w:rPr>
              <w:t xml:space="preserve">Mention the </w:t>
            </w:r>
            <w:r w:rsidR="007206DC" w:rsidRPr="00604D98">
              <w:rPr>
                <w:i/>
                <w:iCs/>
                <w:sz w:val="16"/>
                <w:szCs w:val="16"/>
              </w:rPr>
              <w:t>main</w:t>
            </w:r>
            <w:r w:rsidRPr="00604D98">
              <w:rPr>
                <w:i/>
                <w:iCs/>
                <w:sz w:val="16"/>
                <w:szCs w:val="16"/>
              </w:rPr>
              <w:t xml:space="preserve"> </w:t>
            </w:r>
            <w:r w:rsidR="007206DC" w:rsidRPr="00604D98">
              <w:rPr>
                <w:i/>
                <w:iCs/>
                <w:sz w:val="16"/>
                <w:szCs w:val="16"/>
              </w:rPr>
              <w:t>targets and goals for next phase</w:t>
            </w:r>
            <w:r w:rsidRPr="00604D98">
              <w:rPr>
                <w:i/>
                <w:iCs/>
                <w:sz w:val="16"/>
                <w:szCs w:val="16"/>
              </w:rPr>
              <w:t xml:space="preserve">, unless </w:t>
            </w:r>
            <w:r w:rsidR="007206DC" w:rsidRPr="00604D98">
              <w:rPr>
                <w:i/>
                <w:iCs/>
                <w:sz w:val="16"/>
                <w:szCs w:val="16"/>
              </w:rPr>
              <w:t xml:space="preserve">already clear in </w:t>
            </w:r>
            <w:r w:rsidRPr="00604D98">
              <w:rPr>
                <w:i/>
                <w:iCs/>
                <w:sz w:val="16"/>
                <w:szCs w:val="16"/>
              </w:rPr>
              <w:t xml:space="preserve">Annex 1 of </w:t>
            </w:r>
            <w:r w:rsidR="007206DC" w:rsidRPr="00604D98">
              <w:rPr>
                <w:i/>
                <w:iCs/>
                <w:sz w:val="16"/>
                <w:szCs w:val="16"/>
              </w:rPr>
              <w:t>the Grant Agreement.</w:t>
            </w:r>
          </w:p>
          <w:p w14:paraId="7AEB7FAB" w14:textId="77777777" w:rsidR="008A32D5" w:rsidRPr="008A32D5" w:rsidRDefault="008A32D5" w:rsidP="003F4E7A">
            <w:pPr>
              <w:spacing w:after="60" w:line="240" w:lineRule="auto"/>
              <w:jc w:val="both"/>
              <w:rPr>
                <w:i/>
                <w:iCs/>
                <w:sz w:val="16"/>
                <w:szCs w:val="16"/>
              </w:rPr>
            </w:pPr>
            <w:r w:rsidRPr="00604D98">
              <w:rPr>
                <w:i/>
                <w:iCs/>
                <w:sz w:val="16"/>
                <w:szCs w:val="16"/>
              </w:rPr>
              <w:t>Additionally, if deviations are anticipated, please:</w:t>
            </w:r>
          </w:p>
          <w:p w14:paraId="378DC965" w14:textId="77777777" w:rsidR="008A32D5" w:rsidRPr="00604D98" w:rsidRDefault="006B7D8B" w:rsidP="003F4E7A">
            <w:pPr>
              <w:numPr>
                <w:ilvl w:val="0"/>
                <w:numId w:val="23"/>
              </w:numPr>
              <w:spacing w:after="60" w:line="240" w:lineRule="auto"/>
              <w:ind w:left="714" w:hanging="357"/>
              <w:jc w:val="both"/>
              <w:rPr>
                <w:i/>
                <w:iCs/>
                <w:sz w:val="16"/>
                <w:szCs w:val="16"/>
              </w:rPr>
            </w:pPr>
            <w:r w:rsidRPr="00604D98">
              <w:rPr>
                <w:i/>
                <w:iCs/>
                <w:sz w:val="16"/>
                <w:szCs w:val="16"/>
              </w:rPr>
              <w:t xml:space="preserve">copy </w:t>
            </w:r>
            <w:r w:rsidR="008A32D5" w:rsidRPr="00604D98">
              <w:rPr>
                <w:i/>
                <w:iCs/>
                <w:sz w:val="16"/>
                <w:szCs w:val="16"/>
              </w:rPr>
              <w:t>an updated table of deliverables and milestones</w:t>
            </w:r>
            <w:r w:rsidRPr="00604D98">
              <w:rPr>
                <w:i/>
                <w:iCs/>
                <w:sz w:val="16"/>
                <w:szCs w:val="16"/>
              </w:rPr>
              <w:t xml:space="preserve"> into section 1.2</w:t>
            </w:r>
            <w:r w:rsidR="008A32D5" w:rsidRPr="00604D98">
              <w:rPr>
                <w:i/>
                <w:iCs/>
                <w:sz w:val="16"/>
                <w:szCs w:val="16"/>
              </w:rPr>
              <w:t xml:space="preserve">, highlighting the changes (and any deletions) </w:t>
            </w:r>
          </w:p>
          <w:p w14:paraId="5573EE59" w14:textId="77777777" w:rsidR="008A32D5" w:rsidRPr="00604D98" w:rsidRDefault="008A32D5" w:rsidP="003F4E7A">
            <w:pPr>
              <w:numPr>
                <w:ilvl w:val="0"/>
                <w:numId w:val="23"/>
              </w:numPr>
              <w:spacing w:after="60" w:line="240" w:lineRule="auto"/>
              <w:ind w:left="714" w:hanging="357"/>
              <w:jc w:val="both"/>
              <w:rPr>
                <w:i/>
                <w:iCs/>
                <w:sz w:val="16"/>
                <w:szCs w:val="16"/>
              </w:rPr>
            </w:pPr>
            <w:r w:rsidRPr="00604D98">
              <w:rPr>
                <w:i/>
                <w:iCs/>
                <w:sz w:val="16"/>
                <w:szCs w:val="16"/>
              </w:rPr>
              <w:t xml:space="preserve">update </w:t>
            </w:r>
            <w:r w:rsidR="006B7D8B" w:rsidRPr="00604D98">
              <w:rPr>
                <w:i/>
                <w:iCs/>
                <w:sz w:val="16"/>
                <w:szCs w:val="16"/>
              </w:rPr>
              <w:t xml:space="preserve">the </w:t>
            </w:r>
            <w:r w:rsidRPr="00604D98">
              <w:rPr>
                <w:i/>
                <w:iCs/>
                <w:sz w:val="16"/>
                <w:szCs w:val="16"/>
              </w:rPr>
              <w:t>timetable</w:t>
            </w:r>
            <w:r w:rsidR="006B7D8B" w:rsidRPr="00604D98">
              <w:rPr>
                <w:i/>
                <w:iCs/>
                <w:sz w:val="16"/>
                <w:szCs w:val="16"/>
              </w:rPr>
              <w:t xml:space="preserve"> in section 1.3</w:t>
            </w:r>
            <w:r w:rsidRPr="00604D98">
              <w:rPr>
                <w:i/>
                <w:iCs/>
                <w:sz w:val="16"/>
                <w:szCs w:val="16"/>
              </w:rPr>
              <w:t xml:space="preserve">. </w:t>
            </w:r>
          </w:p>
          <w:p w14:paraId="5B8BB12F" w14:textId="77777777" w:rsidR="008A32D5" w:rsidRPr="008A32D5" w:rsidRDefault="00CB68AD" w:rsidP="00C97D55">
            <w:pPr>
              <w:spacing w:after="120" w:line="240" w:lineRule="auto"/>
              <w:jc w:val="both"/>
              <w:rPr>
                <w:i/>
                <w:iCs/>
                <w:sz w:val="16"/>
                <w:szCs w:val="16"/>
              </w:rPr>
            </w:pPr>
            <w:r w:rsidRPr="00604D98">
              <w:rPr>
                <w:b/>
                <w:i/>
                <w:iCs/>
                <w:sz w:val="16"/>
                <w:szCs w:val="16"/>
              </w:rPr>
              <w:t>Note:</w:t>
            </w:r>
            <w:r w:rsidRPr="00604D98">
              <w:rPr>
                <w:i/>
                <w:iCs/>
                <w:sz w:val="16"/>
                <w:szCs w:val="16"/>
              </w:rPr>
              <w:t xml:space="preserve"> If t</w:t>
            </w:r>
            <w:r w:rsidR="006B7D8B" w:rsidRPr="00604D98">
              <w:rPr>
                <w:i/>
                <w:iCs/>
                <w:sz w:val="16"/>
                <w:szCs w:val="16"/>
              </w:rPr>
              <w:t>he</w:t>
            </w:r>
            <w:r w:rsidR="008A32D5" w:rsidRPr="00604D98">
              <w:rPr>
                <w:i/>
                <w:iCs/>
                <w:sz w:val="16"/>
                <w:szCs w:val="16"/>
              </w:rPr>
              <w:t xml:space="preserve"> details for the next phase imply </w:t>
            </w:r>
            <w:r w:rsidR="006B7D8B" w:rsidRPr="00604D98">
              <w:rPr>
                <w:i/>
                <w:iCs/>
                <w:sz w:val="16"/>
                <w:szCs w:val="16"/>
              </w:rPr>
              <w:t>a substantial change to Annex 1 of the Grant Agreement (e.g.</w:t>
            </w:r>
            <w:r w:rsidR="008A32D5" w:rsidRPr="00604D98">
              <w:rPr>
                <w:i/>
                <w:iCs/>
                <w:sz w:val="16"/>
                <w:szCs w:val="16"/>
              </w:rPr>
              <w:t xml:space="preserve"> </w:t>
            </w:r>
            <w:r w:rsidR="006B7D8B" w:rsidRPr="00604D98">
              <w:rPr>
                <w:i/>
                <w:iCs/>
                <w:sz w:val="16"/>
                <w:szCs w:val="16"/>
              </w:rPr>
              <w:t xml:space="preserve">non-minor </w:t>
            </w:r>
            <w:r w:rsidR="008A32D5" w:rsidRPr="00604D98">
              <w:rPr>
                <w:i/>
                <w:iCs/>
                <w:sz w:val="16"/>
                <w:szCs w:val="16"/>
              </w:rPr>
              <w:t>technical, administrative, and financial changes</w:t>
            </w:r>
            <w:r w:rsidR="006B7D8B" w:rsidRPr="00604D98">
              <w:rPr>
                <w:i/>
                <w:iCs/>
                <w:sz w:val="16"/>
                <w:szCs w:val="16"/>
              </w:rPr>
              <w:t>), you must request a formal amendment</w:t>
            </w:r>
            <w:r w:rsidR="008A32D5" w:rsidRPr="00604D98">
              <w:rPr>
                <w:i/>
                <w:iCs/>
                <w:sz w:val="16"/>
                <w:szCs w:val="16"/>
              </w:rPr>
              <w:t>.</w:t>
            </w:r>
            <w:r w:rsidRPr="00604D98">
              <w:rPr>
                <w:i/>
                <w:iCs/>
                <w:sz w:val="16"/>
                <w:szCs w:val="16"/>
              </w:rPr>
              <w:t xml:space="preserve"> You can h</w:t>
            </w:r>
            <w:r w:rsidR="008A32D5" w:rsidRPr="00604D98">
              <w:rPr>
                <w:i/>
                <w:iCs/>
                <w:sz w:val="16"/>
                <w:szCs w:val="16"/>
              </w:rPr>
              <w:t>owever</w:t>
            </w:r>
            <w:r w:rsidRPr="00604D98">
              <w:rPr>
                <w:i/>
                <w:iCs/>
                <w:sz w:val="16"/>
                <w:szCs w:val="16"/>
              </w:rPr>
              <w:t xml:space="preserve"> already mention them in this report</w:t>
            </w:r>
            <w:r w:rsidR="008A32D5" w:rsidRPr="00604D98">
              <w:rPr>
                <w:i/>
                <w:iCs/>
                <w:sz w:val="16"/>
                <w:szCs w:val="16"/>
              </w:rPr>
              <w:t xml:space="preserve">, if </w:t>
            </w:r>
            <w:r w:rsidRPr="00604D98">
              <w:rPr>
                <w:i/>
                <w:iCs/>
                <w:sz w:val="16"/>
                <w:szCs w:val="16"/>
              </w:rPr>
              <w:t>agreed</w:t>
            </w:r>
            <w:r w:rsidR="008A32D5" w:rsidRPr="00604D98">
              <w:rPr>
                <w:i/>
                <w:iCs/>
                <w:sz w:val="16"/>
                <w:szCs w:val="16"/>
              </w:rPr>
              <w:t xml:space="preserve"> with </w:t>
            </w:r>
            <w:r w:rsidR="007206DC" w:rsidRPr="00604D98">
              <w:rPr>
                <w:i/>
                <w:iCs/>
                <w:sz w:val="16"/>
                <w:szCs w:val="16"/>
              </w:rPr>
              <w:t xml:space="preserve">the </w:t>
            </w:r>
            <w:r w:rsidR="003F4E7A" w:rsidRPr="00604D98">
              <w:rPr>
                <w:i/>
                <w:iCs/>
                <w:sz w:val="16"/>
                <w:szCs w:val="16"/>
              </w:rPr>
              <w:t>granting authority</w:t>
            </w:r>
            <w:r w:rsidR="008A32D5" w:rsidRPr="00604D98">
              <w:rPr>
                <w:i/>
                <w:iCs/>
                <w:sz w:val="16"/>
                <w:szCs w:val="16"/>
              </w:rPr>
              <w:t xml:space="preserve"> and the external monitoring team </w:t>
            </w:r>
            <w:r w:rsidRPr="00604D98">
              <w:rPr>
                <w:i/>
                <w:iCs/>
                <w:sz w:val="16"/>
                <w:szCs w:val="16"/>
              </w:rPr>
              <w:t xml:space="preserve">. In this case, please </w:t>
            </w:r>
            <w:r w:rsidR="008A32D5" w:rsidRPr="00604D98">
              <w:rPr>
                <w:i/>
                <w:iCs/>
                <w:sz w:val="16"/>
                <w:szCs w:val="16"/>
              </w:rPr>
              <w:t>briefly mention the agree</w:t>
            </w:r>
            <w:r w:rsidRPr="00604D98">
              <w:rPr>
                <w:i/>
                <w:iCs/>
                <w:sz w:val="16"/>
                <w:szCs w:val="16"/>
              </w:rPr>
              <w:t>ment here</w:t>
            </w:r>
            <w:r w:rsidR="008A32D5" w:rsidRPr="00604D98">
              <w:rPr>
                <w:i/>
                <w:iCs/>
                <w:sz w:val="16"/>
                <w:szCs w:val="16"/>
              </w:rPr>
              <w:t>.</w:t>
            </w:r>
          </w:p>
        </w:tc>
      </w:tr>
      <w:tr w:rsidR="008A32D5" w:rsidRPr="008A32D5" w14:paraId="570E57F0" w14:textId="77777777" w:rsidTr="00CB68AD">
        <w:tblPrEx>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Ex>
        <w:tc>
          <w:tcPr>
            <w:tcW w:w="8505"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38138D66" w14:textId="53726222" w:rsidR="00B13EF7" w:rsidRPr="0068039A" w:rsidRDefault="00B13EF7" w:rsidP="00980F10">
            <w:pPr>
              <w:spacing w:before="120" w:after="120"/>
              <w:ind w:right="4"/>
              <w:jc w:val="both"/>
              <w:rPr>
                <w:rFonts w:eastAsia="Calibri" w:cs="Arial"/>
                <w:szCs w:val="20"/>
              </w:rPr>
            </w:pPr>
            <w:r w:rsidRPr="0068039A">
              <w:rPr>
                <w:rFonts w:eastAsia="Calibri" w:cs="Arial"/>
                <w:szCs w:val="20"/>
              </w:rPr>
              <w:t>The planning for the next reporting period remains consistent with the work plan described in Annex 1 of the Grant Agreement. No significant technical, administrative or financial deviations are currently anticipated that would require amendments to the Description of the Action.</w:t>
            </w:r>
          </w:p>
          <w:p w14:paraId="4BF465B5" w14:textId="662B8C7D" w:rsidR="00B13EF7" w:rsidRPr="0068039A" w:rsidRDefault="00B13EF7" w:rsidP="00980F10">
            <w:pPr>
              <w:spacing w:before="120" w:after="120"/>
              <w:ind w:right="4"/>
              <w:jc w:val="both"/>
              <w:rPr>
                <w:rFonts w:eastAsia="Calibri" w:cs="Arial"/>
                <w:szCs w:val="20"/>
              </w:rPr>
            </w:pPr>
            <w:r w:rsidRPr="0068039A">
              <w:rPr>
                <w:rFonts w:eastAsia="Calibri" w:cs="Arial"/>
                <w:szCs w:val="20"/>
              </w:rPr>
              <w:t>During the next phase of the project, the consortium will continue the implementation of the planned activities focusing on the operational development of the RenoInGR One-Stop-Shop services, the engagement of municipalities and stakeholders, and the preparation and implementation of pilot activities. Additional efforts will also be directed towards capacity building, dissemination activities and further development of the OSS support tools and digital platform.</w:t>
            </w:r>
          </w:p>
          <w:p w14:paraId="24CFE845" w14:textId="7951CCB0" w:rsidR="008A32D5" w:rsidRPr="00126528" w:rsidRDefault="00B13EF7" w:rsidP="00980F10">
            <w:pPr>
              <w:tabs>
                <w:tab w:val="left" w:pos="-907"/>
                <w:tab w:val="left" w:pos="-187"/>
                <w:tab w:val="left" w:leader="dot" w:pos="5670"/>
              </w:tabs>
              <w:suppressAutoHyphens/>
              <w:spacing w:before="120" w:after="120"/>
              <w:jc w:val="both"/>
              <w:rPr>
                <w:rFonts w:eastAsia="Calibri" w:cs="Arial"/>
                <w:b/>
                <w:color w:val="595959"/>
                <w:sz w:val="18"/>
                <w:szCs w:val="16"/>
                <w:lang w:val="en-US"/>
              </w:rPr>
            </w:pPr>
            <w:r w:rsidRPr="0068039A">
              <w:rPr>
                <w:rFonts w:eastAsia="Calibri" w:cs="Arial"/>
                <w:szCs w:val="20"/>
              </w:rPr>
              <w:t>The consortium will continue to monitor the progress of activities and ensure alignment with the project timeline and objectives. If any adjustments become necessary during the next reporting period, they will be addressed through the established project management procedures and, where required, in consultation with the granting authority.</w:t>
            </w:r>
            <w:r w:rsidR="00126528" w:rsidRPr="0068039A">
              <w:rPr>
                <w:rFonts w:eastAsia="Calibri" w:cs="Arial"/>
                <w:szCs w:val="20"/>
                <w:lang w:val="en-US"/>
              </w:rPr>
              <w:t xml:space="preserve"> </w:t>
            </w:r>
            <w:r w:rsidR="00126528" w:rsidRPr="0068039A">
              <w:rPr>
                <w:rFonts w:eastAsia="Calibri" w:cs="Arial"/>
                <w:szCs w:val="20"/>
                <w:lang w:val="el-GR"/>
              </w:rPr>
              <w:t xml:space="preserve">Και οι καθυστερησεις αποσβενονται χωρις να υπαρχει </w:t>
            </w:r>
            <w:r w:rsidR="00126528" w:rsidRPr="0068039A">
              <w:rPr>
                <w:rFonts w:eastAsia="Calibri" w:cs="Arial"/>
                <w:szCs w:val="20"/>
                <w:lang w:val="en-US"/>
              </w:rPr>
              <w:t>adverse impact</w:t>
            </w:r>
          </w:p>
        </w:tc>
      </w:tr>
    </w:tbl>
    <w:p w14:paraId="5C5066DB" w14:textId="77777777" w:rsidR="009E0A5C" w:rsidRPr="00170015" w:rsidRDefault="009E0A5C" w:rsidP="00E727FE">
      <w:pPr>
        <w:rPr>
          <w:rFonts w:eastAsia="Times New Roman" w:cs="Times New Roman"/>
          <w:szCs w:val="24"/>
        </w:rPr>
      </w:pPr>
      <w:r w:rsidRPr="00170015">
        <w:rPr>
          <w:rFonts w:cs="Arial"/>
          <w:noProof/>
          <w:color w:val="B5B5B5"/>
          <w:sz w:val="16"/>
          <w:szCs w:val="16"/>
        </w:rPr>
        <w:t>#@FOL-UP-FU@#</w:t>
      </w:r>
    </w:p>
    <w:p w14:paraId="1386C324" w14:textId="77777777" w:rsidR="00C505B1" w:rsidRPr="00EB7BE5" w:rsidRDefault="00C505B1" w:rsidP="00ED267E">
      <w:pPr>
        <w:pStyle w:val="Heading2"/>
      </w:pPr>
      <w:bookmarkStart w:id="101" w:name="_Toc227846985"/>
      <w:r w:rsidRPr="00EB7BE5">
        <w:t>5. FOLLOW-UP TO EU RECOMMENDATIONS</w:t>
      </w:r>
      <w:bookmarkEnd w:id="101"/>
    </w:p>
    <w:p w14:paraId="33F8FEEA" w14:textId="77777777" w:rsidR="00C505B1" w:rsidRPr="00B47690" w:rsidRDefault="00C505B1" w:rsidP="00C505B1">
      <w:pPr>
        <w:pStyle w:val="Heading3"/>
        <w:rPr>
          <w:szCs w:val="20"/>
        </w:rPr>
      </w:pPr>
      <w:bookmarkStart w:id="102" w:name="_Toc227846986"/>
      <w:r w:rsidRPr="00EB7BE5">
        <w:t>5.1 Follow-up</w:t>
      </w:r>
      <w:r w:rsidRPr="00C24948">
        <w:t xml:space="preserve"> to EU recommendations</w:t>
      </w:r>
      <w:bookmarkEnd w:id="102"/>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C505B1" w:rsidRPr="00F05977" w14:paraId="13571318" w14:textId="77777777" w:rsidTr="00C505B1">
        <w:trPr>
          <w:trHeight w:val="432"/>
        </w:trPr>
        <w:tc>
          <w:tcPr>
            <w:tcW w:w="8527" w:type="dxa"/>
            <w:shd w:val="clear" w:color="auto" w:fill="D9D9D9" w:themeFill="background1" w:themeFillShade="D9"/>
          </w:tcPr>
          <w:p w14:paraId="725831BE" w14:textId="77777777" w:rsidR="00C505B1" w:rsidRPr="00F05977" w:rsidRDefault="00C505B1" w:rsidP="00C505B1">
            <w:pPr>
              <w:spacing w:before="120" w:after="120" w:line="240" w:lineRule="auto"/>
              <w:jc w:val="both"/>
              <w:rPr>
                <w:rFonts w:eastAsia="Times New Roman" w:cs="Arial"/>
                <w:b/>
                <w:bCs/>
                <w:i/>
                <w:noProof/>
                <w:color w:val="595959"/>
                <w:sz w:val="18"/>
                <w:szCs w:val="18"/>
                <w:lang w:val="en-US" w:eastAsia="en-GB"/>
              </w:rPr>
            </w:pPr>
            <w:r>
              <w:rPr>
                <w:rFonts w:eastAsia="Times New Roman" w:cs="Arial"/>
                <w:b/>
                <w:bCs/>
                <w:noProof/>
                <w:color w:val="595959"/>
                <w:sz w:val="18"/>
                <w:szCs w:val="18"/>
                <w:lang w:val="en-US" w:eastAsia="en-GB"/>
              </w:rPr>
              <w:t>Follow-up to EU recommendations</w:t>
            </w:r>
            <w:r w:rsidRPr="00F05977">
              <w:rPr>
                <w:rFonts w:eastAsia="Times New Roman" w:cs="Arial"/>
                <w:b/>
                <w:bCs/>
                <w:noProof/>
                <w:color w:val="595959"/>
                <w:sz w:val="18"/>
                <w:szCs w:val="18"/>
                <w:lang w:val="en-US" w:eastAsia="en-GB"/>
              </w:rPr>
              <w:t xml:space="preserve"> </w:t>
            </w:r>
          </w:p>
          <w:p w14:paraId="3C7944F4" w14:textId="77777777" w:rsidR="00C505B1" w:rsidRPr="00734BDD" w:rsidRDefault="00C505B1" w:rsidP="00C505B1">
            <w:pPr>
              <w:spacing w:after="120" w:line="240" w:lineRule="auto"/>
              <w:jc w:val="both"/>
              <w:rPr>
                <w:rFonts w:eastAsia="Times New Roman" w:cs="Arial"/>
                <w:i/>
                <w:iCs/>
                <w:color w:val="595959"/>
                <w:sz w:val="16"/>
                <w:szCs w:val="16"/>
              </w:rPr>
            </w:pPr>
            <w:r w:rsidRPr="51F6A2C3">
              <w:rPr>
                <w:rFonts w:eastAsia="Times New Roman" w:cs="Arial"/>
                <w:i/>
                <w:iCs/>
                <w:color w:val="595959"/>
                <w:sz w:val="16"/>
                <w:szCs w:val="16"/>
              </w:rPr>
              <w:lastRenderedPageBreak/>
              <w:t xml:space="preserve">Highlight corrective actions taken as a result of EU monitoring activities (including follow-up to EU project reviews or feedback on previous periodic reports, if any). List each recommendation/comment and explain how they have been followed up. </w:t>
            </w:r>
          </w:p>
        </w:tc>
      </w:tr>
      <w:tr w:rsidR="00C505B1" w:rsidRPr="00B41F58" w14:paraId="34C24D2F" w14:textId="77777777" w:rsidTr="00C505B1">
        <w:trPr>
          <w:trHeight w:val="851"/>
        </w:trPr>
        <w:tc>
          <w:tcPr>
            <w:tcW w:w="8527" w:type="dxa"/>
            <w:shd w:val="clear" w:color="auto" w:fill="FFFFFF" w:themeFill="background1"/>
          </w:tcPr>
          <w:p w14:paraId="01B26B12" w14:textId="2A2486F7" w:rsidR="00C505B1" w:rsidRPr="000E11BE" w:rsidRDefault="000E11BE" w:rsidP="00980F10">
            <w:pPr>
              <w:spacing w:before="120" w:after="120"/>
              <w:jc w:val="both"/>
              <w:rPr>
                <w:rFonts w:eastAsia="Times New Roman" w:cs="Arial"/>
                <w:szCs w:val="20"/>
              </w:rPr>
            </w:pPr>
            <w:r w:rsidRPr="000E11BE">
              <w:rPr>
                <w:rFonts w:eastAsia="Calibri" w:cs="Arial"/>
                <w:szCs w:val="20"/>
              </w:rPr>
              <w:lastRenderedPageBreak/>
              <w:t>During the reporting period, no specific recommendations or corrective actions were issued by the European Commission, CINEA or the external monitoring team that would require follow-up by the consortium. The project consortium remains in regular communication with the granting authority and will address any recommendations that may arise during future monitoring activities, project reviews or reporting cycles.</w:t>
            </w:r>
          </w:p>
        </w:tc>
      </w:tr>
    </w:tbl>
    <w:p w14:paraId="1D17CE09" w14:textId="77777777" w:rsidR="00C505B1" w:rsidRDefault="00C505B1" w:rsidP="00C505B1">
      <w:r w:rsidRPr="00816DF2">
        <w:rPr>
          <w:rFonts w:cs="Arial"/>
          <w:noProof/>
          <w:color w:val="B5B5B5"/>
          <w:sz w:val="16"/>
          <w:szCs w:val="16"/>
        </w:rPr>
        <w:t>#</w:t>
      </w:r>
      <w:r>
        <w:rPr>
          <w:rFonts w:cs="Arial"/>
          <w:noProof/>
          <w:color w:val="B5B5B5"/>
          <w:sz w:val="16"/>
          <w:szCs w:val="16"/>
        </w:rPr>
        <w:t>§</w:t>
      </w:r>
      <w:r w:rsidRPr="00816DF2">
        <w:rPr>
          <w:rFonts w:cs="Arial"/>
          <w:noProof/>
          <w:color w:val="B5B5B5"/>
          <w:sz w:val="16"/>
          <w:szCs w:val="16"/>
        </w:rPr>
        <w:t>FOL-UP-FU</w:t>
      </w:r>
      <w:r>
        <w:rPr>
          <w:rFonts w:cs="Arial"/>
          <w:noProof/>
          <w:color w:val="B5B5B5"/>
          <w:sz w:val="16"/>
          <w:szCs w:val="16"/>
        </w:rPr>
        <w:t>§</w:t>
      </w:r>
      <w:r w:rsidRPr="00816DF2">
        <w:rPr>
          <w:rFonts w:cs="Arial"/>
          <w:noProof/>
          <w:color w:val="B5B5B5"/>
          <w:sz w:val="16"/>
          <w:szCs w:val="16"/>
        </w:rPr>
        <w:t>#</w:t>
      </w:r>
      <w:r>
        <w:rPr>
          <w:rFonts w:cs="Arial"/>
          <w:noProof/>
          <w:color w:val="B5B5B5"/>
          <w:sz w:val="16"/>
          <w:szCs w:val="16"/>
        </w:rPr>
        <w:t xml:space="preserve"> </w:t>
      </w:r>
      <w:r w:rsidRPr="000E722D">
        <w:rPr>
          <w:rFonts w:cs="Arial"/>
          <w:noProof/>
          <w:color w:val="B5B5B5"/>
          <w:sz w:val="16"/>
          <w:szCs w:val="16"/>
          <w:lang w:val="en-US"/>
        </w:rPr>
        <w:t>#</w:t>
      </w:r>
      <w:r>
        <w:rPr>
          <w:rFonts w:cs="Arial"/>
          <w:noProof/>
          <w:color w:val="B5B5B5"/>
          <w:sz w:val="16"/>
          <w:szCs w:val="16"/>
          <w:lang w:val="en-US"/>
        </w:rPr>
        <w:t>@</w:t>
      </w:r>
      <w:r w:rsidRPr="000E722D">
        <w:rPr>
          <w:rFonts w:cs="Arial"/>
          <w:noProof/>
          <w:color w:val="B5B5B5"/>
          <w:sz w:val="16"/>
          <w:szCs w:val="16"/>
          <w:lang w:val="en-US"/>
        </w:rPr>
        <w:t>ETH-ICS-EI</w:t>
      </w:r>
      <w:r>
        <w:rPr>
          <w:rFonts w:cs="Arial"/>
          <w:noProof/>
          <w:color w:val="B5B5B5"/>
          <w:sz w:val="16"/>
          <w:szCs w:val="16"/>
          <w:lang w:val="en-US"/>
        </w:rPr>
        <w:t>@</w:t>
      </w:r>
      <w:r w:rsidRPr="000E722D">
        <w:rPr>
          <w:rFonts w:cs="Arial"/>
          <w:noProof/>
          <w:color w:val="B5B5B5"/>
          <w:sz w:val="16"/>
          <w:szCs w:val="16"/>
          <w:lang w:val="en-US"/>
        </w:rPr>
        <w:t>#</w:t>
      </w:r>
    </w:p>
    <w:p w14:paraId="3547DE1A" w14:textId="77777777" w:rsidR="00082605" w:rsidRPr="00C24948" w:rsidRDefault="00C505B1" w:rsidP="00ED267E">
      <w:pPr>
        <w:pStyle w:val="Heading2"/>
      </w:pPr>
      <w:bookmarkStart w:id="103" w:name="_Toc227846987"/>
      <w:r>
        <w:t>6</w:t>
      </w:r>
      <w:r w:rsidR="00082605" w:rsidRPr="00C24948">
        <w:t>. OTHER</w:t>
      </w:r>
      <w:bookmarkEnd w:id="103"/>
    </w:p>
    <w:p w14:paraId="21205314" w14:textId="77777777" w:rsidR="00F05977" w:rsidRPr="006A4084" w:rsidRDefault="00C505B1" w:rsidP="00ED267E">
      <w:pPr>
        <w:pStyle w:val="Heading3"/>
      </w:pPr>
      <w:bookmarkStart w:id="104" w:name="_Toc227846988"/>
      <w:r>
        <w:t>6</w:t>
      </w:r>
      <w:r w:rsidR="00F05977" w:rsidRPr="00C24948">
        <w:t>.</w:t>
      </w:r>
      <w:r w:rsidR="004525CB" w:rsidRPr="00C24948">
        <w:t>1</w:t>
      </w:r>
      <w:r w:rsidR="00F05977" w:rsidRPr="00C24948">
        <w:t xml:space="preserve"> Ethics</w:t>
      </w:r>
      <w:bookmarkEnd w:id="78"/>
      <w:bookmarkEnd w:id="79"/>
      <w:bookmarkEnd w:id="104"/>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CD083A" w:rsidRPr="00F05977" w14:paraId="14AB74C3" w14:textId="77777777" w:rsidTr="00816DF2">
        <w:trPr>
          <w:trHeight w:val="432"/>
        </w:trPr>
        <w:tc>
          <w:tcPr>
            <w:tcW w:w="8527" w:type="dxa"/>
            <w:shd w:val="clear" w:color="auto" w:fill="D9D9D9" w:themeFill="background1" w:themeFillShade="D9"/>
          </w:tcPr>
          <w:p w14:paraId="701FF29D" w14:textId="77777777" w:rsidR="00CD083A" w:rsidRPr="005E5422" w:rsidRDefault="005E5422" w:rsidP="00CD083A">
            <w:pPr>
              <w:spacing w:before="120" w:after="120" w:line="240" w:lineRule="auto"/>
              <w:jc w:val="both"/>
              <w:rPr>
                <w:rFonts w:eastAsia="Times New Roman" w:cs="Arial"/>
                <w:b/>
                <w:bCs/>
                <w:i/>
                <w:noProof/>
                <w:color w:val="595959"/>
                <w:sz w:val="18"/>
                <w:szCs w:val="18"/>
                <w:lang w:val="en-US" w:eastAsia="en-GB"/>
              </w:rPr>
            </w:pPr>
            <w:r>
              <w:rPr>
                <w:rFonts w:eastAsia="Times New Roman" w:cs="Arial"/>
                <w:b/>
                <w:bCs/>
                <w:noProof/>
                <w:color w:val="595959"/>
                <w:sz w:val="18"/>
                <w:szCs w:val="18"/>
                <w:lang w:val="en-US" w:eastAsia="en-GB"/>
              </w:rPr>
              <w:t>Ethics</w:t>
            </w:r>
          </w:p>
        </w:tc>
      </w:tr>
      <w:tr w:rsidR="00CD083A" w:rsidRPr="00B41F58" w14:paraId="0F80AF60" w14:textId="77777777" w:rsidTr="00816DF2">
        <w:tblPrEx>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Ex>
        <w:tc>
          <w:tcPr>
            <w:tcW w:w="852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2F2F2" w:themeFill="background1" w:themeFillShade="F2"/>
          </w:tcPr>
          <w:p w14:paraId="30B69E28" w14:textId="77777777" w:rsidR="000E11BE" w:rsidRPr="000E11BE" w:rsidRDefault="000E11BE" w:rsidP="00980F10">
            <w:pPr>
              <w:tabs>
                <w:tab w:val="left" w:pos="-907"/>
                <w:tab w:val="left" w:pos="-187"/>
                <w:tab w:val="left" w:leader="dot" w:pos="5670"/>
              </w:tabs>
              <w:suppressAutoHyphens/>
              <w:spacing w:before="120" w:after="120"/>
              <w:jc w:val="both"/>
              <w:rPr>
                <w:rFonts w:eastAsia="Calibri" w:cs="Arial"/>
                <w:color w:val="595959"/>
                <w:szCs w:val="20"/>
                <w:lang w:val="en-US"/>
              </w:rPr>
            </w:pPr>
            <w:r w:rsidRPr="000E11BE">
              <w:rPr>
                <w:rFonts w:eastAsia="Calibri" w:cs="Arial"/>
                <w:color w:val="595959"/>
                <w:szCs w:val="20"/>
                <w:lang w:val="en-US"/>
              </w:rPr>
              <w:t>Not applicable.</w:t>
            </w:r>
          </w:p>
          <w:p w14:paraId="10AB1CE8" w14:textId="68DE4410" w:rsidR="00B13EF7" w:rsidRPr="000E11BE" w:rsidRDefault="000E11BE" w:rsidP="00980F10">
            <w:pPr>
              <w:tabs>
                <w:tab w:val="left" w:pos="-907"/>
                <w:tab w:val="left" w:pos="-187"/>
                <w:tab w:val="left" w:leader="dot" w:pos="5670"/>
              </w:tabs>
              <w:suppressAutoHyphens/>
              <w:spacing w:before="120" w:after="120"/>
              <w:jc w:val="both"/>
              <w:rPr>
                <w:rFonts w:eastAsia="Calibri" w:cs="Arial"/>
                <w:color w:val="595959"/>
                <w:szCs w:val="20"/>
              </w:rPr>
            </w:pPr>
            <w:r w:rsidRPr="000E11BE">
              <w:rPr>
                <w:rFonts w:eastAsia="Calibri" w:cs="Arial"/>
                <w:color w:val="595959"/>
                <w:szCs w:val="20"/>
                <w:lang w:val="en-US"/>
              </w:rPr>
              <w:t>The activities carried out during the reporting period did not raise any specific ethical issues and did not require ethics approvals or ethics-related authorisations. Any personal data processing that may have occurred was limited to standard project implementation, communication and management activities and was handled in accordance with the applicable data protection rules.</w:t>
            </w:r>
          </w:p>
        </w:tc>
      </w:tr>
    </w:tbl>
    <w:p w14:paraId="56D4A71A" w14:textId="77777777" w:rsidR="00F05977" w:rsidRPr="006A4084" w:rsidRDefault="00816DF2" w:rsidP="00816DF2">
      <w:pPr>
        <w:spacing w:line="240" w:lineRule="auto"/>
        <w:ind w:right="-342"/>
        <w:rPr>
          <w:rFonts w:eastAsia="Times New Roman" w:cs="Times New Roman"/>
          <w:i/>
          <w:color w:val="595959"/>
          <w:szCs w:val="24"/>
        </w:rPr>
      </w:pPr>
      <w:r w:rsidRPr="000E722D">
        <w:rPr>
          <w:rFonts w:cs="Arial"/>
          <w:noProof/>
          <w:color w:val="B5B5B5"/>
          <w:sz w:val="16"/>
          <w:szCs w:val="16"/>
          <w:lang w:val="en-US"/>
        </w:rPr>
        <w:t xml:space="preserve">#§ETH-ICS-EI§# #@SEC-URI-SU@#                                                                                                                                      </w:t>
      </w:r>
    </w:p>
    <w:p w14:paraId="371B773F" w14:textId="77777777" w:rsidR="004525CB" w:rsidRPr="006A4084" w:rsidRDefault="00C505B1" w:rsidP="00ED267E">
      <w:pPr>
        <w:pStyle w:val="Heading3"/>
      </w:pPr>
      <w:bookmarkStart w:id="105" w:name="_Toc227846989"/>
      <w:r>
        <w:t>6</w:t>
      </w:r>
      <w:r w:rsidR="004525CB" w:rsidRPr="00C24948">
        <w:t>.2</w:t>
      </w:r>
      <w:r w:rsidR="004525CB" w:rsidRPr="006A4084">
        <w:t xml:space="preserve"> Security</w:t>
      </w:r>
      <w:bookmarkEnd w:id="105"/>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611FA7" w:rsidRPr="00F05977" w14:paraId="16DF7447" w14:textId="77777777" w:rsidTr="00816DF2">
        <w:trPr>
          <w:trHeight w:val="432"/>
        </w:trPr>
        <w:tc>
          <w:tcPr>
            <w:tcW w:w="8527" w:type="dxa"/>
            <w:shd w:val="clear" w:color="auto" w:fill="D9D9D9" w:themeFill="background1" w:themeFillShade="D9"/>
          </w:tcPr>
          <w:p w14:paraId="33BA8DD2" w14:textId="77777777" w:rsidR="00611FA7" w:rsidRPr="005E5422" w:rsidRDefault="00611FA7" w:rsidP="00611FA7">
            <w:pPr>
              <w:spacing w:before="120" w:after="120" w:line="240" w:lineRule="auto"/>
              <w:jc w:val="both"/>
              <w:rPr>
                <w:rFonts w:eastAsia="Times New Roman" w:cs="Arial"/>
                <w:b/>
                <w:bCs/>
                <w:i/>
                <w:noProof/>
                <w:color w:val="595959"/>
                <w:sz w:val="18"/>
                <w:szCs w:val="18"/>
                <w:lang w:val="en-US" w:eastAsia="en-GB"/>
              </w:rPr>
            </w:pPr>
            <w:r w:rsidRPr="00F13C87">
              <w:rPr>
                <w:rFonts w:eastAsia="Times New Roman" w:cs="Arial"/>
                <w:b/>
                <w:bCs/>
                <w:noProof/>
                <w:color w:val="595959"/>
                <w:sz w:val="18"/>
                <w:szCs w:val="18"/>
                <w:lang w:val="en-US" w:eastAsia="en-GB"/>
              </w:rPr>
              <w:t>Security</w:t>
            </w:r>
          </w:p>
        </w:tc>
      </w:tr>
      <w:tr w:rsidR="00611FA7" w:rsidRPr="00B41F58" w14:paraId="65CAFE21" w14:textId="77777777" w:rsidTr="00816DF2">
        <w:tblPrEx>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Ex>
        <w:tc>
          <w:tcPr>
            <w:tcW w:w="852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2F2F2" w:themeFill="background1" w:themeFillShade="F2"/>
          </w:tcPr>
          <w:p w14:paraId="2E8EA729" w14:textId="77777777" w:rsidR="000E11BE" w:rsidRPr="000E11BE" w:rsidRDefault="000E11BE" w:rsidP="00980F10">
            <w:pPr>
              <w:tabs>
                <w:tab w:val="left" w:pos="-907"/>
                <w:tab w:val="left" w:pos="-187"/>
                <w:tab w:val="left" w:leader="dot" w:pos="5670"/>
              </w:tabs>
              <w:suppressAutoHyphens/>
              <w:spacing w:before="120" w:after="120"/>
              <w:jc w:val="both"/>
              <w:rPr>
                <w:rFonts w:eastAsia="Calibri" w:cs="Arial"/>
                <w:color w:val="595959"/>
                <w:szCs w:val="20"/>
                <w:lang w:val="en-US"/>
              </w:rPr>
            </w:pPr>
            <w:r w:rsidRPr="000E11BE">
              <w:rPr>
                <w:rFonts w:eastAsia="Calibri" w:cs="Arial"/>
                <w:color w:val="595959"/>
                <w:szCs w:val="20"/>
                <w:lang w:val="en-US"/>
              </w:rPr>
              <w:t>Not applicable.</w:t>
            </w:r>
          </w:p>
          <w:p w14:paraId="157C8A1C" w14:textId="31AF90B5" w:rsidR="00B13EF7" w:rsidRDefault="000E11BE" w:rsidP="00980F10">
            <w:pPr>
              <w:tabs>
                <w:tab w:val="left" w:pos="-907"/>
                <w:tab w:val="left" w:pos="-187"/>
                <w:tab w:val="left" w:leader="dot" w:pos="5670"/>
              </w:tabs>
              <w:suppressAutoHyphens/>
              <w:spacing w:before="120" w:after="120"/>
              <w:jc w:val="both"/>
              <w:rPr>
                <w:rFonts w:eastAsia="Calibri" w:cs="Arial"/>
                <w:color w:val="595959"/>
                <w:sz w:val="18"/>
                <w:szCs w:val="18"/>
              </w:rPr>
            </w:pPr>
            <w:r w:rsidRPr="000E11BE">
              <w:rPr>
                <w:rFonts w:eastAsia="Calibri" w:cs="Arial"/>
                <w:color w:val="595959"/>
                <w:szCs w:val="20"/>
                <w:lang w:val="en-US"/>
              </w:rPr>
              <w:t>The activities implemented during the reporting period did not involve security-sensitive information, infrastructures or technologies. Therefore, no specific security-related requirements applied.</w:t>
            </w:r>
          </w:p>
        </w:tc>
      </w:tr>
    </w:tbl>
    <w:p w14:paraId="37842D67" w14:textId="77777777" w:rsidR="00F05977" w:rsidRPr="00816DF2" w:rsidRDefault="00816DF2" w:rsidP="00816DF2">
      <w:pPr>
        <w:spacing w:line="240" w:lineRule="auto"/>
        <w:ind w:right="-342"/>
        <w:rPr>
          <w:rFonts w:eastAsia="Times New Roman" w:cs="Times New Roman"/>
          <w:i/>
          <w:color w:val="595959"/>
          <w:szCs w:val="24"/>
          <w:lang w:val="fr-BE"/>
        </w:rPr>
      </w:pPr>
      <w:r w:rsidRPr="000E722D">
        <w:rPr>
          <w:rFonts w:cs="Arial"/>
          <w:noProof/>
          <w:color w:val="B5B5B5"/>
          <w:sz w:val="16"/>
          <w:szCs w:val="16"/>
          <w:lang w:val="fr-BE"/>
        </w:rPr>
        <w:t xml:space="preserve">#§SEC-URI-SU§# #@DEC-LAR-DL@#                                                                                                                                  </w:t>
      </w:r>
    </w:p>
    <w:p w14:paraId="64CE9418" w14:textId="77777777" w:rsidR="00F05977" w:rsidRDefault="00C505B1" w:rsidP="00ED267E">
      <w:pPr>
        <w:pStyle w:val="Heading2"/>
      </w:pPr>
      <w:bookmarkStart w:id="106" w:name="_Toc495508582"/>
      <w:bookmarkStart w:id="107" w:name="_Toc495592696"/>
      <w:bookmarkStart w:id="108" w:name="_Toc227846990"/>
      <w:r>
        <w:t>7</w:t>
      </w:r>
      <w:r w:rsidR="00F05977" w:rsidRPr="00C24948">
        <w:t>.</w:t>
      </w:r>
      <w:r w:rsidR="00F05977" w:rsidRPr="51F6A2C3">
        <w:t xml:space="preserve"> </w:t>
      </w:r>
      <w:bookmarkEnd w:id="106"/>
      <w:bookmarkEnd w:id="107"/>
      <w:r w:rsidR="00F85D2C">
        <w:t>DECLARATIONS</w:t>
      </w:r>
      <w:bookmarkEnd w:id="108"/>
    </w:p>
    <w:p w14:paraId="64144817" w14:textId="200FAD29" w:rsidR="009F2974" w:rsidRPr="00635F7E" w:rsidRDefault="009F2974" w:rsidP="009F2974">
      <w:pPr>
        <w:rPr>
          <w:i/>
          <w:iCs/>
          <w:color w:val="4AA55B"/>
        </w:rPr>
      </w:pPr>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4A0" w:firstRow="1" w:lastRow="0" w:firstColumn="1" w:lastColumn="0" w:noHBand="0" w:noVBand="1"/>
      </w:tblPr>
      <w:tblGrid>
        <w:gridCol w:w="6840"/>
        <w:gridCol w:w="1687"/>
      </w:tblGrid>
      <w:tr w:rsidR="00014BE9" w:rsidRPr="00F05977" w14:paraId="2208C092" w14:textId="77777777" w:rsidTr="00816DF2">
        <w:tc>
          <w:tcPr>
            <w:tcW w:w="8527" w:type="dxa"/>
            <w:gridSpan w:val="2"/>
            <w:shd w:val="clear" w:color="auto" w:fill="D9D9D9" w:themeFill="background1" w:themeFillShade="D9"/>
          </w:tcPr>
          <w:p w14:paraId="791E7F5B" w14:textId="77777777" w:rsidR="00014BE9" w:rsidRPr="006A4084" w:rsidRDefault="00014BE9" w:rsidP="51F6A2C3">
            <w:pPr>
              <w:spacing w:before="120" w:after="120" w:line="240" w:lineRule="auto"/>
              <w:rPr>
                <w:rFonts w:eastAsia="Times New Roman" w:cs="Times New Roman"/>
                <w:b/>
                <w:bCs/>
                <w:lang w:eastAsia="en-GB"/>
              </w:rPr>
            </w:pPr>
            <w:r w:rsidRPr="51F6A2C3">
              <w:rPr>
                <w:rFonts w:eastAsia="Times New Roman" w:cs="Times New Roman"/>
                <w:b/>
                <w:bCs/>
                <w:sz w:val="18"/>
                <w:szCs w:val="18"/>
                <w:lang w:eastAsia="en-GB"/>
              </w:rPr>
              <w:t>Double funding</w:t>
            </w:r>
          </w:p>
        </w:tc>
      </w:tr>
      <w:tr w:rsidR="00F05977" w:rsidRPr="00F05977" w14:paraId="1DE3AF84" w14:textId="77777777" w:rsidTr="00816DF2">
        <w:tc>
          <w:tcPr>
            <w:tcW w:w="6840" w:type="dxa"/>
            <w:shd w:val="clear" w:color="auto" w:fill="D9D9D9" w:themeFill="background1" w:themeFillShade="D9"/>
          </w:tcPr>
          <w:p w14:paraId="44D053EA" w14:textId="77777777" w:rsidR="00F05977" w:rsidRPr="006A4084" w:rsidRDefault="00F05977" w:rsidP="51F6A2C3">
            <w:pPr>
              <w:spacing w:before="120" w:after="120" w:line="240" w:lineRule="auto"/>
              <w:rPr>
                <w:rFonts w:eastAsia="Times New Roman" w:cs="Times New Roman"/>
                <w:i/>
                <w:iCs/>
                <w:sz w:val="14"/>
                <w:szCs w:val="14"/>
                <w:lang w:eastAsia="en-GB"/>
              </w:rPr>
            </w:pPr>
            <w:r w:rsidRPr="51F6A2C3">
              <w:rPr>
                <w:rFonts w:eastAsia="Times New Roman" w:cs="Times New Roman"/>
                <w:b/>
                <w:bCs/>
                <w:sz w:val="18"/>
                <w:szCs w:val="18"/>
                <w:lang w:eastAsia="en-GB"/>
              </w:rPr>
              <w:t xml:space="preserve">Information concerning other EU grants for this project </w:t>
            </w:r>
          </w:p>
          <w:p w14:paraId="07301EAA" w14:textId="77777777" w:rsidR="008273AB" w:rsidRPr="006A4084" w:rsidRDefault="003A1398" w:rsidP="51F6A2C3">
            <w:pPr>
              <w:spacing w:after="120" w:line="240" w:lineRule="auto"/>
              <w:jc w:val="both"/>
              <w:rPr>
                <w:rFonts w:eastAsia="Times New Roman" w:cs="Times New Roman"/>
                <w:i/>
                <w:iCs/>
                <w:sz w:val="16"/>
                <w:szCs w:val="16"/>
                <w:lang w:eastAsia="en-GB"/>
              </w:rPr>
            </w:pPr>
            <w:r w:rsidRPr="006A4084">
              <w:rPr>
                <w:noProof/>
                <w:color w:val="0088CC"/>
                <w:sz w:val="18"/>
                <w:szCs w:val="18"/>
                <w:lang w:eastAsia="en-GB"/>
              </w:rPr>
              <w:drawing>
                <wp:inline distT="0" distB="0" distL="0" distR="0" wp14:anchorId="34DA617A" wp14:editId="38DA5E43">
                  <wp:extent cx="117475" cy="117475"/>
                  <wp:effectExtent l="0" t="0" r="0" b="0"/>
                  <wp:docPr id="33" name="Picture 33" descr="cid:image001.png@01D0B99B.7C10A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0B99B.7C10A74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475" cy="117475"/>
                          </a:xfrm>
                          <a:prstGeom prst="rect">
                            <a:avLst/>
                          </a:prstGeom>
                          <a:noFill/>
                          <a:ln>
                            <a:noFill/>
                          </a:ln>
                        </pic:spPr>
                      </pic:pic>
                    </a:graphicData>
                  </a:graphic>
                </wp:inline>
              </w:drawing>
            </w:r>
            <w:r w:rsidRPr="006A4084">
              <w:rPr>
                <w:rFonts w:eastAsia="Times New Roman" w:cs="Times New Roman"/>
                <w:noProof/>
                <w:sz w:val="18"/>
                <w:szCs w:val="18"/>
                <w:lang w:eastAsia="en-GB"/>
              </w:rPr>
              <w:t xml:space="preserve"> </w:t>
            </w:r>
            <w:r w:rsidRPr="51F6A2C3">
              <w:rPr>
                <w:rFonts w:eastAsia="Times New Roman" w:cs="Times New Roman"/>
                <w:i/>
                <w:iCs/>
                <w:noProof/>
                <w:sz w:val="16"/>
                <w:szCs w:val="16"/>
                <w:lang w:eastAsia="en-GB"/>
              </w:rPr>
              <w:t>Please note that there is a strict proh</w:t>
            </w:r>
            <w:r w:rsidR="00D477B1" w:rsidRPr="51F6A2C3">
              <w:rPr>
                <w:rFonts w:eastAsia="Times New Roman" w:cs="Times New Roman"/>
                <w:i/>
                <w:iCs/>
                <w:noProof/>
                <w:sz w:val="16"/>
                <w:szCs w:val="16"/>
                <w:lang w:eastAsia="en-GB"/>
              </w:rPr>
              <w:t>i</w:t>
            </w:r>
            <w:r w:rsidRPr="51F6A2C3">
              <w:rPr>
                <w:rFonts w:eastAsia="Times New Roman" w:cs="Times New Roman"/>
                <w:i/>
                <w:iCs/>
                <w:noProof/>
                <w:sz w:val="16"/>
                <w:szCs w:val="16"/>
                <w:lang w:eastAsia="en-GB"/>
              </w:rPr>
              <w:t>bition of d</w:t>
            </w:r>
            <w:r w:rsidRPr="51F6A2C3">
              <w:rPr>
                <w:rFonts w:eastAsia="Times New Roman" w:cs="Times New Roman"/>
                <w:i/>
                <w:iCs/>
                <w:sz w:val="16"/>
                <w:szCs w:val="16"/>
                <w:lang w:eastAsia="en-GB"/>
              </w:rPr>
              <w:t>ouble funding</w:t>
            </w:r>
            <w:r w:rsidR="00916211" w:rsidRPr="51F6A2C3">
              <w:rPr>
                <w:i/>
                <w:iCs/>
                <w:sz w:val="16"/>
                <w:szCs w:val="16"/>
                <w:lang w:eastAsia="en-GB"/>
              </w:rPr>
              <w:t xml:space="preserve"> from the EU budget</w:t>
            </w:r>
            <w:r w:rsidR="008273AB" w:rsidRPr="51F6A2C3">
              <w:rPr>
                <w:i/>
                <w:iCs/>
                <w:sz w:val="16"/>
                <w:szCs w:val="16"/>
                <w:lang w:eastAsia="en-GB"/>
              </w:rPr>
              <w:t xml:space="preserve"> (except under EU Synergies </w:t>
            </w:r>
            <w:r w:rsidR="003274DC" w:rsidRPr="51F6A2C3">
              <w:rPr>
                <w:i/>
                <w:iCs/>
                <w:sz w:val="16"/>
                <w:szCs w:val="16"/>
                <w:lang w:eastAsia="en-GB"/>
              </w:rPr>
              <w:t>actions).</w:t>
            </w:r>
          </w:p>
        </w:tc>
        <w:tc>
          <w:tcPr>
            <w:tcW w:w="1687" w:type="dxa"/>
            <w:shd w:val="clear" w:color="auto" w:fill="D9D9D9" w:themeFill="background1" w:themeFillShade="D9"/>
          </w:tcPr>
          <w:p w14:paraId="5C150D63" w14:textId="77777777" w:rsidR="00F05977" w:rsidRPr="00014BE9" w:rsidRDefault="00F05977" w:rsidP="00F05977">
            <w:pPr>
              <w:spacing w:line="240" w:lineRule="auto"/>
              <w:rPr>
                <w:rFonts w:eastAsia="Times New Roman" w:cs="Times New Roman"/>
                <w:b/>
                <w:szCs w:val="24"/>
                <w:lang w:eastAsia="en-GB"/>
              </w:rPr>
            </w:pPr>
          </w:p>
          <w:p w14:paraId="2EAF808F" w14:textId="77777777" w:rsidR="00F05977" w:rsidRPr="00014BE9" w:rsidRDefault="00F05977" w:rsidP="51F6A2C3">
            <w:pPr>
              <w:spacing w:after="0" w:line="240" w:lineRule="auto"/>
              <w:jc w:val="center"/>
              <w:rPr>
                <w:rFonts w:eastAsia="Times New Roman" w:cs="Times New Roman"/>
                <w:b/>
                <w:bCs/>
                <w:sz w:val="18"/>
                <w:szCs w:val="18"/>
                <w:lang w:eastAsia="en-GB"/>
              </w:rPr>
            </w:pPr>
            <w:r w:rsidRPr="51F6A2C3">
              <w:rPr>
                <w:rFonts w:eastAsia="Times New Roman" w:cs="Times New Roman"/>
                <w:b/>
                <w:bCs/>
                <w:sz w:val="18"/>
                <w:szCs w:val="18"/>
                <w:lang w:eastAsia="en-GB"/>
              </w:rPr>
              <w:t>YES</w:t>
            </w:r>
            <w:r w:rsidR="00617AB5" w:rsidRPr="51F6A2C3">
              <w:rPr>
                <w:rFonts w:eastAsia="Times New Roman" w:cs="Times New Roman"/>
                <w:b/>
                <w:bCs/>
                <w:sz w:val="18"/>
                <w:szCs w:val="18"/>
                <w:lang w:eastAsia="en-GB"/>
              </w:rPr>
              <w:t>/NO</w:t>
            </w:r>
          </w:p>
        </w:tc>
      </w:tr>
      <w:tr w:rsidR="00F05977" w:rsidRPr="00F05977" w14:paraId="569E70D9" w14:textId="77777777" w:rsidTr="00816DF2">
        <w:tc>
          <w:tcPr>
            <w:tcW w:w="6840" w:type="dxa"/>
            <w:shd w:val="clear" w:color="auto" w:fill="E6E6E6"/>
          </w:tcPr>
          <w:p w14:paraId="42D10BF5" w14:textId="77777777" w:rsidR="00F05977" w:rsidRPr="006A4084" w:rsidRDefault="00F05977" w:rsidP="003E2A8C">
            <w:pPr>
              <w:spacing w:before="120" w:after="120" w:line="240" w:lineRule="auto"/>
              <w:jc w:val="both"/>
              <w:rPr>
                <w:rFonts w:eastAsia="Times New Roman" w:cs="Times New Roman"/>
                <w:sz w:val="16"/>
                <w:szCs w:val="16"/>
                <w:lang w:eastAsia="en-GB"/>
              </w:rPr>
            </w:pPr>
            <w:r w:rsidRPr="006A4084">
              <w:rPr>
                <w:rFonts w:eastAsia="Times New Roman" w:cs="Times New Roman"/>
                <w:sz w:val="16"/>
                <w:szCs w:val="16"/>
                <w:lang w:eastAsia="en-GB"/>
              </w:rPr>
              <w:t xml:space="preserve">We confirm that to our best knowledge neither the project as a whole nor any parts of it </w:t>
            </w:r>
            <w:r w:rsidR="00021A00" w:rsidRPr="006A4084">
              <w:rPr>
                <w:rFonts w:eastAsia="Times New Roman" w:cs="Times New Roman"/>
                <w:sz w:val="16"/>
                <w:szCs w:val="16"/>
                <w:lang w:eastAsia="en-GB"/>
              </w:rPr>
              <w:t>benefit/</w:t>
            </w:r>
            <w:r w:rsidRPr="006A4084">
              <w:rPr>
                <w:rFonts w:eastAsia="Times New Roman" w:cs="Times New Roman"/>
                <w:sz w:val="16"/>
                <w:szCs w:val="16"/>
                <w:lang w:eastAsia="en-GB"/>
              </w:rPr>
              <w:t>have benefitted from any other EU grant</w:t>
            </w:r>
            <w:r w:rsidR="00DB179F" w:rsidRPr="006A4084">
              <w:rPr>
                <w:rFonts w:eastAsia="Times New Roman" w:cs="Times New Roman"/>
                <w:sz w:val="16"/>
                <w:szCs w:val="16"/>
                <w:lang w:eastAsia="en-GB"/>
              </w:rPr>
              <w:t xml:space="preserve"> </w:t>
            </w:r>
            <w:r w:rsidR="00DB179F" w:rsidRPr="51F6A2C3">
              <w:rPr>
                <w:i/>
                <w:iCs/>
                <w:sz w:val="16"/>
                <w:szCs w:val="16"/>
                <w:lang w:eastAsia="en-GB"/>
              </w:rPr>
              <w:t>(including EU funding managed by authorities in EU Member States or other funding bodies (e.g. U Regional Funds, EU Agricultural Funds, etc)</w:t>
            </w:r>
            <w:r w:rsidRPr="006A4084">
              <w:rPr>
                <w:rFonts w:eastAsia="Times New Roman" w:cs="Times New Roman"/>
                <w:sz w:val="16"/>
                <w:szCs w:val="16"/>
                <w:lang w:eastAsia="en-GB"/>
              </w:rPr>
              <w:t xml:space="preserve">. </w:t>
            </w:r>
            <w:r w:rsidR="00D53058" w:rsidRPr="006A4084">
              <w:rPr>
                <w:rFonts w:eastAsia="Times New Roman" w:cs="Times New Roman"/>
                <w:sz w:val="16"/>
                <w:szCs w:val="16"/>
                <w:lang w:eastAsia="en-GB"/>
              </w:rPr>
              <w:t xml:space="preserve">If NO, </w:t>
            </w:r>
            <w:r w:rsidR="00DB179F" w:rsidRPr="006A4084">
              <w:rPr>
                <w:rFonts w:eastAsia="Times New Roman" w:cs="Times New Roman"/>
                <w:sz w:val="16"/>
                <w:szCs w:val="16"/>
                <w:lang w:eastAsia="en-GB"/>
              </w:rPr>
              <w:t xml:space="preserve">explain and </w:t>
            </w:r>
            <w:r w:rsidR="00D53058" w:rsidRPr="006A4084">
              <w:rPr>
                <w:rFonts w:eastAsia="Times New Roman" w:cs="Times New Roman"/>
                <w:sz w:val="16"/>
                <w:szCs w:val="16"/>
                <w:lang w:eastAsia="en-GB"/>
              </w:rPr>
              <w:t>provide details</w:t>
            </w:r>
          </w:p>
        </w:tc>
        <w:tc>
          <w:tcPr>
            <w:tcW w:w="1687" w:type="dxa"/>
            <w:shd w:val="clear" w:color="auto" w:fill="FFFFFF" w:themeFill="background1"/>
          </w:tcPr>
          <w:p w14:paraId="68C487E6" w14:textId="7848629F" w:rsidR="00F05977" w:rsidRPr="000E11BE" w:rsidRDefault="000E11BE" w:rsidP="00F05977">
            <w:pPr>
              <w:spacing w:before="120" w:after="120" w:line="240" w:lineRule="auto"/>
              <w:rPr>
                <w:rFonts w:eastAsia="Times New Roman" w:cs="Times New Roman"/>
                <w:sz w:val="18"/>
                <w:szCs w:val="24"/>
                <w:lang w:val="en-US" w:eastAsia="en-GB"/>
              </w:rPr>
            </w:pPr>
            <w:r>
              <w:rPr>
                <w:rFonts w:eastAsia="Times New Roman" w:cs="Times New Roman"/>
                <w:sz w:val="18"/>
                <w:szCs w:val="24"/>
                <w:lang w:val="en-US" w:eastAsia="en-GB"/>
              </w:rPr>
              <w:t>YES</w:t>
            </w:r>
          </w:p>
        </w:tc>
      </w:tr>
      <w:tr w:rsidR="00F05977" w:rsidRPr="00F05977" w14:paraId="271478EE" w14:textId="77777777" w:rsidTr="00816DF2">
        <w:tc>
          <w:tcPr>
            <w:tcW w:w="68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tcPr>
          <w:p w14:paraId="175C1D0F" w14:textId="77777777" w:rsidR="00F05977" w:rsidRPr="006A4084" w:rsidRDefault="00F05977" w:rsidP="003E2A8C">
            <w:pPr>
              <w:spacing w:before="120" w:after="120" w:line="240" w:lineRule="auto"/>
              <w:jc w:val="both"/>
              <w:rPr>
                <w:rFonts w:eastAsia="Times New Roman" w:cs="Times New Roman"/>
                <w:sz w:val="16"/>
                <w:szCs w:val="16"/>
                <w:lang w:eastAsia="en-GB"/>
              </w:rPr>
            </w:pPr>
            <w:r w:rsidRPr="006A4084">
              <w:rPr>
                <w:rFonts w:eastAsia="Times New Roman" w:cs="Times New Roman"/>
                <w:sz w:val="16"/>
                <w:szCs w:val="16"/>
                <w:lang w:eastAsia="en-GB"/>
              </w:rPr>
              <w:t>We confirm that to our best knowledge neither the project as a whole nor any parts of it are (nor will be) submitted for any other EU grant</w:t>
            </w:r>
            <w:r w:rsidR="00DB179F" w:rsidRPr="006A4084">
              <w:rPr>
                <w:rFonts w:eastAsia="Times New Roman" w:cs="Times New Roman"/>
                <w:sz w:val="16"/>
                <w:szCs w:val="16"/>
                <w:lang w:eastAsia="en-GB"/>
              </w:rPr>
              <w:t xml:space="preserve"> </w:t>
            </w:r>
            <w:r w:rsidR="00DB179F" w:rsidRPr="51F6A2C3">
              <w:rPr>
                <w:i/>
                <w:iCs/>
                <w:sz w:val="16"/>
                <w:szCs w:val="16"/>
                <w:lang w:eastAsia="en-GB"/>
              </w:rPr>
              <w:t>(including EU funding managed by authorities in EU Member States or other funding bodies (e.g. EU Regional Funds, EU Agricultural Funds, etc)</w:t>
            </w:r>
            <w:r w:rsidR="00DB179F" w:rsidRPr="006A4084">
              <w:rPr>
                <w:rFonts w:eastAsia="Times New Roman" w:cs="Times New Roman"/>
                <w:sz w:val="16"/>
                <w:szCs w:val="16"/>
                <w:lang w:eastAsia="en-GB"/>
              </w:rPr>
              <w:t>.</w:t>
            </w:r>
            <w:r w:rsidRPr="006A4084">
              <w:rPr>
                <w:rFonts w:eastAsia="Times New Roman" w:cs="Times New Roman"/>
                <w:sz w:val="16"/>
                <w:szCs w:val="16"/>
                <w:lang w:eastAsia="en-GB"/>
              </w:rPr>
              <w:t xml:space="preserve"> </w:t>
            </w:r>
            <w:r w:rsidR="00D53058" w:rsidRPr="006A4084">
              <w:rPr>
                <w:rFonts w:eastAsia="Times New Roman" w:cs="Times New Roman"/>
                <w:sz w:val="16"/>
                <w:szCs w:val="16"/>
                <w:lang w:eastAsia="en-GB"/>
              </w:rPr>
              <w:t xml:space="preserve">If NO, </w:t>
            </w:r>
            <w:r w:rsidR="00DB179F" w:rsidRPr="006A4084">
              <w:rPr>
                <w:rFonts w:eastAsia="Times New Roman" w:cs="Times New Roman"/>
                <w:sz w:val="16"/>
                <w:szCs w:val="16"/>
                <w:lang w:eastAsia="en-GB"/>
              </w:rPr>
              <w:t xml:space="preserve">explain and </w:t>
            </w:r>
            <w:r w:rsidR="00D53058" w:rsidRPr="006A4084">
              <w:rPr>
                <w:rFonts w:eastAsia="Times New Roman" w:cs="Times New Roman"/>
                <w:sz w:val="16"/>
                <w:szCs w:val="16"/>
                <w:lang w:eastAsia="en-GB"/>
              </w:rPr>
              <w:t>provide details.</w:t>
            </w:r>
          </w:p>
        </w:tc>
        <w:tc>
          <w:tcPr>
            <w:tcW w:w="16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43D39553" w14:textId="1647907A" w:rsidR="00F05977" w:rsidRPr="000E11BE" w:rsidRDefault="000E11BE" w:rsidP="00F05977">
            <w:pPr>
              <w:spacing w:before="120" w:after="120" w:line="240" w:lineRule="auto"/>
              <w:rPr>
                <w:rFonts w:eastAsia="Times New Roman" w:cs="Times New Roman"/>
                <w:sz w:val="18"/>
                <w:szCs w:val="24"/>
                <w:lang w:val="en-US" w:eastAsia="en-GB"/>
              </w:rPr>
            </w:pPr>
            <w:r>
              <w:rPr>
                <w:rFonts w:eastAsia="Times New Roman" w:cs="Times New Roman"/>
                <w:sz w:val="18"/>
                <w:szCs w:val="24"/>
                <w:lang w:val="en-US" w:eastAsia="en-GB"/>
              </w:rPr>
              <w:t>YES</w:t>
            </w:r>
          </w:p>
        </w:tc>
      </w:tr>
    </w:tbl>
    <w:p w14:paraId="6097E1DC" w14:textId="039D9765" w:rsidR="00BC43C1" w:rsidRPr="00BC43C1" w:rsidRDefault="00816DF2" w:rsidP="00816DF2">
      <w:pPr>
        <w:spacing w:line="240" w:lineRule="auto"/>
        <w:ind w:right="-342"/>
        <w:rPr>
          <w:rFonts w:eastAsia="Times New Roman" w:cs="Times New Roman"/>
          <w:i/>
          <w:iCs/>
          <w:color w:val="595959"/>
          <w:lang w:eastAsia="en-GB"/>
        </w:rPr>
      </w:pPr>
      <w:r w:rsidRPr="000E722D">
        <w:rPr>
          <w:rFonts w:cs="Arial"/>
          <w:noProof/>
          <w:color w:val="B5B5B5"/>
          <w:sz w:val="16"/>
          <w:szCs w:val="16"/>
          <w:lang w:val="en-US"/>
        </w:rPr>
        <w:t xml:space="preserve">#§DEC-LAR-DL§#                                                                                                                                                                    </w:t>
      </w:r>
      <w:r w:rsidR="009F2974" w:rsidRPr="51F6A2C3">
        <w:rPr>
          <w:rFonts w:eastAsia="Times New Roman" w:cs="Times New Roman"/>
          <w:i/>
          <w:iCs/>
          <w:color w:val="4AA55B"/>
          <w:lang w:eastAsia="en-GB"/>
        </w:rPr>
        <w:t>]</w:t>
      </w:r>
      <w:bookmarkStart w:id="109" w:name="_Toc495592699"/>
      <w:bookmarkEnd w:id="109"/>
    </w:p>
    <w:p w14:paraId="3DC0A40A" w14:textId="77777777" w:rsidR="00A8725B" w:rsidRDefault="00A8725B" w:rsidP="00E4321F"/>
    <w:p w14:paraId="2261FBC9" w14:textId="77777777" w:rsidR="00E4321F" w:rsidRPr="00A8725B" w:rsidRDefault="00E4321F" w:rsidP="00E4321F"/>
    <w:tbl>
      <w:tblPr>
        <w:tblW w:w="87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101"/>
        <w:gridCol w:w="1701"/>
        <w:gridCol w:w="5953"/>
      </w:tblGrid>
      <w:tr w:rsidR="002D2F6E" w:rsidRPr="00110BC6" w14:paraId="71DA56FE" w14:textId="77777777" w:rsidTr="51F6A2C3">
        <w:tc>
          <w:tcPr>
            <w:tcW w:w="8755" w:type="dxa"/>
            <w:gridSpan w:val="3"/>
            <w:vAlign w:val="center"/>
          </w:tcPr>
          <w:p w14:paraId="240513EE" w14:textId="77777777" w:rsidR="002D2F6E" w:rsidRPr="00E80335" w:rsidRDefault="002D2F6E" w:rsidP="4D76D3B0">
            <w:pPr>
              <w:spacing w:after="0"/>
              <w:jc w:val="center"/>
              <w:rPr>
                <w:rFonts w:cs="Arial"/>
                <w:b/>
                <w:bCs/>
                <w:color w:val="4AA55B"/>
              </w:rPr>
            </w:pPr>
            <w:r>
              <w:rPr>
                <w:color w:val="4AA55B"/>
                <w:highlight w:val="yellow"/>
              </w:rPr>
              <w:br w:type="page"/>
            </w:r>
            <w:bookmarkStart w:id="110" w:name="_Toc498002775"/>
            <w:r w:rsidRPr="4D76D3B0">
              <w:rPr>
                <w:rFonts w:cs="Arial"/>
                <w:b/>
                <w:bCs/>
                <w:color w:val="4AA55B"/>
                <w:sz w:val="18"/>
                <w:szCs w:val="18"/>
                <w:lang w:eastAsia="en-GB"/>
              </w:rPr>
              <w:t>HISTORY OF CHANGES</w:t>
            </w:r>
            <w:bookmarkEnd w:id="110"/>
          </w:p>
        </w:tc>
      </w:tr>
      <w:tr w:rsidR="002D2F6E" w:rsidRPr="00110BC6" w14:paraId="26F45075" w14:textId="77777777" w:rsidTr="51F6A2C3">
        <w:trPr>
          <w:trHeight w:val="395"/>
        </w:trPr>
        <w:tc>
          <w:tcPr>
            <w:tcW w:w="1101" w:type="dxa"/>
            <w:vAlign w:val="center"/>
          </w:tcPr>
          <w:p w14:paraId="60483DB1" w14:textId="77777777" w:rsidR="002D2F6E" w:rsidRPr="00110BC6" w:rsidRDefault="002D2F6E" w:rsidP="51F6A2C3">
            <w:pPr>
              <w:spacing w:after="0"/>
              <w:jc w:val="center"/>
              <w:rPr>
                <w:rFonts w:cs="Arial"/>
                <w:color w:val="4AA55B"/>
              </w:rPr>
            </w:pPr>
            <w:r w:rsidRPr="51F6A2C3">
              <w:rPr>
                <w:rFonts w:cs="Arial"/>
                <w:color w:val="4AA55B"/>
                <w:sz w:val="18"/>
                <w:szCs w:val="18"/>
                <w:lang w:eastAsia="en-GB"/>
              </w:rPr>
              <w:t>VERSION</w:t>
            </w:r>
          </w:p>
        </w:tc>
        <w:tc>
          <w:tcPr>
            <w:tcW w:w="1701" w:type="dxa"/>
            <w:vAlign w:val="center"/>
          </w:tcPr>
          <w:p w14:paraId="4E738D09" w14:textId="77777777" w:rsidR="002D2F6E" w:rsidRPr="00110BC6" w:rsidRDefault="002D2F6E" w:rsidP="51F6A2C3">
            <w:pPr>
              <w:spacing w:after="0"/>
              <w:jc w:val="center"/>
              <w:rPr>
                <w:rFonts w:cs="Arial"/>
                <w:color w:val="4AA55B"/>
              </w:rPr>
            </w:pPr>
            <w:bookmarkStart w:id="111" w:name="_Toc498002776"/>
            <w:r w:rsidRPr="51F6A2C3">
              <w:rPr>
                <w:rFonts w:cs="Arial"/>
                <w:color w:val="4AA55B"/>
                <w:sz w:val="18"/>
                <w:szCs w:val="18"/>
                <w:lang w:eastAsia="en-GB"/>
              </w:rPr>
              <w:t>PUBLICATION  DATE</w:t>
            </w:r>
            <w:bookmarkEnd w:id="111"/>
          </w:p>
        </w:tc>
        <w:tc>
          <w:tcPr>
            <w:tcW w:w="5953" w:type="dxa"/>
            <w:vAlign w:val="center"/>
          </w:tcPr>
          <w:p w14:paraId="41F67506" w14:textId="77777777" w:rsidR="002D2F6E" w:rsidRPr="00110BC6" w:rsidRDefault="002D2F6E" w:rsidP="51F6A2C3">
            <w:pPr>
              <w:spacing w:after="0"/>
              <w:jc w:val="center"/>
              <w:rPr>
                <w:rFonts w:cs="Arial"/>
                <w:color w:val="4AA55B"/>
              </w:rPr>
            </w:pPr>
            <w:bookmarkStart w:id="112" w:name="_Toc498002777"/>
            <w:r w:rsidRPr="51F6A2C3">
              <w:rPr>
                <w:rFonts w:cs="Arial"/>
                <w:color w:val="4AA55B"/>
                <w:sz w:val="18"/>
                <w:szCs w:val="18"/>
                <w:lang w:eastAsia="en-GB"/>
              </w:rPr>
              <w:t>CHANGE</w:t>
            </w:r>
            <w:bookmarkEnd w:id="112"/>
          </w:p>
        </w:tc>
      </w:tr>
      <w:tr w:rsidR="002D2F6E" w:rsidRPr="00110BC6" w14:paraId="2473B4CC" w14:textId="77777777" w:rsidTr="51F6A2C3">
        <w:tc>
          <w:tcPr>
            <w:tcW w:w="1101" w:type="dxa"/>
          </w:tcPr>
          <w:p w14:paraId="05BF53DA" w14:textId="77777777" w:rsidR="002D2F6E" w:rsidRPr="00110BC6" w:rsidRDefault="002D2F6E" w:rsidP="51F6A2C3">
            <w:pPr>
              <w:spacing w:after="0"/>
              <w:jc w:val="center"/>
              <w:rPr>
                <w:rFonts w:cs="Arial"/>
                <w:color w:val="4AA55B"/>
                <w:sz w:val="18"/>
                <w:szCs w:val="18"/>
                <w:lang w:eastAsia="en-GB"/>
              </w:rPr>
            </w:pPr>
            <w:r w:rsidRPr="51F6A2C3">
              <w:rPr>
                <w:rFonts w:cs="Arial"/>
                <w:color w:val="4AA55B"/>
                <w:sz w:val="18"/>
                <w:szCs w:val="18"/>
                <w:lang w:eastAsia="en-GB"/>
              </w:rPr>
              <w:t>1.0</w:t>
            </w:r>
          </w:p>
        </w:tc>
        <w:tc>
          <w:tcPr>
            <w:tcW w:w="1701" w:type="dxa"/>
          </w:tcPr>
          <w:p w14:paraId="18008047" w14:textId="2D929566" w:rsidR="002D2F6E" w:rsidRPr="009234FA" w:rsidRDefault="009234FA" w:rsidP="51F6A2C3">
            <w:pPr>
              <w:spacing w:after="0"/>
              <w:jc w:val="center"/>
              <w:rPr>
                <w:rFonts w:cs="Arial"/>
                <w:color w:val="4AA55B"/>
                <w:sz w:val="18"/>
                <w:szCs w:val="18"/>
                <w:lang w:val="el-GR" w:eastAsia="en-GB"/>
              </w:rPr>
            </w:pPr>
            <w:r>
              <w:rPr>
                <w:rFonts w:cs="Arial"/>
                <w:bCs/>
                <w:iCs/>
                <w:color w:val="4AA55B"/>
                <w:sz w:val="18"/>
                <w:szCs w:val="18"/>
                <w:lang w:val="el-GR" w:eastAsia="en-GB"/>
              </w:rPr>
              <w:t>14</w:t>
            </w:r>
            <w:r w:rsidR="003D3A08" w:rsidRPr="008622D0">
              <w:rPr>
                <w:rFonts w:cs="Arial"/>
                <w:bCs/>
                <w:iCs/>
                <w:color w:val="4AA55B"/>
                <w:sz w:val="18"/>
                <w:szCs w:val="18"/>
                <w:lang w:eastAsia="en-GB"/>
              </w:rPr>
              <w:t>.</w:t>
            </w:r>
            <w:r w:rsidR="003D3A08">
              <w:rPr>
                <w:rFonts w:cs="Arial"/>
                <w:bCs/>
                <w:iCs/>
                <w:color w:val="4AA55B"/>
                <w:sz w:val="18"/>
                <w:szCs w:val="18"/>
                <w:lang w:eastAsia="en-GB"/>
              </w:rPr>
              <w:t>0</w:t>
            </w:r>
            <w:r>
              <w:rPr>
                <w:rFonts w:cs="Arial"/>
                <w:bCs/>
                <w:iCs/>
                <w:color w:val="4AA55B"/>
                <w:sz w:val="18"/>
                <w:szCs w:val="18"/>
                <w:lang w:val="el-GR" w:eastAsia="en-GB"/>
              </w:rPr>
              <w:t>3</w:t>
            </w:r>
            <w:r w:rsidR="003D3A08" w:rsidRPr="008622D0">
              <w:rPr>
                <w:rFonts w:cs="Arial"/>
                <w:bCs/>
                <w:iCs/>
                <w:color w:val="4AA55B"/>
                <w:sz w:val="18"/>
                <w:szCs w:val="18"/>
                <w:lang w:eastAsia="en-GB"/>
              </w:rPr>
              <w:t>.202</w:t>
            </w:r>
            <w:r>
              <w:rPr>
                <w:rFonts w:cs="Arial"/>
                <w:bCs/>
                <w:iCs/>
                <w:color w:val="4AA55B"/>
                <w:sz w:val="18"/>
                <w:szCs w:val="18"/>
                <w:lang w:val="el-GR" w:eastAsia="en-GB"/>
              </w:rPr>
              <w:t>6</w:t>
            </w:r>
          </w:p>
        </w:tc>
        <w:tc>
          <w:tcPr>
            <w:tcW w:w="5953" w:type="dxa"/>
          </w:tcPr>
          <w:p w14:paraId="6645F277" w14:textId="77777777" w:rsidR="002D2F6E" w:rsidRPr="00110BC6" w:rsidRDefault="002D2F6E" w:rsidP="51F6A2C3">
            <w:pPr>
              <w:spacing w:after="0"/>
              <w:rPr>
                <w:rFonts w:cs="Arial"/>
                <w:color w:val="4AA55B"/>
                <w:sz w:val="18"/>
                <w:szCs w:val="18"/>
                <w:lang w:eastAsia="en-GB"/>
              </w:rPr>
            </w:pPr>
            <w:bookmarkStart w:id="113" w:name="_Toc498002779"/>
            <w:r w:rsidRPr="51F6A2C3">
              <w:rPr>
                <w:rFonts w:cs="Arial"/>
                <w:color w:val="4AA55B"/>
                <w:sz w:val="18"/>
                <w:szCs w:val="18"/>
                <w:lang w:eastAsia="en-GB"/>
              </w:rPr>
              <w:t>Initial version</w:t>
            </w:r>
            <w:r w:rsidR="00D366C1" w:rsidRPr="51F6A2C3">
              <w:rPr>
                <w:rFonts w:cs="Arial"/>
                <w:color w:val="4AA55B"/>
                <w:sz w:val="18"/>
                <w:szCs w:val="18"/>
                <w:lang w:eastAsia="en-GB"/>
              </w:rPr>
              <w:t xml:space="preserve"> (new MFF)</w:t>
            </w:r>
            <w:r w:rsidRPr="51F6A2C3">
              <w:rPr>
                <w:rFonts w:cs="Arial"/>
                <w:color w:val="4AA55B"/>
                <w:sz w:val="18"/>
                <w:szCs w:val="18"/>
                <w:lang w:eastAsia="en-GB"/>
              </w:rPr>
              <w:t>.</w:t>
            </w:r>
            <w:bookmarkEnd w:id="113"/>
          </w:p>
        </w:tc>
      </w:tr>
      <w:tr w:rsidR="00AF2ECC" w:rsidRPr="00110BC6" w14:paraId="5501CAEC" w14:textId="77777777" w:rsidTr="51F6A2C3">
        <w:tc>
          <w:tcPr>
            <w:tcW w:w="1101" w:type="dxa"/>
          </w:tcPr>
          <w:p w14:paraId="05EBA95D" w14:textId="77777777" w:rsidR="00AF2ECC" w:rsidRPr="00110BC6" w:rsidRDefault="00AF2ECC" w:rsidP="00AF2ECC">
            <w:pPr>
              <w:spacing w:after="0"/>
              <w:jc w:val="center"/>
              <w:rPr>
                <w:rFonts w:cs="Arial"/>
                <w:bCs/>
                <w:iCs/>
                <w:color w:val="4AA55B"/>
                <w:sz w:val="18"/>
                <w:szCs w:val="18"/>
                <w:lang w:eastAsia="en-GB"/>
              </w:rPr>
            </w:pPr>
            <w:r>
              <w:rPr>
                <w:rFonts w:cs="Arial"/>
                <w:bCs/>
                <w:iCs/>
                <w:color w:val="4AA55B"/>
                <w:sz w:val="18"/>
                <w:szCs w:val="18"/>
                <w:lang w:eastAsia="en-GB"/>
              </w:rPr>
              <w:t>2.0</w:t>
            </w:r>
          </w:p>
        </w:tc>
        <w:tc>
          <w:tcPr>
            <w:tcW w:w="1701" w:type="dxa"/>
          </w:tcPr>
          <w:p w14:paraId="3CCD118D" w14:textId="77777777" w:rsidR="00AF2ECC" w:rsidRPr="00110BC6" w:rsidRDefault="00AF2ECC" w:rsidP="00AF2ECC">
            <w:pPr>
              <w:spacing w:after="0"/>
              <w:jc w:val="center"/>
              <w:rPr>
                <w:rFonts w:cs="Arial"/>
                <w:bCs/>
                <w:iCs/>
                <w:color w:val="4AA55B"/>
                <w:sz w:val="18"/>
                <w:szCs w:val="18"/>
                <w:lang w:eastAsia="en-GB"/>
              </w:rPr>
            </w:pPr>
            <w:r>
              <w:rPr>
                <w:rFonts w:cs="Arial"/>
                <w:bCs/>
                <w:iCs/>
                <w:color w:val="4AA55B"/>
                <w:sz w:val="18"/>
                <w:szCs w:val="18"/>
                <w:lang w:eastAsia="en-GB"/>
              </w:rPr>
              <w:t>01.12.2024</w:t>
            </w:r>
          </w:p>
        </w:tc>
        <w:tc>
          <w:tcPr>
            <w:tcW w:w="5953" w:type="dxa"/>
          </w:tcPr>
          <w:p w14:paraId="222733FA" w14:textId="77777777" w:rsidR="00AF2ECC" w:rsidRPr="00110BC6" w:rsidRDefault="00AF2ECC" w:rsidP="00AF2ECC">
            <w:pPr>
              <w:spacing w:after="0"/>
              <w:rPr>
                <w:rFonts w:cs="Arial"/>
                <w:bCs/>
                <w:iCs/>
                <w:color w:val="4AA55B"/>
                <w:sz w:val="18"/>
                <w:szCs w:val="18"/>
                <w:lang w:eastAsia="en-GB"/>
              </w:rPr>
            </w:pPr>
            <w:r>
              <w:rPr>
                <w:rFonts w:cs="Arial"/>
                <w:bCs/>
                <w:iCs/>
                <w:color w:val="4AA55B"/>
                <w:sz w:val="18"/>
                <w:szCs w:val="18"/>
                <w:lang w:eastAsia="en-GB"/>
              </w:rPr>
              <w:t>Small corrections in the instructions in sections 2.2 and 3.1.</w:t>
            </w:r>
          </w:p>
        </w:tc>
      </w:tr>
      <w:tr w:rsidR="002D2F6E" w:rsidRPr="00110BC6" w14:paraId="7F6B59F0" w14:textId="77777777" w:rsidTr="51F6A2C3">
        <w:tc>
          <w:tcPr>
            <w:tcW w:w="1101" w:type="dxa"/>
          </w:tcPr>
          <w:p w14:paraId="40D2960D" w14:textId="77777777" w:rsidR="002D2F6E" w:rsidRPr="00110BC6" w:rsidRDefault="002D2F6E" w:rsidP="00197CCA">
            <w:pPr>
              <w:spacing w:after="0"/>
              <w:jc w:val="center"/>
              <w:rPr>
                <w:rFonts w:cs="Arial"/>
                <w:bCs/>
                <w:iCs/>
                <w:color w:val="4AA55B"/>
                <w:sz w:val="18"/>
                <w:szCs w:val="18"/>
                <w:lang w:eastAsia="en-GB"/>
              </w:rPr>
            </w:pPr>
          </w:p>
        </w:tc>
        <w:tc>
          <w:tcPr>
            <w:tcW w:w="1701" w:type="dxa"/>
          </w:tcPr>
          <w:p w14:paraId="69D35426" w14:textId="77777777" w:rsidR="002D2F6E" w:rsidRPr="00110BC6" w:rsidRDefault="002D2F6E" w:rsidP="00197CCA">
            <w:pPr>
              <w:spacing w:after="0"/>
              <w:jc w:val="center"/>
              <w:rPr>
                <w:rFonts w:cs="Arial"/>
                <w:bCs/>
                <w:iCs/>
                <w:color w:val="4AA55B"/>
                <w:sz w:val="18"/>
                <w:szCs w:val="18"/>
                <w:lang w:eastAsia="en-GB"/>
              </w:rPr>
            </w:pPr>
          </w:p>
        </w:tc>
        <w:tc>
          <w:tcPr>
            <w:tcW w:w="5953" w:type="dxa"/>
          </w:tcPr>
          <w:p w14:paraId="6B50376E" w14:textId="77777777" w:rsidR="002D2F6E" w:rsidRPr="00110BC6" w:rsidRDefault="002D2F6E" w:rsidP="00197CCA">
            <w:pPr>
              <w:spacing w:after="0"/>
              <w:rPr>
                <w:rFonts w:cs="Arial"/>
                <w:bCs/>
                <w:iCs/>
                <w:color w:val="4AA55B"/>
                <w:sz w:val="18"/>
                <w:szCs w:val="18"/>
                <w:lang w:eastAsia="en-GB"/>
              </w:rPr>
            </w:pPr>
          </w:p>
        </w:tc>
      </w:tr>
      <w:tr w:rsidR="002D2F6E" w:rsidRPr="00110BC6" w14:paraId="26CD1E2D" w14:textId="77777777" w:rsidTr="51F6A2C3">
        <w:tc>
          <w:tcPr>
            <w:tcW w:w="1101" w:type="dxa"/>
          </w:tcPr>
          <w:p w14:paraId="54664A71" w14:textId="77777777" w:rsidR="002D2F6E" w:rsidRPr="00110BC6" w:rsidRDefault="002D2F6E" w:rsidP="00197CCA">
            <w:pPr>
              <w:spacing w:after="0"/>
              <w:jc w:val="center"/>
              <w:rPr>
                <w:rFonts w:cs="Arial"/>
                <w:bCs/>
                <w:iCs/>
                <w:color w:val="4AA55B"/>
                <w:sz w:val="18"/>
                <w:szCs w:val="18"/>
                <w:lang w:eastAsia="en-GB"/>
              </w:rPr>
            </w:pPr>
          </w:p>
        </w:tc>
        <w:tc>
          <w:tcPr>
            <w:tcW w:w="1701" w:type="dxa"/>
          </w:tcPr>
          <w:p w14:paraId="7342AD6F" w14:textId="77777777" w:rsidR="002D2F6E" w:rsidRPr="00110BC6" w:rsidRDefault="002D2F6E" w:rsidP="00197CCA">
            <w:pPr>
              <w:spacing w:after="0"/>
              <w:jc w:val="center"/>
              <w:rPr>
                <w:rFonts w:cs="Arial"/>
                <w:bCs/>
                <w:iCs/>
                <w:color w:val="4AA55B"/>
                <w:sz w:val="18"/>
                <w:szCs w:val="18"/>
                <w:lang w:eastAsia="en-GB"/>
              </w:rPr>
            </w:pPr>
          </w:p>
        </w:tc>
        <w:tc>
          <w:tcPr>
            <w:tcW w:w="5953" w:type="dxa"/>
          </w:tcPr>
          <w:p w14:paraId="60047A1A" w14:textId="77777777" w:rsidR="002D2F6E" w:rsidRPr="00110BC6" w:rsidRDefault="002D2F6E" w:rsidP="00197CCA">
            <w:pPr>
              <w:spacing w:after="0"/>
              <w:rPr>
                <w:rFonts w:cs="Arial"/>
                <w:bCs/>
                <w:iCs/>
                <w:color w:val="4AA55B"/>
                <w:sz w:val="18"/>
                <w:szCs w:val="18"/>
                <w:lang w:eastAsia="en-GB"/>
              </w:rPr>
            </w:pPr>
          </w:p>
        </w:tc>
      </w:tr>
      <w:tr w:rsidR="002D2F6E" w:rsidRPr="00110BC6" w14:paraId="69647DC3" w14:textId="77777777" w:rsidTr="51F6A2C3">
        <w:tc>
          <w:tcPr>
            <w:tcW w:w="1101" w:type="dxa"/>
          </w:tcPr>
          <w:p w14:paraId="260B58F3" w14:textId="77777777" w:rsidR="002D2F6E" w:rsidRPr="00110BC6" w:rsidRDefault="002D2F6E" w:rsidP="00197CCA">
            <w:pPr>
              <w:spacing w:after="0"/>
              <w:jc w:val="center"/>
              <w:rPr>
                <w:rFonts w:cs="Arial"/>
                <w:bCs/>
                <w:iCs/>
                <w:color w:val="4AA55B"/>
                <w:sz w:val="18"/>
                <w:szCs w:val="18"/>
                <w:lang w:eastAsia="en-GB"/>
              </w:rPr>
            </w:pPr>
          </w:p>
        </w:tc>
        <w:tc>
          <w:tcPr>
            <w:tcW w:w="1701" w:type="dxa"/>
          </w:tcPr>
          <w:p w14:paraId="1C602963" w14:textId="77777777" w:rsidR="002D2F6E" w:rsidRPr="00110BC6" w:rsidRDefault="002D2F6E" w:rsidP="00197CCA">
            <w:pPr>
              <w:spacing w:after="0"/>
              <w:jc w:val="center"/>
              <w:rPr>
                <w:rFonts w:cs="Arial"/>
                <w:bCs/>
                <w:iCs/>
                <w:color w:val="4AA55B"/>
                <w:sz w:val="18"/>
                <w:szCs w:val="18"/>
                <w:lang w:eastAsia="en-GB"/>
              </w:rPr>
            </w:pPr>
          </w:p>
        </w:tc>
        <w:tc>
          <w:tcPr>
            <w:tcW w:w="5953" w:type="dxa"/>
          </w:tcPr>
          <w:p w14:paraId="30207CE7" w14:textId="77777777" w:rsidR="002D2F6E" w:rsidRPr="00110BC6" w:rsidRDefault="002D2F6E" w:rsidP="00197CCA">
            <w:pPr>
              <w:spacing w:after="0"/>
              <w:rPr>
                <w:rFonts w:cs="Arial"/>
                <w:bCs/>
                <w:iCs/>
                <w:color w:val="4AA55B"/>
                <w:sz w:val="18"/>
                <w:szCs w:val="18"/>
                <w:lang w:eastAsia="en-GB"/>
              </w:rPr>
            </w:pPr>
          </w:p>
        </w:tc>
      </w:tr>
    </w:tbl>
    <w:p w14:paraId="4F39857E" w14:textId="376DE674" w:rsidR="00BA48DC" w:rsidRPr="00BB4C28" w:rsidRDefault="00BA48DC" w:rsidP="005E5422"/>
    <w:sectPr w:rsidR="00BA48DC" w:rsidRPr="00BB4C28" w:rsidSect="001F1D2C">
      <w:headerReference w:type="even" r:id="rId45"/>
      <w:headerReference w:type="first" r:id="rId46"/>
      <w:pgSz w:w="11906" w:h="16838"/>
      <w:pgMar w:top="1560" w:right="1588" w:bottom="1276" w:left="158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3" w:author="user" w:date="2026-04-22T17:01:00Z" w:initials="u">
    <w:p w14:paraId="1533F131" w14:textId="77777777" w:rsidR="00A23CBC" w:rsidRPr="0005083B" w:rsidRDefault="00A23CBC" w:rsidP="00A23CBC">
      <w:pPr>
        <w:pStyle w:val="Heading2"/>
        <w:rPr>
          <w:rFonts w:ascii="Times New Roman" w:hAnsi="Times New Roman"/>
          <w:color w:val="auto"/>
          <w:lang w:val="en-US"/>
        </w:rPr>
      </w:pPr>
      <w:r>
        <w:rPr>
          <w:rStyle w:val="CommentReference"/>
        </w:rPr>
        <w:annotationRef/>
      </w:r>
      <w:r w:rsidRPr="00A23CBC">
        <w:rPr>
          <w:lang w:val="el-GR"/>
        </w:rPr>
        <w:t>Σχόλιο</w:t>
      </w:r>
      <w:r w:rsidRPr="0005083B">
        <w:rPr>
          <w:lang w:val="en-US"/>
        </w:rPr>
        <w:t xml:space="preserve"> </w:t>
      </w:r>
      <w:r w:rsidRPr="00A23CBC">
        <w:rPr>
          <w:lang w:val="el-GR"/>
        </w:rPr>
        <w:t>προς</w:t>
      </w:r>
      <w:r w:rsidRPr="0005083B">
        <w:rPr>
          <w:lang w:val="en-US"/>
        </w:rPr>
        <w:t xml:space="preserve"> </w:t>
      </w:r>
      <w:r>
        <w:t>Kelemenis</w:t>
      </w:r>
    </w:p>
    <w:p w14:paraId="04B8A5B1" w14:textId="77777777" w:rsidR="00A23CBC" w:rsidRDefault="00A23CBC" w:rsidP="00A23CBC">
      <w:pPr>
        <w:pStyle w:val="NormalWeb"/>
      </w:pPr>
      <w:r>
        <w:rPr>
          <w:rStyle w:val="Strong"/>
        </w:rPr>
        <w:t>Παρακαλούμε να ελέγξετε ιδίως τη διατύπωση που αφορά τη νομική μορφή της ΥΜΣ, τις θεσμικές/διοικητικές δυσκολίες που εξακολουθούν να υφίστανται, τις εναλλακτικές που εξετάστηκαν και τη σύνδεσή τους με τη συγκρότηση του Governing Board. Αν κρίνετε ότι χρειάζεται πιο ακριβής ή πιο προσεκτική νομική διατύπωση, παρακαλούμε να προταθεί.</w:t>
      </w:r>
    </w:p>
    <w:p w14:paraId="27CB9EB3" w14:textId="3AB93651" w:rsidR="00A23CBC" w:rsidRPr="00A23CBC" w:rsidRDefault="00A23CBC">
      <w:pPr>
        <w:pStyle w:val="CommentText"/>
        <w:rPr>
          <w:lang w:val="el-GR"/>
        </w:rPr>
      </w:pPr>
    </w:p>
  </w:comment>
  <w:comment w:id="47" w:author="user" w:date="2026-03-13T11:56:00Z" w:initials="u">
    <w:p w14:paraId="7E3D6DFD" w14:textId="37CEC3B1" w:rsidR="000D3F05" w:rsidRDefault="000D3F05">
      <w:pPr>
        <w:pStyle w:val="CommentText"/>
      </w:pPr>
      <w:r>
        <w:rPr>
          <w:rStyle w:val="CommentReference"/>
        </w:rPr>
        <w:annotationRef/>
      </w:r>
      <w:r w:rsidR="00523C4F" w:rsidRPr="00523C4F">
        <w:rPr>
          <w:rFonts w:eastAsia="Times New Roman" w:cs="Arial"/>
          <w:color w:val="595959"/>
          <w:sz w:val="18"/>
          <w:szCs w:val="18"/>
        </w:rPr>
        <w:t>Epirus Bank, NTUA, EUDITI, CRES, Kelemenis</w:t>
      </w:r>
    </w:p>
  </w:comment>
  <w:comment w:id="48" w:author="user" w:date="2026-03-13T11:56:00Z" w:initials="u">
    <w:p w14:paraId="5DFCD35F" w14:textId="6CFC74C1" w:rsidR="000D3F05" w:rsidRDefault="000D3F05">
      <w:pPr>
        <w:pStyle w:val="CommentText"/>
      </w:pPr>
      <w:r>
        <w:rPr>
          <w:rStyle w:val="CommentReference"/>
        </w:rPr>
        <w:annotationRef/>
      </w:r>
      <w:r>
        <w:t>EUDITI, Epirus Bank Kelemenis</w:t>
      </w:r>
    </w:p>
  </w:comment>
  <w:comment w:id="49" w:author="user" w:date="2026-03-13T11:57:00Z" w:initials="u">
    <w:p w14:paraId="322651D2" w14:textId="02FE58F3" w:rsidR="000D3F05" w:rsidRDefault="000D3F05">
      <w:pPr>
        <w:pStyle w:val="CommentText"/>
      </w:pPr>
      <w:r>
        <w:rPr>
          <w:rStyle w:val="CommentReference"/>
        </w:rPr>
        <w:annotationRef/>
      </w:r>
      <w:r w:rsidRPr="000D3F05">
        <w:t>Epirus Bank, NTUA, EUDITI, CRES, Kelemenis</w:t>
      </w:r>
    </w:p>
  </w:comment>
  <w:comment w:id="50" w:author="user" w:date="2026-03-13T11:47:00Z" w:initials="u">
    <w:p w14:paraId="3BD2B99B" w14:textId="4A220457" w:rsidR="00523C4F" w:rsidRDefault="00523C4F" w:rsidP="00523C4F">
      <w:pPr>
        <w:pStyle w:val="CommentText"/>
      </w:pPr>
      <w:r>
        <w:rPr>
          <w:rStyle w:val="CommentReference"/>
        </w:rPr>
        <w:annotationRef/>
      </w:r>
      <w:r>
        <w:t>NTUA, EUDITI</w:t>
      </w:r>
    </w:p>
  </w:comment>
  <w:comment w:id="53" w:author="user" w:date="2026-04-14T23:06:00Z" w:initials="u">
    <w:p w14:paraId="71E38DE5" w14:textId="581AC3C5" w:rsidR="00B52289" w:rsidRPr="002E0D16" w:rsidRDefault="00B52289" w:rsidP="00B52289">
      <w:pPr>
        <w:pStyle w:val="Heading3"/>
        <w:rPr>
          <w:rFonts w:ascii="Times New Roman" w:hAnsi="Times New Roman"/>
          <w:color w:val="auto"/>
          <w:lang w:val="el-GR"/>
        </w:rPr>
      </w:pPr>
      <w:r>
        <w:rPr>
          <w:rStyle w:val="CommentReference"/>
        </w:rPr>
        <w:annotationRef/>
      </w:r>
      <w:r w:rsidRPr="00B52289">
        <w:rPr>
          <w:lang w:val="el-GR"/>
        </w:rPr>
        <w:t xml:space="preserve">Σχόλιο προς </w:t>
      </w:r>
      <w:r>
        <w:rPr>
          <w:lang w:val="el-GR"/>
        </w:rPr>
        <w:t>ΚΑΠΕ</w:t>
      </w:r>
    </w:p>
    <w:p w14:paraId="41C790FD" w14:textId="77777777" w:rsidR="00B52289" w:rsidRDefault="00B52289" w:rsidP="00B52289">
      <w:pPr>
        <w:pStyle w:val="NormalWeb"/>
      </w:pPr>
      <w:r>
        <w:rPr>
          <w:rStyle w:val="Strong"/>
        </w:rPr>
        <w:t>Παρακαλούμε να ελέγξετε αν συμφωνείτε με το status “Partially implemented” για το T4.1.1 και αν θεωρείτε ότι πρέπει να αναφερθεί κάποια συγκεκριμένη επίδραση της μέχρι τώρα προόδου του task στα επόμενα βήματα του WP4.</w:t>
      </w:r>
    </w:p>
    <w:p w14:paraId="512CB30F" w14:textId="20120B0F" w:rsidR="00B52289" w:rsidRPr="00B52289" w:rsidRDefault="00B52289">
      <w:pPr>
        <w:pStyle w:val="CommentText"/>
        <w:rPr>
          <w:lang w:val="el-GR"/>
        </w:rPr>
      </w:pPr>
    </w:p>
  </w:comment>
  <w:comment w:id="54" w:author="user" w:date="2026-04-14T23:25:00Z" w:initials="u">
    <w:p w14:paraId="7B962922" w14:textId="0E4C114A" w:rsidR="00C01E00" w:rsidRPr="00C01E00" w:rsidRDefault="00C01E00" w:rsidP="00C01E00">
      <w:pPr>
        <w:pStyle w:val="CommentText"/>
        <w:rPr>
          <w:lang w:val="el-GR"/>
        </w:rPr>
      </w:pPr>
      <w:r>
        <w:rPr>
          <w:rStyle w:val="CommentReference"/>
        </w:rPr>
        <w:annotationRef/>
      </w:r>
      <w:r w:rsidRPr="00C01E00">
        <w:rPr>
          <w:rStyle w:val="Strong"/>
          <w:lang w:val="el-GR"/>
        </w:rPr>
        <w:t xml:space="preserve">Σχόλιο προς </w:t>
      </w:r>
      <w:r>
        <w:rPr>
          <w:rStyle w:val="Strong"/>
        </w:rPr>
        <w:t>NTUA</w:t>
      </w:r>
      <w:r>
        <w:rPr>
          <w:rStyle w:val="Strong"/>
          <w:lang w:val="el-GR"/>
        </w:rPr>
        <w:t xml:space="preserve"> (Πέτρος Γαβριήλ) και ΕΥΔΙΤΗ</w:t>
      </w:r>
      <w:r w:rsidRPr="00C01E00">
        <w:rPr>
          <w:lang w:val="el-GR"/>
        </w:rPr>
        <w:br/>
      </w:r>
    </w:p>
    <w:p w14:paraId="4AB50652" w14:textId="77777777" w:rsidR="00C01E00" w:rsidRPr="00C01E00" w:rsidRDefault="00C01E00" w:rsidP="00C01E00">
      <w:pPr>
        <w:pStyle w:val="CommentText"/>
        <w:rPr>
          <w:lang w:val="el-GR"/>
        </w:rPr>
      </w:pPr>
      <w:r w:rsidRPr="00C01E00">
        <w:rPr>
          <w:lang w:val="el-GR"/>
        </w:rPr>
        <w:t>Αν έχει ξεκινήσει η φάση renovation design για τα pilot buildings / bundles κατά την πρώτη reporting period.</w:t>
      </w:r>
    </w:p>
    <w:p w14:paraId="1DC05321" w14:textId="77777777" w:rsidR="00C01E00" w:rsidRPr="00C01E00" w:rsidRDefault="00C01E00" w:rsidP="00C01E00">
      <w:pPr>
        <w:pStyle w:val="CommentText"/>
        <w:rPr>
          <w:lang w:val="el-GR"/>
        </w:rPr>
      </w:pPr>
      <w:r w:rsidRPr="00C01E00">
        <w:rPr>
          <w:lang w:val="el-GR"/>
        </w:rPr>
        <w:t>Με ποιον τρόπο προχωρά η εργασία, δηλαδή αν ακολουθείται διαδικασία in-house, outsourcing ή κάποια ενδιάμεση προσέγγιση.</w:t>
      </w:r>
    </w:p>
    <w:p w14:paraId="7641DC92" w14:textId="77777777" w:rsidR="00C01E00" w:rsidRPr="00C01E00" w:rsidRDefault="00C01E00" w:rsidP="00C01E00">
      <w:pPr>
        <w:pStyle w:val="CommentText"/>
        <w:rPr>
          <w:lang w:val="el-GR"/>
        </w:rPr>
      </w:pPr>
      <w:r w:rsidRPr="00C01E00">
        <w:rPr>
          <w:lang w:val="el-GR"/>
        </w:rPr>
        <w:t>Ποιες βασικές τεχνικές ενέργειες έχουν ήδη πραγματοποιηθεί, π.χ. αρχική επεξεργασία τεχνικών λύσεων, προσδιορισμός renovation interventions, preliminary technical documentation, techno-economic assessment κ.λπ.</w:t>
      </w:r>
    </w:p>
    <w:p w14:paraId="57B7C719" w14:textId="77777777" w:rsidR="00C01E00" w:rsidRPr="00C01E00" w:rsidRDefault="00C01E00" w:rsidP="00C01E00">
      <w:pPr>
        <w:pStyle w:val="CommentText"/>
        <w:rPr>
          <w:lang w:val="el-GR"/>
        </w:rPr>
      </w:pPr>
      <w:r w:rsidRPr="00C01E00">
        <w:rPr>
          <w:lang w:val="el-GR"/>
        </w:rPr>
        <w:t>Τι δεν έχει ακόμη ολοκληρωθεί και γιατί.</w:t>
      </w:r>
    </w:p>
    <w:p w14:paraId="405DDFE0" w14:textId="77777777" w:rsidR="00C01E00" w:rsidRPr="00C01E00" w:rsidRDefault="00C01E00" w:rsidP="00C01E00">
      <w:pPr>
        <w:pStyle w:val="CommentText"/>
        <w:rPr>
          <w:lang w:val="el-GR"/>
        </w:rPr>
      </w:pPr>
      <w:r w:rsidRPr="00C01E00">
        <w:rPr>
          <w:lang w:val="el-GR"/>
        </w:rPr>
        <w:t>Αν υπήρξαν καθυστερήσεις ή αποκλίσεις από το Annex 1 και ποιες ήταν οι βασικές αιτίες.</w:t>
      </w:r>
    </w:p>
    <w:p w14:paraId="423F5476" w14:textId="6C626D63" w:rsidR="00C01E00" w:rsidRPr="00C01E00" w:rsidRDefault="00C01E00" w:rsidP="00C01E00">
      <w:pPr>
        <w:pStyle w:val="CommentText"/>
        <w:rPr>
          <w:lang w:val="el-GR"/>
        </w:rPr>
      </w:pPr>
      <w:r w:rsidRPr="00C01E00">
        <w:rPr>
          <w:lang w:val="el-GR"/>
        </w:rPr>
        <w:t>Ποια είναι τα επόμενα βήματα μέχρι την ολοκλήρωση του D4.2.</w:t>
      </w:r>
    </w:p>
  </w:comment>
  <w:comment w:id="55" w:author="user" w:date="2026-04-23T14:32:00Z" w:initials="u">
    <w:p w14:paraId="431A69E6" w14:textId="259EF43E" w:rsidR="0068039A" w:rsidRPr="0068039A" w:rsidRDefault="0068039A">
      <w:pPr>
        <w:pStyle w:val="CommentText"/>
        <w:rPr>
          <w:lang w:val="el-GR"/>
        </w:rPr>
      </w:pPr>
      <w:r>
        <w:rPr>
          <w:rStyle w:val="CommentReference"/>
        </w:rPr>
        <w:annotationRef/>
      </w:r>
      <w:r>
        <w:rPr>
          <w:lang w:val="el-GR"/>
        </w:rPr>
        <w:t>Το κείμενο έχει γραφτεί από ΕΜΠ (Πέτρο Γαβριήλ)</w:t>
      </w:r>
    </w:p>
  </w:comment>
  <w:comment w:id="60" w:author="user" w:date="2026-04-14T20:22:00Z" w:initials="u">
    <w:p w14:paraId="6AFC38A7" w14:textId="77777777" w:rsidR="00FD6851" w:rsidRPr="00FD6851" w:rsidRDefault="00FD6851" w:rsidP="00FD6851">
      <w:pPr>
        <w:pStyle w:val="Heading3"/>
        <w:rPr>
          <w:rFonts w:ascii="Times New Roman" w:hAnsi="Times New Roman"/>
          <w:color w:val="auto"/>
          <w:lang w:val="el-GR"/>
        </w:rPr>
      </w:pPr>
      <w:r>
        <w:rPr>
          <w:rStyle w:val="CommentReference"/>
        </w:rPr>
        <w:annotationRef/>
      </w:r>
      <w:r w:rsidRPr="00FD6851">
        <w:rPr>
          <w:lang w:val="el-GR"/>
        </w:rPr>
        <w:t>Σχόλιο προς Λεμεσό</w:t>
      </w:r>
    </w:p>
    <w:p w14:paraId="69165E58" w14:textId="77777777" w:rsidR="00FD6851" w:rsidRDefault="00FD6851" w:rsidP="00FD6851">
      <w:pPr>
        <w:pStyle w:val="NormalWeb"/>
      </w:pPr>
      <w:r>
        <w:t>Παρακαλούμε να ελέγξετε αν το παρόν κείμενο αποτυπώνει σωστά τη μέχρι σήμερα πρόοδο του Task 6.2 στην Κύπρο και να επιβεβαιώσετε ή να διορθώσετε, όπου απαιτείται, τις αναφορές σχετικά με τη χαρτογράφηση stakeholders, την επαφή με αρμόδιους φορείς, τη συλλογή πληροφοριών για το θεσμικό/διαδικαστικό πλαίσιο, τα χρηματοδοτικά εργαλεία και την αρχική διερεύνηση του δημοτικού κτηριακού αποθέματος.</w:t>
      </w:r>
    </w:p>
    <w:p w14:paraId="1A2E4397" w14:textId="37D8EAAA" w:rsidR="00FD6851" w:rsidRPr="00FD6851" w:rsidRDefault="00FD6851" w:rsidP="00FD6851">
      <w:pPr>
        <w:pStyle w:val="Heading3"/>
        <w:rPr>
          <w:lang w:val="el-GR"/>
        </w:rPr>
      </w:pPr>
      <w:r w:rsidRPr="00FD6851">
        <w:rPr>
          <w:lang w:val="el-GR"/>
        </w:rPr>
        <w:t>Σχόλιο προς ΚΑΠΕ</w:t>
      </w:r>
    </w:p>
    <w:p w14:paraId="7BE3C7BA" w14:textId="77777777" w:rsidR="00FD6851" w:rsidRDefault="00FD6851" w:rsidP="00FD6851">
      <w:pPr>
        <w:pStyle w:val="NormalWeb"/>
      </w:pPr>
      <w:r>
        <w:t>Παρακαλούμε να ελέγξετε αν η παρούσα περιγραφή είναι πλήρως συνεπής με το Annex 1, ιδίως ως προς το στάδιο υλοποίησης του T6.2 κατά την πρώτη reporting period και τη σύνδεσή του με τα WP2, WP3 και WP4.</w:t>
      </w:r>
    </w:p>
    <w:p w14:paraId="15765745" w14:textId="6C721C89" w:rsidR="00FD6851" w:rsidRPr="00FD6851" w:rsidRDefault="00FD6851">
      <w:pPr>
        <w:pStyle w:val="CommentText"/>
        <w:rPr>
          <w:lang w:val="el-GR"/>
        </w:rPr>
      </w:pPr>
    </w:p>
  </w:comment>
  <w:comment w:id="74" w:author="user" w:date="2026-03-13T12:53:00Z" w:initials="u">
    <w:p w14:paraId="02CCE468" w14:textId="556AC3BD" w:rsidR="006E020E" w:rsidRPr="002E0D16" w:rsidRDefault="006E020E">
      <w:pPr>
        <w:pStyle w:val="CommentText"/>
        <w:rPr>
          <w:lang w:val="el-GR"/>
        </w:rPr>
      </w:pPr>
      <w:r>
        <w:rPr>
          <w:rStyle w:val="CommentReference"/>
        </w:rPr>
        <w:annotationRef/>
      </w:r>
      <w:r w:rsidRPr="002E0D16">
        <w:rPr>
          <w:lang w:val="el-GR"/>
        </w:rPr>
        <w:t xml:space="preserve">όπως είναι στο </w:t>
      </w:r>
      <w:r>
        <w:t>Annex</w:t>
      </w:r>
      <w:r w:rsidRPr="002E0D16">
        <w:rPr>
          <w:lang w:val="el-GR"/>
        </w:rPr>
        <w:t xml:space="preserve"> 1</w:t>
      </w:r>
    </w:p>
  </w:comment>
  <w:comment w:id="75" w:author="user" w:date="2026-03-13T12:54:00Z" w:initials="u">
    <w:p w14:paraId="5CC7C440" w14:textId="755905E9" w:rsidR="006E020E" w:rsidRPr="007D500E" w:rsidRDefault="006E020E">
      <w:pPr>
        <w:pStyle w:val="CommentText"/>
        <w:rPr>
          <w:lang w:val="el-GR"/>
        </w:rPr>
      </w:pPr>
      <w:r>
        <w:rPr>
          <w:rStyle w:val="CommentReference"/>
        </w:rPr>
        <w:annotationRef/>
      </w:r>
      <w:r>
        <w:rPr>
          <w:lang w:val="el-GR"/>
        </w:rPr>
        <w:t>μεταβολες</w:t>
      </w:r>
    </w:p>
  </w:comment>
  <w:comment w:id="84" w:author="user" w:date="2026-03-13T12:56:00Z" w:initials="u">
    <w:p w14:paraId="472D088F" w14:textId="5878A031" w:rsidR="007D500E" w:rsidRPr="00954FCA" w:rsidRDefault="007D500E">
      <w:pPr>
        <w:pStyle w:val="CommentText"/>
        <w:rPr>
          <w:lang w:val="el-GR"/>
        </w:rPr>
      </w:pPr>
      <w:r>
        <w:rPr>
          <w:rStyle w:val="CommentReference"/>
        </w:rPr>
        <w:annotationRef/>
      </w:r>
      <w:r>
        <w:rPr>
          <w:lang w:val="en-US"/>
        </w:rPr>
        <w:t>EUDITI</w:t>
      </w:r>
    </w:p>
  </w:comment>
  <w:comment w:id="94" w:author="user" w:date="2026-03-13T13:05:00Z" w:initials="u">
    <w:p w14:paraId="636C77E8" w14:textId="506B3047" w:rsidR="000C02C8" w:rsidRPr="00126528" w:rsidRDefault="000C02C8">
      <w:pPr>
        <w:pStyle w:val="CommentText"/>
        <w:rPr>
          <w:lang w:val="el-GR"/>
        </w:rPr>
      </w:pPr>
      <w:r>
        <w:rPr>
          <w:rStyle w:val="CommentReference"/>
        </w:rPr>
        <w:annotationRef/>
      </w:r>
      <w:r>
        <w:rPr>
          <w:lang w:val="el-GR"/>
        </w:rPr>
        <w:t>Να το δει η Δέσποινα</w:t>
      </w:r>
      <w:r w:rsidR="00126528" w:rsidRPr="00126528">
        <w:rPr>
          <w:lang w:val="el-GR"/>
        </w:rPr>
        <w:t xml:space="preserve"> </w:t>
      </w:r>
      <w:r w:rsidR="00126528">
        <w:rPr>
          <w:lang w:val="el-GR"/>
        </w:rPr>
        <w:t xml:space="preserve">και τον πίνακα με </w:t>
      </w:r>
      <w:r w:rsidR="00126528">
        <w:rPr>
          <w:lang w:val="en-US"/>
        </w:rPr>
        <w:t>resources</w:t>
      </w:r>
      <w:r w:rsidR="00126528" w:rsidRPr="00126528">
        <w:rPr>
          <w:lang w:val="el-GR"/>
        </w:rPr>
        <w:t xml:space="preserve"> </w:t>
      </w:r>
      <w:r w:rsidR="00126528">
        <w:rPr>
          <w:lang w:val="el-GR"/>
        </w:rPr>
        <w:t>και πίνακα</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7CB9EB3" w15:done="0"/>
  <w15:commentEx w15:paraId="7E3D6DFD" w15:done="0"/>
  <w15:commentEx w15:paraId="5DFCD35F" w15:done="0"/>
  <w15:commentEx w15:paraId="322651D2" w15:done="0"/>
  <w15:commentEx w15:paraId="3BD2B99B" w15:done="0"/>
  <w15:commentEx w15:paraId="512CB30F" w15:done="0"/>
  <w15:commentEx w15:paraId="423F5476" w15:done="0"/>
  <w15:commentEx w15:paraId="431A69E6" w15:done="0"/>
  <w15:commentEx w15:paraId="15765745" w15:done="0"/>
  <w15:commentEx w15:paraId="02CCE468" w15:done="0"/>
  <w15:commentEx w15:paraId="5CC7C440" w15:done="0"/>
  <w15:commentEx w15:paraId="472D088F" w15:done="0"/>
  <w15:commentEx w15:paraId="636C77E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937D5F" w16cex:dateUtc="2026-04-22T14:01:00Z"/>
  <w16cex:commentExtensible w16cex:durableId="2D5E79DA" w16cex:dateUtc="2026-03-13T09:56:00Z"/>
  <w16cex:commentExtensible w16cex:durableId="2D5E79F4" w16cex:dateUtc="2026-03-13T09:56:00Z"/>
  <w16cex:commentExtensible w16cex:durableId="2D5E7A2E" w16cex:dateUtc="2026-03-13T09:57:00Z"/>
  <w16cex:commentExtensible w16cex:durableId="2D5E7AAB" w16cex:dateUtc="2026-03-13T09:47:00Z"/>
  <w16cex:commentExtensible w16cex:durableId="2D8946E0" w16cex:dateUtc="2026-04-14T20:06:00Z"/>
  <w16cex:commentExtensible w16cex:durableId="2D894B6D" w16cex:dateUtc="2026-04-14T20:25:00Z"/>
  <w16cex:commentExtensible w16cex:durableId="2D94AC1B" w16cex:dateUtc="2026-04-23T11:32:00Z"/>
  <w16cex:commentExtensible w16cex:durableId="2D89209E" w16cex:dateUtc="2026-04-14T17:22:00Z"/>
  <w16cex:commentExtensible w16cex:durableId="2D5E875A" w16cex:dateUtc="2026-03-13T10:53:00Z"/>
  <w16cex:commentExtensible w16cex:durableId="2D5E8775" w16cex:dateUtc="2026-03-13T10:54:00Z"/>
  <w16cex:commentExtensible w16cex:durableId="2D5E8813" w16cex:dateUtc="2026-03-13T10:56:00Z"/>
  <w16cex:commentExtensible w16cex:durableId="2D5E8A11" w16cex:dateUtc="2026-03-13T11: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7CB9EB3" w16cid:durableId="2D937D5F"/>
  <w16cid:commentId w16cid:paraId="7E3D6DFD" w16cid:durableId="2D5E79DA"/>
  <w16cid:commentId w16cid:paraId="5DFCD35F" w16cid:durableId="2D5E79F4"/>
  <w16cid:commentId w16cid:paraId="322651D2" w16cid:durableId="2D5E7A2E"/>
  <w16cid:commentId w16cid:paraId="3BD2B99B" w16cid:durableId="2D5E7AAB"/>
  <w16cid:commentId w16cid:paraId="512CB30F" w16cid:durableId="2D8946E0"/>
  <w16cid:commentId w16cid:paraId="423F5476" w16cid:durableId="2D894B6D"/>
  <w16cid:commentId w16cid:paraId="431A69E6" w16cid:durableId="2D94AC1B"/>
  <w16cid:commentId w16cid:paraId="15765745" w16cid:durableId="2D89209E"/>
  <w16cid:commentId w16cid:paraId="02CCE468" w16cid:durableId="2D5E875A"/>
  <w16cid:commentId w16cid:paraId="5CC7C440" w16cid:durableId="2D5E8775"/>
  <w16cid:commentId w16cid:paraId="472D088F" w16cid:durableId="2D5E8813"/>
  <w16cid:commentId w16cid:paraId="636C77E8" w16cid:durableId="2D5E8A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0AB37" w14:textId="77777777" w:rsidR="00445980" w:rsidRDefault="00445980" w:rsidP="004926E8">
      <w:pPr>
        <w:spacing w:after="0" w:line="240" w:lineRule="auto"/>
      </w:pPr>
      <w:r>
        <w:separator/>
      </w:r>
    </w:p>
  </w:endnote>
  <w:endnote w:type="continuationSeparator" w:id="0">
    <w:p w14:paraId="6FDE611F" w14:textId="77777777" w:rsidR="00445980" w:rsidRDefault="00445980" w:rsidP="00492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EUAlbertina">
    <w:altName w:val="Cambria"/>
    <w:charset w:val="00"/>
    <w:family w:val="auto"/>
    <w:pitch w:val="variable"/>
    <w:sig w:usb0="00000001" w:usb1="1000E0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IDFont+F1">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8523278"/>
      <w:docPartObj>
        <w:docPartGallery w:val="Page Numbers (Bottom of Page)"/>
        <w:docPartUnique/>
      </w:docPartObj>
    </w:sdtPr>
    <w:sdtEndPr>
      <w:rPr>
        <w:noProof/>
        <w:sz w:val="18"/>
        <w:szCs w:val="20"/>
      </w:rPr>
    </w:sdtEndPr>
    <w:sdtContent>
      <w:p w14:paraId="726365DA" w14:textId="77777777" w:rsidR="00907106" w:rsidRPr="00907106" w:rsidRDefault="00907106" w:rsidP="00907106">
        <w:pPr>
          <w:pStyle w:val="Footer"/>
          <w:jc w:val="right"/>
          <w:rPr>
            <w:sz w:val="18"/>
            <w:szCs w:val="20"/>
          </w:rPr>
        </w:pPr>
        <w:r w:rsidRPr="00907106">
          <w:rPr>
            <w:sz w:val="18"/>
            <w:szCs w:val="20"/>
          </w:rPr>
          <w:fldChar w:fldCharType="begin"/>
        </w:r>
        <w:r w:rsidRPr="00907106">
          <w:rPr>
            <w:sz w:val="18"/>
            <w:szCs w:val="20"/>
          </w:rPr>
          <w:instrText xml:space="preserve"> PAGE   \* MERGEFORMAT </w:instrText>
        </w:r>
        <w:r w:rsidRPr="00907106">
          <w:rPr>
            <w:sz w:val="18"/>
            <w:szCs w:val="20"/>
          </w:rPr>
          <w:fldChar w:fldCharType="separate"/>
        </w:r>
        <w:r w:rsidRPr="00907106">
          <w:rPr>
            <w:noProof/>
            <w:sz w:val="18"/>
            <w:szCs w:val="20"/>
          </w:rPr>
          <w:t>2</w:t>
        </w:r>
        <w:r w:rsidRPr="00907106">
          <w:rPr>
            <w:noProof/>
            <w:sz w:val="18"/>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EAC78" w14:textId="77777777" w:rsidR="00445980" w:rsidRDefault="00445980" w:rsidP="004926E8">
      <w:pPr>
        <w:spacing w:after="0" w:line="240" w:lineRule="auto"/>
      </w:pPr>
      <w:r>
        <w:separator/>
      </w:r>
    </w:p>
  </w:footnote>
  <w:footnote w:type="continuationSeparator" w:id="0">
    <w:p w14:paraId="724F752B" w14:textId="77777777" w:rsidR="00445980" w:rsidRDefault="00445980" w:rsidP="004926E8">
      <w:pPr>
        <w:spacing w:after="0" w:line="240" w:lineRule="auto"/>
      </w:pPr>
      <w:r>
        <w:continuationSeparator/>
      </w:r>
    </w:p>
  </w:footnote>
  <w:footnote w:id="1">
    <w:p w14:paraId="0772CC02" w14:textId="77777777" w:rsidR="00F75306" w:rsidRDefault="00F75306" w:rsidP="00F75306">
      <w:pPr>
        <w:pStyle w:val="FootnoteText"/>
      </w:pPr>
      <w:r>
        <w:rPr>
          <w:rStyle w:val="FootnoteReference"/>
        </w:rPr>
        <w:footnoteRef/>
      </w:r>
      <w:r>
        <w:t xml:space="preserve"> This is the label of the documents that support the operation of the OSS and are part of service framework available to municipalities</w:t>
      </w:r>
    </w:p>
  </w:footnote>
  <w:footnote w:id="2">
    <w:p w14:paraId="5A092FE8" w14:textId="77777777" w:rsidR="00F75306" w:rsidRDefault="00F75306" w:rsidP="00F75306">
      <w:pPr>
        <w:pStyle w:val="FootnoteText"/>
      </w:pPr>
      <w:r>
        <w:rPr>
          <w:rStyle w:val="FootnoteReference"/>
        </w:rPr>
        <w:footnoteRef/>
      </w:r>
      <w:r>
        <w:t xml:space="preserve"> </w:t>
      </w:r>
      <w:hyperlink r:id="rId1" w:anchor="22-files-1645555082" w:history="1">
        <w:r w:rsidRPr="005D7BF2">
          <w:rPr>
            <w:rStyle w:val="Hyperlink"/>
          </w:rPr>
          <w:t>https://www.prodesaproject.eu/%ce%bb%ce%ae%cf%88%ce%b5%ce%b9%cf%82/%cf%87%cf%81%ce%ae%cf%83%ce%b9%ce%bc%ce%bf-%cf%85%ce%bb%ce%b9%ce%ba%cf%8c/#22-files-1645555082</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F14CE" w14:textId="77777777" w:rsidR="007830CF" w:rsidRPr="0041088A" w:rsidRDefault="007830CF" w:rsidP="007830CF">
    <w:pPr>
      <w:tabs>
        <w:tab w:val="center" w:pos="4536"/>
        <w:tab w:val="right" w:pos="9072"/>
      </w:tabs>
      <w:spacing w:after="0" w:line="240" w:lineRule="auto"/>
      <w:rPr>
        <w:rFonts w:eastAsia="Calibri" w:cs="Arial"/>
        <w:sz w:val="16"/>
        <w:szCs w:val="16"/>
      </w:rPr>
    </w:pPr>
    <w:r w:rsidRPr="00AD0634">
      <w:rPr>
        <w:rFonts w:eastAsia="Calibri" w:cs="Arial"/>
        <w:sz w:val="16"/>
        <w:szCs w:val="16"/>
      </w:rPr>
      <w:t>Project</w:t>
    </w:r>
    <w:r w:rsidRPr="0041088A">
      <w:rPr>
        <w:rFonts w:eastAsia="Calibri" w:cs="Arial"/>
        <w:sz w:val="16"/>
        <w:szCs w:val="16"/>
      </w:rPr>
      <w:t>: [</w:t>
    </w:r>
    <w:r w:rsidRPr="0041088A">
      <w:rPr>
        <w:rFonts w:eastAsia="Calibri" w:cs="Arial"/>
        <w:sz w:val="16"/>
        <w:szCs w:val="16"/>
        <w:highlight w:val="lightGray"/>
      </w:rPr>
      <w:t>insert number</w:t>
    </w:r>
    <w:r w:rsidRPr="0041088A">
      <w:rPr>
        <w:rFonts w:eastAsia="Calibri" w:cs="Arial"/>
        <w:sz w:val="16"/>
        <w:szCs w:val="16"/>
      </w:rPr>
      <w:t>] — [</w:t>
    </w:r>
    <w:r w:rsidRPr="0041088A">
      <w:rPr>
        <w:rFonts w:eastAsia="Calibri" w:cs="Arial"/>
        <w:sz w:val="16"/>
        <w:szCs w:val="16"/>
        <w:highlight w:val="lightGray"/>
      </w:rPr>
      <w:t>insert acronym</w:t>
    </w:r>
    <w:r w:rsidRPr="0041088A">
      <w:rPr>
        <w:rFonts w:eastAsia="Calibri" w:cs="Arial"/>
        <w:sz w:val="16"/>
        <w:szCs w:val="16"/>
      </w:rPr>
      <w:t>] — [</w:t>
    </w:r>
    <w:r w:rsidRPr="0041088A">
      <w:rPr>
        <w:rFonts w:eastAsia="Calibri" w:cs="Arial"/>
        <w:sz w:val="16"/>
        <w:szCs w:val="16"/>
        <w:highlight w:val="lightGray"/>
      </w:rPr>
      <w:t xml:space="preserve">insert </w:t>
    </w:r>
    <w:r>
      <w:rPr>
        <w:rFonts w:eastAsia="Calibri" w:cs="Arial"/>
        <w:sz w:val="16"/>
        <w:szCs w:val="16"/>
        <w:highlight w:val="lightGray"/>
      </w:rPr>
      <w:t>call identifier</w:t>
    </w:r>
    <w:r w:rsidRPr="0041088A">
      <w:rPr>
        <w:rFonts w:eastAsia="Calibri" w:cs="Arial"/>
        <w:sz w:val="16"/>
        <w:szCs w:val="16"/>
      </w:rPr>
      <w:t>]</w:t>
    </w:r>
  </w:p>
  <w:p w14:paraId="6E5DF1F5" w14:textId="77777777" w:rsidR="007830CF" w:rsidRPr="0041088A" w:rsidRDefault="007830CF" w:rsidP="007830CF">
    <w:pPr>
      <w:tabs>
        <w:tab w:val="center" w:pos="4536"/>
        <w:tab w:val="right" w:pos="9072"/>
      </w:tabs>
      <w:spacing w:after="0"/>
      <w:jc w:val="both"/>
      <w:rPr>
        <w:rFonts w:eastAsia="Calibri" w:cs="Arial"/>
        <w:sz w:val="16"/>
        <w:szCs w:val="16"/>
      </w:rPr>
    </w:pPr>
  </w:p>
  <w:p w14:paraId="25183D04" w14:textId="77777777" w:rsidR="007830CF" w:rsidRPr="00A53811" w:rsidRDefault="007830CF" w:rsidP="007830CF">
    <w:pPr>
      <w:spacing w:after="0" w:line="240" w:lineRule="auto"/>
      <w:jc w:val="right"/>
      <w:rPr>
        <w:rFonts w:eastAsia="Calibri" w:cs="Arial"/>
        <w:color w:val="808080"/>
        <w:sz w:val="16"/>
        <w:szCs w:val="16"/>
      </w:rPr>
    </w:pPr>
    <w:r w:rsidRPr="00A53811">
      <w:rPr>
        <w:rFonts w:eastAsia="Calibri" w:cs="Arial"/>
        <w:color w:val="808080"/>
        <w:sz w:val="16"/>
        <w:szCs w:val="16"/>
      </w:rPr>
      <w:t xml:space="preserve">EU Grants: </w:t>
    </w:r>
    <w:r w:rsidRPr="00152612">
      <w:rPr>
        <w:rFonts w:eastAsia="Calibri" w:cs="Arial"/>
        <w:color w:val="808080"/>
        <w:sz w:val="16"/>
        <w:szCs w:val="16"/>
      </w:rPr>
      <w:t>Periodic report/Additional prefinancing report/Beneficiary termination report</w:t>
    </w:r>
    <w:r w:rsidRPr="00112F20">
      <w:rPr>
        <w:rFonts w:eastAsia="Calibri" w:cs="Arial"/>
        <w:color w:val="808080"/>
        <w:sz w:val="16"/>
        <w:szCs w:val="16"/>
      </w:rPr>
      <w:t xml:space="preserve"> </w:t>
    </w:r>
    <w:r w:rsidRPr="005B4F55">
      <w:rPr>
        <w:rFonts w:eastAsia="Calibri" w:cs="Arial"/>
        <w:color w:val="808080"/>
        <w:sz w:val="16"/>
        <w:szCs w:val="16"/>
      </w:rPr>
      <w:t>(</w:t>
    </w:r>
    <w:r>
      <w:rPr>
        <w:rFonts w:eastAsia="Calibri" w:cs="Arial"/>
        <w:color w:val="808080"/>
        <w:sz w:val="16"/>
        <w:szCs w:val="16"/>
      </w:rPr>
      <w:t>LIFE)</w:t>
    </w:r>
    <w:r w:rsidRPr="00A53811">
      <w:rPr>
        <w:rFonts w:eastAsia="Calibri" w:cs="Arial"/>
        <w:color w:val="808080"/>
        <w:sz w:val="16"/>
        <w:szCs w:val="16"/>
      </w:rPr>
      <w:t>: V</w:t>
    </w:r>
    <w:r w:rsidR="00AF2ECC">
      <w:rPr>
        <w:rFonts w:eastAsia="Calibri" w:cs="Arial"/>
        <w:color w:val="808080"/>
        <w:sz w:val="16"/>
        <w:szCs w:val="16"/>
      </w:rPr>
      <w:t>2</w:t>
    </w:r>
    <w:r w:rsidRPr="00A53811">
      <w:rPr>
        <w:rFonts w:eastAsia="Calibri" w:cs="Arial"/>
        <w:color w:val="808080"/>
        <w:sz w:val="16"/>
        <w:szCs w:val="16"/>
      </w:rPr>
      <w:t xml:space="preserve">.0 – </w:t>
    </w:r>
    <w:r w:rsidRPr="00112F20">
      <w:rPr>
        <w:rFonts w:eastAsia="Calibri" w:cs="Arial"/>
        <w:color w:val="808080"/>
        <w:sz w:val="16"/>
        <w:szCs w:val="16"/>
      </w:rPr>
      <w:t>01.</w:t>
    </w:r>
    <w:r w:rsidR="00AF2ECC">
      <w:rPr>
        <w:rFonts w:eastAsia="Calibri" w:cs="Arial"/>
        <w:color w:val="808080"/>
        <w:sz w:val="16"/>
        <w:szCs w:val="16"/>
      </w:rPr>
      <w:t>12</w:t>
    </w:r>
    <w:r w:rsidRPr="00112F20">
      <w:rPr>
        <w:rFonts w:eastAsia="Calibri" w:cs="Arial"/>
        <w:color w:val="808080"/>
        <w:sz w:val="16"/>
        <w:szCs w:val="16"/>
      </w:rPr>
      <w:t>.202</w:t>
    </w:r>
    <w:r w:rsidR="00AF2ECC">
      <w:rPr>
        <w:rFonts w:eastAsia="Calibri" w:cs="Arial"/>
        <w:color w:val="808080"/>
        <w:sz w:val="16"/>
        <w:szCs w:val="16"/>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0DDD2" w14:textId="77777777" w:rsidR="00C505B1" w:rsidRDefault="00C505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A5F64" w14:textId="77777777" w:rsidR="00C505B1" w:rsidRDefault="00C505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id:image001.png@01D0B99B.7C10A740" style="width:10.2pt;height:10.2pt;visibility:visible;mso-wrap-style:square" o:bullet="t">
        <v:imagedata r:id="rId1" o:title="image001"/>
      </v:shape>
    </w:pict>
  </w:numPicBullet>
  <w:abstractNum w:abstractNumId="0" w15:restartNumberingAfterBreak="0">
    <w:nsid w:val="04986BBA"/>
    <w:multiLevelType w:val="hybridMultilevel"/>
    <w:tmpl w:val="39CCD450"/>
    <w:lvl w:ilvl="0" w:tplc="A34055A2">
      <w:start w:val="1"/>
      <w:numFmt w:val="bullet"/>
      <w:lvlText w:val=""/>
      <w:lvlJc w:val="left"/>
      <w:pPr>
        <w:ind w:left="720" w:hanging="360"/>
      </w:pPr>
      <w:rPr>
        <w:rFonts w:ascii="Symbol" w:hAnsi="Symbol" w:hint="default"/>
        <w:strike w:val="0"/>
        <w:dstrike w:val="0"/>
        <w:color w:val="auto"/>
        <w:sz w:val="16"/>
        <w:u w:val="none"/>
        <w:effect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810C8"/>
    <w:multiLevelType w:val="hybridMultilevel"/>
    <w:tmpl w:val="E2E4C69A"/>
    <w:lvl w:ilvl="0" w:tplc="5FFE10B8">
      <w:start w:val="1"/>
      <w:numFmt w:val="bullet"/>
      <w:lvlText w:val=""/>
      <w:lvlJc w:val="left"/>
      <w:pPr>
        <w:ind w:left="720" w:hanging="360"/>
      </w:pPr>
      <w:rPr>
        <w:rFonts w:ascii="Wingdings" w:hAnsi="Wingdings" w:hint="default"/>
        <w:color w:val="FFC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83879"/>
    <w:multiLevelType w:val="hybridMultilevel"/>
    <w:tmpl w:val="4FE2FB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5C87DEE"/>
    <w:multiLevelType w:val="hybridMultilevel"/>
    <w:tmpl w:val="C052BC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60C1D6E"/>
    <w:multiLevelType w:val="hybridMultilevel"/>
    <w:tmpl w:val="54E68DC6"/>
    <w:lvl w:ilvl="0" w:tplc="4B345F3C">
      <w:start w:val="1"/>
      <w:numFmt w:val="lowerRoman"/>
      <w:lvlText w:val="(%1)"/>
      <w:lvlJc w:val="left"/>
      <w:pPr>
        <w:ind w:left="720" w:hanging="360"/>
      </w:pPr>
      <w:rPr>
        <w:rFonts w:cs="Times New Roman" w:hint="default"/>
        <w:color w:val="FFC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70339A9"/>
    <w:multiLevelType w:val="hybridMultilevel"/>
    <w:tmpl w:val="358CBF68"/>
    <w:lvl w:ilvl="0" w:tplc="0409001B">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09843FF5"/>
    <w:multiLevelType w:val="hybridMultilevel"/>
    <w:tmpl w:val="94C617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0A312C4E"/>
    <w:multiLevelType w:val="hybridMultilevel"/>
    <w:tmpl w:val="C63C9426"/>
    <w:lvl w:ilvl="0" w:tplc="04046D1A">
      <w:numFmt w:val="bullet"/>
      <w:lvlText w:val="-"/>
      <w:lvlJc w:val="left"/>
      <w:pPr>
        <w:ind w:left="360" w:hanging="360"/>
      </w:pPr>
      <w:rPr>
        <w:rFonts w:ascii="Times New Roman" w:eastAsia="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A712FF3"/>
    <w:multiLevelType w:val="multilevel"/>
    <w:tmpl w:val="7868AD56"/>
    <w:numStyleLink w:val="Style3"/>
  </w:abstractNum>
  <w:abstractNum w:abstractNumId="9" w15:restartNumberingAfterBreak="0">
    <w:nsid w:val="0D23291B"/>
    <w:multiLevelType w:val="hybridMultilevel"/>
    <w:tmpl w:val="8D5C8DEC"/>
    <w:lvl w:ilvl="0" w:tplc="E4CADAC6">
      <w:start w:val="1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0251DA"/>
    <w:multiLevelType w:val="hybridMultilevel"/>
    <w:tmpl w:val="DD941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122B5D"/>
    <w:multiLevelType w:val="hybridMultilevel"/>
    <w:tmpl w:val="2D104BE8"/>
    <w:lvl w:ilvl="0" w:tplc="92741AC8">
      <w:start w:val="1"/>
      <w:numFmt w:val="bullet"/>
      <w:lvlText w:val=""/>
      <w:lvlJc w:val="left"/>
      <w:pPr>
        <w:ind w:left="720" w:hanging="360"/>
      </w:pPr>
      <w:rPr>
        <w:rFonts w:ascii="Symbol" w:hAnsi="Symbol" w:hint="default"/>
        <w:strike w:val="0"/>
        <w:dstrike w:val="0"/>
        <w:color w:val="auto"/>
        <w:sz w:val="16"/>
        <w:u w:val="none"/>
        <w:effect w:val="no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0B1075A"/>
    <w:multiLevelType w:val="multilevel"/>
    <w:tmpl w:val="565C97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33D51EA"/>
    <w:multiLevelType w:val="hybridMultilevel"/>
    <w:tmpl w:val="9BBE75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14901671"/>
    <w:multiLevelType w:val="hybridMultilevel"/>
    <w:tmpl w:val="689A3D1C"/>
    <w:lvl w:ilvl="0" w:tplc="5FFE10B8">
      <w:start w:val="1"/>
      <w:numFmt w:val="bullet"/>
      <w:lvlText w:val=""/>
      <w:lvlJc w:val="left"/>
      <w:pPr>
        <w:ind w:left="720" w:hanging="360"/>
      </w:pPr>
      <w:rPr>
        <w:rFonts w:ascii="Wingdings" w:hAnsi="Wingdings" w:hint="default"/>
        <w:color w:val="FFC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B27003"/>
    <w:multiLevelType w:val="multilevel"/>
    <w:tmpl w:val="6FB274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1BD570F6"/>
    <w:multiLevelType w:val="hybridMultilevel"/>
    <w:tmpl w:val="EE467F46"/>
    <w:lvl w:ilvl="0" w:tplc="86B2F342">
      <w:start w:val="1"/>
      <w:numFmt w:val="bullet"/>
      <w:lvlText w:val=""/>
      <w:lvlJc w:val="left"/>
      <w:pPr>
        <w:ind w:left="720" w:hanging="360"/>
      </w:pPr>
      <w:rPr>
        <w:rFonts w:ascii="Wingdings" w:hAnsi="Wingdings" w:hint="default"/>
        <w:color w:val="FFC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C411F1F"/>
    <w:multiLevelType w:val="hybridMultilevel"/>
    <w:tmpl w:val="E6DE58A2"/>
    <w:lvl w:ilvl="0" w:tplc="86B2F342">
      <w:start w:val="1"/>
      <w:numFmt w:val="bullet"/>
      <w:lvlText w:val=""/>
      <w:lvlJc w:val="left"/>
      <w:pPr>
        <w:ind w:left="720" w:hanging="360"/>
      </w:pPr>
      <w:rPr>
        <w:rFonts w:ascii="Wingdings" w:hAnsi="Wingdings" w:hint="default"/>
        <w:color w:val="FFC000"/>
      </w:rPr>
    </w:lvl>
    <w:lvl w:ilvl="1" w:tplc="AE523426">
      <w:numFmt w:val="bullet"/>
      <w:lvlText w:val="•"/>
      <w:lvlJc w:val="left"/>
      <w:pPr>
        <w:ind w:left="1800" w:hanging="720"/>
      </w:pPr>
      <w:rPr>
        <w:rFonts w:ascii="Arial" w:eastAsiaTheme="minorEastAsia"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8011FD"/>
    <w:multiLevelType w:val="hybridMultilevel"/>
    <w:tmpl w:val="0B90F364"/>
    <w:lvl w:ilvl="0" w:tplc="07189D68">
      <w:start w:val="5"/>
      <w:numFmt w:val="bullet"/>
      <w:lvlText w:val="-"/>
      <w:lvlJc w:val="left"/>
      <w:pPr>
        <w:ind w:left="720" w:hanging="360"/>
      </w:pPr>
      <w:rPr>
        <w:rFonts w:ascii="Arial" w:eastAsia="Calibri"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22930963"/>
    <w:multiLevelType w:val="hybridMultilevel"/>
    <w:tmpl w:val="A17ED9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24C6677E"/>
    <w:multiLevelType w:val="hybridMultilevel"/>
    <w:tmpl w:val="5336BBD8"/>
    <w:lvl w:ilvl="0" w:tplc="0F1E76D8">
      <w:start w:val="1"/>
      <w:numFmt w:val="bullet"/>
      <w:lvlText w:val=""/>
      <w:lvlJc w:val="left"/>
      <w:pPr>
        <w:ind w:left="720" w:hanging="360"/>
      </w:pPr>
      <w:rPr>
        <w:rFonts w:ascii="Wingdings" w:hAnsi="Wingdings" w:hint="default"/>
        <w:color w:val="FFC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6623FFB"/>
    <w:multiLevelType w:val="hybridMultilevel"/>
    <w:tmpl w:val="A03ED748"/>
    <w:lvl w:ilvl="0" w:tplc="4FFE34E6">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DD6213"/>
    <w:multiLevelType w:val="hybridMultilevel"/>
    <w:tmpl w:val="4DB6CA6A"/>
    <w:lvl w:ilvl="0" w:tplc="13CE0564">
      <w:start w:val="1"/>
      <w:numFmt w:val="bullet"/>
      <w:lvlText w:val=""/>
      <w:lvlJc w:val="left"/>
      <w:pPr>
        <w:ind w:left="720" w:hanging="360"/>
      </w:pPr>
      <w:rPr>
        <w:rFonts w:ascii="Wingdings" w:hAnsi="Wingdings" w:hint="default"/>
        <w:color w:val="FFC20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B312DEA"/>
    <w:multiLevelType w:val="hybridMultilevel"/>
    <w:tmpl w:val="ACFCF250"/>
    <w:lvl w:ilvl="0" w:tplc="13CE0564">
      <w:start w:val="1"/>
      <w:numFmt w:val="bullet"/>
      <w:lvlText w:val=""/>
      <w:lvlJc w:val="left"/>
      <w:pPr>
        <w:ind w:left="720" w:hanging="360"/>
      </w:pPr>
      <w:rPr>
        <w:rFonts w:ascii="Wingdings" w:hAnsi="Wingdings" w:hint="default"/>
        <w:color w:val="FFC20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C7C4172"/>
    <w:multiLevelType w:val="hybridMultilevel"/>
    <w:tmpl w:val="005C1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09F11FF"/>
    <w:multiLevelType w:val="hybridMultilevel"/>
    <w:tmpl w:val="5634932A"/>
    <w:lvl w:ilvl="0" w:tplc="FFFFFFFF">
      <w:start w:val="1"/>
      <w:numFmt w:val="bullet"/>
      <w:lvlText w:val=""/>
      <w:lvlJc w:val="left"/>
      <w:pPr>
        <w:ind w:left="720" w:hanging="360"/>
      </w:pPr>
      <w:rPr>
        <w:rFonts w:ascii="Wingdings" w:hAnsi="Wingdings" w:hint="default"/>
        <w:color w:val="FFC000"/>
      </w:rPr>
    </w:lvl>
    <w:lvl w:ilvl="1" w:tplc="86B2F342">
      <w:start w:val="1"/>
      <w:numFmt w:val="bullet"/>
      <w:lvlText w:val=""/>
      <w:lvlJc w:val="left"/>
      <w:pPr>
        <w:ind w:left="1440" w:hanging="360"/>
      </w:pPr>
      <w:rPr>
        <w:rFonts w:ascii="Wingdings" w:hAnsi="Wingdings" w:hint="default"/>
        <w:color w:val="FFC00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1AE1968"/>
    <w:multiLevelType w:val="hybridMultilevel"/>
    <w:tmpl w:val="B25288D0"/>
    <w:lvl w:ilvl="0" w:tplc="86B2F342">
      <w:start w:val="1"/>
      <w:numFmt w:val="bullet"/>
      <w:lvlText w:val=""/>
      <w:lvlJc w:val="left"/>
      <w:pPr>
        <w:ind w:left="720" w:hanging="360"/>
      </w:pPr>
      <w:rPr>
        <w:rFonts w:ascii="Wingdings" w:hAnsi="Wingdings" w:hint="default"/>
        <w:color w:val="FFC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DE1B0A"/>
    <w:multiLevelType w:val="hybridMultilevel"/>
    <w:tmpl w:val="61A43254"/>
    <w:lvl w:ilvl="0" w:tplc="230610EE">
      <w:start w:val="1"/>
      <w:numFmt w:val="bullet"/>
      <w:lvlText w:val=""/>
      <w:lvlJc w:val="left"/>
      <w:pPr>
        <w:ind w:left="720" w:hanging="360"/>
      </w:pPr>
      <w:rPr>
        <w:rFonts w:ascii="Wingdings" w:hAnsi="Wingdings" w:hint="default"/>
        <w:color w:val="FFC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3A480F77"/>
    <w:multiLevelType w:val="hybridMultilevel"/>
    <w:tmpl w:val="F042DC8C"/>
    <w:lvl w:ilvl="0" w:tplc="3C26F2FC">
      <w:start w:val="1"/>
      <w:numFmt w:val="bullet"/>
      <w:lvlText w:val=""/>
      <w:lvlJc w:val="left"/>
      <w:pPr>
        <w:ind w:left="720" w:hanging="360"/>
      </w:pPr>
      <w:rPr>
        <w:rFonts w:ascii="Wingdings" w:hAnsi="Wingdings" w:hint="default"/>
        <w:color w:val="FFC20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3DE707BB"/>
    <w:multiLevelType w:val="hybridMultilevel"/>
    <w:tmpl w:val="7A244ECA"/>
    <w:lvl w:ilvl="0" w:tplc="04046D1A">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F804A75"/>
    <w:multiLevelType w:val="hybridMultilevel"/>
    <w:tmpl w:val="500E774C"/>
    <w:lvl w:ilvl="0" w:tplc="94A8931A">
      <w:start w:val="1"/>
      <w:numFmt w:val="bullet"/>
      <w:lvlText w:val="-"/>
      <w:lvlJc w:val="left"/>
      <w:pPr>
        <w:ind w:left="360" w:hanging="360"/>
      </w:pPr>
      <w:rPr>
        <w:rFonts w:ascii="Arial" w:eastAsiaTheme="minorHAnsi"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15:restartNumberingAfterBreak="0">
    <w:nsid w:val="410A6802"/>
    <w:multiLevelType w:val="hybridMultilevel"/>
    <w:tmpl w:val="D9C61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1FB7EA2"/>
    <w:multiLevelType w:val="hybridMultilevel"/>
    <w:tmpl w:val="AE0207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42033F8D"/>
    <w:multiLevelType w:val="hybridMultilevel"/>
    <w:tmpl w:val="7CAC5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8EF4F65"/>
    <w:multiLevelType w:val="hybridMultilevel"/>
    <w:tmpl w:val="4B7A12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4A9322B9"/>
    <w:multiLevelType w:val="hybridMultilevel"/>
    <w:tmpl w:val="93BAE3A6"/>
    <w:lvl w:ilvl="0" w:tplc="86B2F342">
      <w:start w:val="1"/>
      <w:numFmt w:val="bullet"/>
      <w:lvlText w:val=""/>
      <w:lvlJc w:val="left"/>
      <w:pPr>
        <w:ind w:left="720" w:hanging="360"/>
      </w:pPr>
      <w:rPr>
        <w:rFonts w:ascii="Wingdings" w:hAnsi="Wingdings" w:hint="default"/>
        <w:color w:val="FFC00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4B9D0E0B"/>
    <w:multiLevelType w:val="hybridMultilevel"/>
    <w:tmpl w:val="D7625526"/>
    <w:lvl w:ilvl="0" w:tplc="2CE00D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D200F91"/>
    <w:multiLevelType w:val="hybridMultilevel"/>
    <w:tmpl w:val="718A3226"/>
    <w:lvl w:ilvl="0" w:tplc="665EA04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1062C04"/>
    <w:multiLevelType w:val="hybridMultilevel"/>
    <w:tmpl w:val="51FC9376"/>
    <w:lvl w:ilvl="0" w:tplc="0F1E76D8">
      <w:start w:val="1"/>
      <w:numFmt w:val="bullet"/>
      <w:lvlText w:val=""/>
      <w:lvlJc w:val="left"/>
      <w:pPr>
        <w:ind w:left="720" w:hanging="360"/>
      </w:pPr>
      <w:rPr>
        <w:rFonts w:ascii="Wingdings" w:hAnsi="Wingdings" w:hint="default"/>
        <w:color w:val="FFC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51A57BC6"/>
    <w:multiLevelType w:val="multilevel"/>
    <w:tmpl w:val="08090027"/>
    <w:lvl w:ilvl="0">
      <w:start w:val="1"/>
      <w:numFmt w:val="upperRoman"/>
      <w:lvlText w:val="%1."/>
      <w:lvlJc w:val="left"/>
      <w:pPr>
        <w:ind w:left="3545" w:firstLine="0"/>
      </w:pPr>
    </w:lvl>
    <w:lvl w:ilvl="1">
      <w:start w:val="1"/>
      <w:numFmt w:val="upperLetter"/>
      <w:lvlText w:val="%2."/>
      <w:lvlJc w:val="left"/>
      <w:pPr>
        <w:ind w:left="568"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0" w15:restartNumberingAfterBreak="0">
    <w:nsid w:val="539D7EF2"/>
    <w:multiLevelType w:val="hybridMultilevel"/>
    <w:tmpl w:val="CBFE68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53AF383A"/>
    <w:multiLevelType w:val="hybridMultilevel"/>
    <w:tmpl w:val="9A3ED9EE"/>
    <w:lvl w:ilvl="0" w:tplc="86B2F342">
      <w:start w:val="1"/>
      <w:numFmt w:val="bullet"/>
      <w:lvlText w:val=""/>
      <w:lvlJc w:val="left"/>
      <w:pPr>
        <w:ind w:left="720" w:hanging="360"/>
      </w:pPr>
      <w:rPr>
        <w:rFonts w:ascii="Wingdings" w:hAnsi="Wingdings" w:hint="default"/>
        <w:color w:val="FFC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4FB63FA"/>
    <w:multiLevelType w:val="hybridMultilevel"/>
    <w:tmpl w:val="6CA215E8"/>
    <w:lvl w:ilvl="0" w:tplc="0F1E76D8">
      <w:start w:val="1"/>
      <w:numFmt w:val="bullet"/>
      <w:lvlText w:val=""/>
      <w:lvlJc w:val="left"/>
      <w:pPr>
        <w:ind w:left="720" w:hanging="360"/>
      </w:pPr>
      <w:rPr>
        <w:rFonts w:ascii="Wingdings" w:hAnsi="Wingdings" w:hint="default"/>
        <w:color w:val="FFC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71E5452"/>
    <w:multiLevelType w:val="hybridMultilevel"/>
    <w:tmpl w:val="0FC0B1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15:restartNumberingAfterBreak="0">
    <w:nsid w:val="5CA31A3F"/>
    <w:multiLevelType w:val="hybridMultilevel"/>
    <w:tmpl w:val="427C024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5" w15:restartNumberingAfterBreak="0">
    <w:nsid w:val="5CBE3FED"/>
    <w:multiLevelType w:val="hybridMultilevel"/>
    <w:tmpl w:val="31469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E2A3BC9"/>
    <w:multiLevelType w:val="hybridMultilevel"/>
    <w:tmpl w:val="9CF60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34A5BE3"/>
    <w:multiLevelType w:val="hybridMultilevel"/>
    <w:tmpl w:val="48A8D0A4"/>
    <w:lvl w:ilvl="0" w:tplc="86B2F342">
      <w:start w:val="1"/>
      <w:numFmt w:val="bullet"/>
      <w:lvlText w:val=""/>
      <w:lvlJc w:val="left"/>
      <w:pPr>
        <w:ind w:left="720" w:hanging="360"/>
      </w:pPr>
      <w:rPr>
        <w:rFonts w:ascii="Wingdings" w:hAnsi="Wingdings" w:hint="default"/>
        <w:color w:val="FFC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63B30F96"/>
    <w:multiLevelType w:val="multilevel"/>
    <w:tmpl w:val="7868AD56"/>
    <w:styleLink w:val="Style3"/>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64CB1146"/>
    <w:multiLevelType w:val="hybridMultilevel"/>
    <w:tmpl w:val="9DA42FA6"/>
    <w:lvl w:ilvl="0" w:tplc="0F1E76D8">
      <w:start w:val="1"/>
      <w:numFmt w:val="bullet"/>
      <w:lvlText w:val=""/>
      <w:lvlJc w:val="left"/>
      <w:pPr>
        <w:ind w:left="720" w:hanging="360"/>
      </w:pPr>
      <w:rPr>
        <w:rFonts w:ascii="Wingdings" w:hAnsi="Wingdings" w:hint="default"/>
        <w:color w:val="FFC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55D61AC"/>
    <w:multiLevelType w:val="hybridMultilevel"/>
    <w:tmpl w:val="89864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C8A35E6"/>
    <w:multiLevelType w:val="hybridMultilevel"/>
    <w:tmpl w:val="E2B4C716"/>
    <w:lvl w:ilvl="0" w:tplc="0F1E76D8">
      <w:start w:val="1"/>
      <w:numFmt w:val="bullet"/>
      <w:lvlText w:val=""/>
      <w:lvlJc w:val="left"/>
      <w:pPr>
        <w:ind w:left="720" w:hanging="360"/>
      </w:pPr>
      <w:rPr>
        <w:rFonts w:ascii="Wingdings" w:hAnsi="Wingdings" w:hint="default"/>
        <w:color w:val="FFC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E4467C1"/>
    <w:multiLevelType w:val="hybridMultilevel"/>
    <w:tmpl w:val="232220A4"/>
    <w:lvl w:ilvl="0" w:tplc="5FFE10B8">
      <w:start w:val="1"/>
      <w:numFmt w:val="bullet"/>
      <w:lvlText w:val=""/>
      <w:lvlJc w:val="left"/>
      <w:pPr>
        <w:ind w:left="720" w:hanging="360"/>
      </w:pPr>
      <w:rPr>
        <w:rFonts w:ascii="Wingdings" w:hAnsi="Wingdings" w:hint="default"/>
        <w:color w:val="FFC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70536739"/>
    <w:multiLevelType w:val="hybridMultilevel"/>
    <w:tmpl w:val="1ADCD3E4"/>
    <w:lvl w:ilvl="0" w:tplc="13CE0564">
      <w:start w:val="1"/>
      <w:numFmt w:val="bullet"/>
      <w:lvlText w:val=""/>
      <w:lvlJc w:val="left"/>
      <w:pPr>
        <w:ind w:left="720" w:hanging="360"/>
      </w:pPr>
      <w:rPr>
        <w:rFonts w:ascii="Wingdings" w:hAnsi="Wingdings" w:hint="default"/>
        <w:color w:val="FFC20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72546317"/>
    <w:multiLevelType w:val="hybridMultilevel"/>
    <w:tmpl w:val="D30C0FAE"/>
    <w:lvl w:ilvl="0" w:tplc="04F448A0">
      <w:start w:val="1"/>
      <w:numFmt w:val="bullet"/>
      <w:lvlText w:val=""/>
      <w:lvlJc w:val="left"/>
      <w:pPr>
        <w:ind w:left="720" w:hanging="360"/>
      </w:pPr>
      <w:rPr>
        <w:rFonts w:ascii="Symbol" w:hAnsi="Symbol" w:hint="default"/>
        <w:strike w:val="0"/>
        <w:dstrike w:val="0"/>
        <w:color w:val="auto"/>
        <w:sz w:val="16"/>
        <w:u w:val="none"/>
        <w:effect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2DC28BA"/>
    <w:multiLevelType w:val="multilevel"/>
    <w:tmpl w:val="485EC58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32F1BDE"/>
    <w:multiLevelType w:val="hybridMultilevel"/>
    <w:tmpl w:val="E56E42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7" w15:restartNumberingAfterBreak="0">
    <w:nsid w:val="7377767D"/>
    <w:multiLevelType w:val="hybridMultilevel"/>
    <w:tmpl w:val="CF301F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3CC3D29"/>
    <w:multiLevelType w:val="hybridMultilevel"/>
    <w:tmpl w:val="DAD47A5E"/>
    <w:lvl w:ilvl="0" w:tplc="E012B164">
      <w:start w:val="1"/>
      <w:numFmt w:val="bullet"/>
      <w:lvlText w:val=""/>
      <w:lvlJc w:val="left"/>
      <w:pPr>
        <w:ind w:left="360" w:hanging="360"/>
      </w:pPr>
      <w:rPr>
        <w:rFonts w:ascii="Symbol" w:hAnsi="Symbol" w:hint="default"/>
        <w:strike w:val="0"/>
        <w:dstrike w:val="0"/>
        <w:color w:val="auto"/>
        <w:sz w:val="16"/>
        <w:u w:val="none"/>
        <w:effect w:val="none"/>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9" w15:restartNumberingAfterBreak="0">
    <w:nsid w:val="748F5743"/>
    <w:multiLevelType w:val="hybridMultilevel"/>
    <w:tmpl w:val="E1B473D4"/>
    <w:lvl w:ilvl="0" w:tplc="0F1E76D8">
      <w:start w:val="1"/>
      <w:numFmt w:val="bullet"/>
      <w:lvlText w:val=""/>
      <w:lvlJc w:val="left"/>
      <w:pPr>
        <w:ind w:left="720" w:hanging="360"/>
      </w:pPr>
      <w:rPr>
        <w:rFonts w:ascii="Wingdings" w:hAnsi="Wingdings" w:hint="default"/>
        <w:color w:val="FFC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49A0D8D"/>
    <w:multiLevelType w:val="multilevel"/>
    <w:tmpl w:val="485EC584"/>
    <w:styleLink w:val="Style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75A50060"/>
    <w:multiLevelType w:val="hybridMultilevel"/>
    <w:tmpl w:val="FF864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6172B0E"/>
    <w:multiLevelType w:val="hybridMultilevel"/>
    <w:tmpl w:val="E4146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722246B"/>
    <w:multiLevelType w:val="hybridMultilevel"/>
    <w:tmpl w:val="609823F8"/>
    <w:lvl w:ilvl="0" w:tplc="0A34DB64">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7BE01D9B"/>
    <w:multiLevelType w:val="hybridMultilevel"/>
    <w:tmpl w:val="0DE42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ECE0417"/>
    <w:multiLevelType w:val="multilevel"/>
    <w:tmpl w:val="485EC584"/>
    <w:numStyleLink w:val="Style4"/>
  </w:abstractNum>
  <w:abstractNum w:abstractNumId="66" w15:restartNumberingAfterBreak="0">
    <w:nsid w:val="7FA77FFE"/>
    <w:multiLevelType w:val="hybridMultilevel"/>
    <w:tmpl w:val="21866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0351357">
    <w:abstractNumId w:val="39"/>
  </w:num>
  <w:num w:numId="2" w16cid:durableId="643923866">
    <w:abstractNumId w:val="57"/>
  </w:num>
  <w:num w:numId="3" w16cid:durableId="960644466">
    <w:abstractNumId w:val="37"/>
  </w:num>
  <w:num w:numId="4" w16cid:durableId="1416122824">
    <w:abstractNumId w:val="56"/>
  </w:num>
  <w:num w:numId="5" w16cid:durableId="1554732504">
    <w:abstractNumId w:val="7"/>
  </w:num>
  <w:num w:numId="6" w16cid:durableId="498353244">
    <w:abstractNumId w:val="29"/>
  </w:num>
  <w:num w:numId="7" w16cid:durableId="951060261">
    <w:abstractNumId w:val="21"/>
  </w:num>
  <w:num w:numId="8" w16cid:durableId="1509515443">
    <w:abstractNumId w:val="9"/>
  </w:num>
  <w:num w:numId="9" w16cid:durableId="814374466">
    <w:abstractNumId w:val="61"/>
  </w:num>
  <w:num w:numId="10" w16cid:durableId="1956709314">
    <w:abstractNumId w:val="64"/>
  </w:num>
  <w:num w:numId="11" w16cid:durableId="1168250826">
    <w:abstractNumId w:val="10"/>
  </w:num>
  <w:num w:numId="12" w16cid:durableId="859978533">
    <w:abstractNumId w:val="46"/>
  </w:num>
  <w:num w:numId="13" w16cid:durableId="2018579614">
    <w:abstractNumId w:val="50"/>
  </w:num>
  <w:num w:numId="14" w16cid:durableId="1443961222">
    <w:abstractNumId w:val="33"/>
  </w:num>
  <w:num w:numId="15" w16cid:durableId="1444499461">
    <w:abstractNumId w:val="31"/>
  </w:num>
  <w:num w:numId="16" w16cid:durableId="2055693753">
    <w:abstractNumId w:val="62"/>
  </w:num>
  <w:num w:numId="17" w16cid:durableId="324672511">
    <w:abstractNumId w:val="24"/>
  </w:num>
  <w:num w:numId="18" w16cid:durableId="17584209">
    <w:abstractNumId w:val="45"/>
  </w:num>
  <w:num w:numId="19" w16cid:durableId="1072849833">
    <w:abstractNumId w:val="30"/>
  </w:num>
  <w:num w:numId="20" w16cid:durableId="1367027413">
    <w:abstractNumId w:val="66"/>
  </w:num>
  <w:num w:numId="21" w16cid:durableId="1693795998">
    <w:abstractNumId w:val="40"/>
  </w:num>
  <w:num w:numId="22" w16cid:durableId="983853883">
    <w:abstractNumId w:val="0"/>
  </w:num>
  <w:num w:numId="23" w16cid:durableId="1216159994">
    <w:abstractNumId w:val="11"/>
  </w:num>
  <w:num w:numId="24" w16cid:durableId="1470517344">
    <w:abstractNumId w:val="54"/>
  </w:num>
  <w:num w:numId="25" w16cid:durableId="389814080">
    <w:abstractNumId w:val="58"/>
  </w:num>
  <w:num w:numId="26" w16cid:durableId="1511067071">
    <w:abstractNumId w:val="18"/>
  </w:num>
  <w:num w:numId="27" w16cid:durableId="2034527462">
    <w:abstractNumId w:val="3"/>
  </w:num>
  <w:num w:numId="28" w16cid:durableId="552430675">
    <w:abstractNumId w:val="2"/>
  </w:num>
  <w:num w:numId="29" w16cid:durableId="371729628">
    <w:abstractNumId w:val="34"/>
  </w:num>
  <w:num w:numId="30" w16cid:durableId="2089694879">
    <w:abstractNumId w:val="32"/>
  </w:num>
  <w:num w:numId="31" w16cid:durableId="643580405">
    <w:abstractNumId w:val="13"/>
  </w:num>
  <w:num w:numId="32" w16cid:durableId="1108086670">
    <w:abstractNumId w:val="44"/>
  </w:num>
  <w:num w:numId="33" w16cid:durableId="2067096084">
    <w:abstractNumId w:val="43"/>
  </w:num>
  <w:num w:numId="34" w16cid:durableId="854729150">
    <w:abstractNumId w:val="19"/>
  </w:num>
  <w:num w:numId="35" w16cid:durableId="1712800014">
    <w:abstractNumId w:val="63"/>
  </w:num>
  <w:num w:numId="36" w16cid:durableId="2125151357">
    <w:abstractNumId w:val="52"/>
  </w:num>
  <w:num w:numId="37" w16cid:durableId="1216939452">
    <w:abstractNumId w:val="14"/>
  </w:num>
  <w:num w:numId="38" w16cid:durableId="849873106">
    <w:abstractNumId w:val="1"/>
  </w:num>
  <w:num w:numId="39" w16cid:durableId="330135486">
    <w:abstractNumId w:val="23"/>
  </w:num>
  <w:num w:numId="40" w16cid:durableId="1957174462">
    <w:abstractNumId w:val="53"/>
  </w:num>
  <w:num w:numId="41" w16cid:durableId="1234701347">
    <w:abstractNumId w:val="36"/>
  </w:num>
  <w:num w:numId="42" w16cid:durableId="1354766906">
    <w:abstractNumId w:val="12"/>
  </w:num>
  <w:num w:numId="43" w16cid:durableId="1250312616">
    <w:abstractNumId w:val="8"/>
  </w:num>
  <w:num w:numId="44" w16cid:durableId="141392792">
    <w:abstractNumId w:val="16"/>
  </w:num>
  <w:num w:numId="45" w16cid:durableId="1245338379">
    <w:abstractNumId w:val="35"/>
  </w:num>
  <w:num w:numId="46" w16cid:durableId="1892693896">
    <w:abstractNumId w:val="26"/>
  </w:num>
  <w:num w:numId="47" w16cid:durableId="608583893">
    <w:abstractNumId w:val="41"/>
  </w:num>
  <w:num w:numId="48" w16cid:durableId="1891307581">
    <w:abstractNumId w:val="47"/>
  </w:num>
  <w:num w:numId="49" w16cid:durableId="553587727">
    <w:abstractNumId w:val="25"/>
  </w:num>
  <w:num w:numId="50" w16cid:durableId="904072380">
    <w:abstractNumId w:val="15"/>
  </w:num>
  <w:num w:numId="51" w16cid:durableId="1133213529">
    <w:abstractNumId w:val="55"/>
  </w:num>
  <w:num w:numId="52" w16cid:durableId="1557862840">
    <w:abstractNumId w:val="48"/>
  </w:num>
  <w:num w:numId="53" w16cid:durableId="1803039957">
    <w:abstractNumId w:val="60"/>
  </w:num>
  <w:num w:numId="54" w16cid:durableId="430702991">
    <w:abstractNumId w:val="65"/>
  </w:num>
  <w:num w:numId="55" w16cid:durableId="161941576">
    <w:abstractNumId w:val="17"/>
  </w:num>
  <w:num w:numId="56" w16cid:durableId="1741632726">
    <w:abstractNumId w:val="4"/>
  </w:num>
  <w:num w:numId="57" w16cid:durableId="620382759">
    <w:abstractNumId w:val="42"/>
  </w:num>
  <w:num w:numId="58" w16cid:durableId="556864072">
    <w:abstractNumId w:val="20"/>
  </w:num>
  <w:num w:numId="59" w16cid:durableId="1999841489">
    <w:abstractNumId w:val="51"/>
  </w:num>
  <w:num w:numId="60" w16cid:durableId="358825033">
    <w:abstractNumId w:val="59"/>
  </w:num>
  <w:num w:numId="61" w16cid:durableId="1792244244">
    <w:abstractNumId w:val="38"/>
  </w:num>
  <w:num w:numId="62" w16cid:durableId="554976319">
    <w:abstractNumId w:val="49"/>
  </w:num>
  <w:num w:numId="63" w16cid:durableId="1763141297">
    <w:abstractNumId w:val="27"/>
  </w:num>
  <w:num w:numId="64" w16cid:durableId="1775633166">
    <w:abstractNumId w:val="28"/>
  </w:num>
  <w:num w:numId="65" w16cid:durableId="1369722172">
    <w:abstractNumId w:val="22"/>
  </w:num>
  <w:num w:numId="66" w16cid:durableId="765199916">
    <w:abstractNumId w:val="5"/>
  </w:num>
  <w:num w:numId="67" w16cid:durableId="1015616486">
    <w:abstractNumId w:val="6"/>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4926E8"/>
    <w:rsid w:val="000037A3"/>
    <w:rsid w:val="00003992"/>
    <w:rsid w:val="0000524E"/>
    <w:rsid w:val="000054C9"/>
    <w:rsid w:val="00005B0D"/>
    <w:rsid w:val="000060AA"/>
    <w:rsid w:val="000061DF"/>
    <w:rsid w:val="00007945"/>
    <w:rsid w:val="000106B8"/>
    <w:rsid w:val="00011DAF"/>
    <w:rsid w:val="000144E6"/>
    <w:rsid w:val="00014BE9"/>
    <w:rsid w:val="00014E25"/>
    <w:rsid w:val="00015160"/>
    <w:rsid w:val="00015832"/>
    <w:rsid w:val="00021A00"/>
    <w:rsid w:val="00021BEB"/>
    <w:rsid w:val="00026B2A"/>
    <w:rsid w:val="000302F3"/>
    <w:rsid w:val="00030539"/>
    <w:rsid w:val="00031216"/>
    <w:rsid w:val="00031A41"/>
    <w:rsid w:val="00031D7A"/>
    <w:rsid w:val="00031F59"/>
    <w:rsid w:val="000322DB"/>
    <w:rsid w:val="00035227"/>
    <w:rsid w:val="00035886"/>
    <w:rsid w:val="0003648F"/>
    <w:rsid w:val="00037AED"/>
    <w:rsid w:val="00037EA1"/>
    <w:rsid w:val="00045821"/>
    <w:rsid w:val="00047A93"/>
    <w:rsid w:val="00047C7E"/>
    <w:rsid w:val="0005083B"/>
    <w:rsid w:val="00051348"/>
    <w:rsid w:val="0005167B"/>
    <w:rsid w:val="000525BE"/>
    <w:rsid w:val="00053D86"/>
    <w:rsid w:val="00054D3E"/>
    <w:rsid w:val="00055232"/>
    <w:rsid w:val="00055DFE"/>
    <w:rsid w:val="00056B1F"/>
    <w:rsid w:val="000573D9"/>
    <w:rsid w:val="00063692"/>
    <w:rsid w:val="00063B64"/>
    <w:rsid w:val="00066E8A"/>
    <w:rsid w:val="0006729B"/>
    <w:rsid w:val="000672D2"/>
    <w:rsid w:val="00067731"/>
    <w:rsid w:val="00070C63"/>
    <w:rsid w:val="000718BC"/>
    <w:rsid w:val="000725A4"/>
    <w:rsid w:val="00073198"/>
    <w:rsid w:val="0007361B"/>
    <w:rsid w:val="0007507A"/>
    <w:rsid w:val="00076BA9"/>
    <w:rsid w:val="00082605"/>
    <w:rsid w:val="00083B7E"/>
    <w:rsid w:val="00092283"/>
    <w:rsid w:val="00097F11"/>
    <w:rsid w:val="000A04EC"/>
    <w:rsid w:val="000A0A52"/>
    <w:rsid w:val="000A36A5"/>
    <w:rsid w:val="000B3B28"/>
    <w:rsid w:val="000B3E1B"/>
    <w:rsid w:val="000B449D"/>
    <w:rsid w:val="000B4A93"/>
    <w:rsid w:val="000B5959"/>
    <w:rsid w:val="000B6D16"/>
    <w:rsid w:val="000B6EC7"/>
    <w:rsid w:val="000C02C8"/>
    <w:rsid w:val="000C2B72"/>
    <w:rsid w:val="000C4AE6"/>
    <w:rsid w:val="000D3F05"/>
    <w:rsid w:val="000D5A43"/>
    <w:rsid w:val="000D60D9"/>
    <w:rsid w:val="000D764F"/>
    <w:rsid w:val="000D7E50"/>
    <w:rsid w:val="000E10D7"/>
    <w:rsid w:val="000E11BE"/>
    <w:rsid w:val="000E32B4"/>
    <w:rsid w:val="000E6D28"/>
    <w:rsid w:val="000F229F"/>
    <w:rsid w:val="000F3627"/>
    <w:rsid w:val="000F3A32"/>
    <w:rsid w:val="000F44D1"/>
    <w:rsid w:val="000F480D"/>
    <w:rsid w:val="000F5485"/>
    <w:rsid w:val="000F5B4E"/>
    <w:rsid w:val="000F78A9"/>
    <w:rsid w:val="00100E20"/>
    <w:rsid w:val="00100EB5"/>
    <w:rsid w:val="00100F4C"/>
    <w:rsid w:val="00101698"/>
    <w:rsid w:val="00101FE4"/>
    <w:rsid w:val="0010204B"/>
    <w:rsid w:val="0010589E"/>
    <w:rsid w:val="00107E71"/>
    <w:rsid w:val="00110936"/>
    <w:rsid w:val="00110BC6"/>
    <w:rsid w:val="00111738"/>
    <w:rsid w:val="00112F20"/>
    <w:rsid w:val="0011427A"/>
    <w:rsid w:val="001174E2"/>
    <w:rsid w:val="00117DA4"/>
    <w:rsid w:val="00117DE0"/>
    <w:rsid w:val="001201D3"/>
    <w:rsid w:val="00126528"/>
    <w:rsid w:val="00127279"/>
    <w:rsid w:val="00131924"/>
    <w:rsid w:val="0014220E"/>
    <w:rsid w:val="0014325A"/>
    <w:rsid w:val="0014498F"/>
    <w:rsid w:val="00144BEA"/>
    <w:rsid w:val="00144E76"/>
    <w:rsid w:val="00144F10"/>
    <w:rsid w:val="00145F63"/>
    <w:rsid w:val="00145F7D"/>
    <w:rsid w:val="001516D4"/>
    <w:rsid w:val="0015491D"/>
    <w:rsid w:val="001567F7"/>
    <w:rsid w:val="00156CF5"/>
    <w:rsid w:val="00160A7A"/>
    <w:rsid w:val="0016194B"/>
    <w:rsid w:val="00164208"/>
    <w:rsid w:val="00164445"/>
    <w:rsid w:val="00166EBB"/>
    <w:rsid w:val="00167B69"/>
    <w:rsid w:val="00170015"/>
    <w:rsid w:val="00171659"/>
    <w:rsid w:val="001736AE"/>
    <w:rsid w:val="00173EB9"/>
    <w:rsid w:val="001776DA"/>
    <w:rsid w:val="001778E7"/>
    <w:rsid w:val="001825DD"/>
    <w:rsid w:val="00187BA9"/>
    <w:rsid w:val="00187E49"/>
    <w:rsid w:val="00190941"/>
    <w:rsid w:val="00190D4D"/>
    <w:rsid w:val="001938DD"/>
    <w:rsid w:val="00195846"/>
    <w:rsid w:val="00196457"/>
    <w:rsid w:val="00196AA1"/>
    <w:rsid w:val="001976E6"/>
    <w:rsid w:val="00197CCA"/>
    <w:rsid w:val="001A45E4"/>
    <w:rsid w:val="001A4C17"/>
    <w:rsid w:val="001A4DA0"/>
    <w:rsid w:val="001A6A17"/>
    <w:rsid w:val="001B337F"/>
    <w:rsid w:val="001B34B3"/>
    <w:rsid w:val="001B4D63"/>
    <w:rsid w:val="001B6636"/>
    <w:rsid w:val="001B6ADE"/>
    <w:rsid w:val="001C136B"/>
    <w:rsid w:val="001C2460"/>
    <w:rsid w:val="001C2D6C"/>
    <w:rsid w:val="001C5841"/>
    <w:rsid w:val="001C59C5"/>
    <w:rsid w:val="001D1B73"/>
    <w:rsid w:val="001D1DBE"/>
    <w:rsid w:val="001D21FD"/>
    <w:rsid w:val="001D25EA"/>
    <w:rsid w:val="001D50DC"/>
    <w:rsid w:val="001D55BD"/>
    <w:rsid w:val="001E0335"/>
    <w:rsid w:val="001E0553"/>
    <w:rsid w:val="001E1192"/>
    <w:rsid w:val="001E146F"/>
    <w:rsid w:val="001E4AF8"/>
    <w:rsid w:val="001E5CD5"/>
    <w:rsid w:val="001E7307"/>
    <w:rsid w:val="001F1D2C"/>
    <w:rsid w:val="001F275A"/>
    <w:rsid w:val="001F335B"/>
    <w:rsid w:val="001F5CED"/>
    <w:rsid w:val="001F7083"/>
    <w:rsid w:val="001F79B9"/>
    <w:rsid w:val="001F79F0"/>
    <w:rsid w:val="00200D1C"/>
    <w:rsid w:val="002023AB"/>
    <w:rsid w:val="00202473"/>
    <w:rsid w:val="00203E83"/>
    <w:rsid w:val="002040A8"/>
    <w:rsid w:val="0020622E"/>
    <w:rsid w:val="002121E7"/>
    <w:rsid w:val="002131AF"/>
    <w:rsid w:val="00215A18"/>
    <w:rsid w:val="002169D5"/>
    <w:rsid w:val="00221C9E"/>
    <w:rsid w:val="0022202A"/>
    <w:rsid w:val="0022227E"/>
    <w:rsid w:val="00222785"/>
    <w:rsid w:val="00223F20"/>
    <w:rsid w:val="00224811"/>
    <w:rsid w:val="00225C63"/>
    <w:rsid w:val="0022686E"/>
    <w:rsid w:val="00233A1C"/>
    <w:rsid w:val="0023438D"/>
    <w:rsid w:val="00236823"/>
    <w:rsid w:val="00242E0D"/>
    <w:rsid w:val="0024498B"/>
    <w:rsid w:val="0024572C"/>
    <w:rsid w:val="00245852"/>
    <w:rsid w:val="00254814"/>
    <w:rsid w:val="00261E43"/>
    <w:rsid w:val="00262867"/>
    <w:rsid w:val="002656EF"/>
    <w:rsid w:val="002659F2"/>
    <w:rsid w:val="00265F47"/>
    <w:rsid w:val="002671E8"/>
    <w:rsid w:val="00272BAA"/>
    <w:rsid w:val="00280CEA"/>
    <w:rsid w:val="00283A74"/>
    <w:rsid w:val="00283B5B"/>
    <w:rsid w:val="00283BD1"/>
    <w:rsid w:val="00285552"/>
    <w:rsid w:val="00286EA6"/>
    <w:rsid w:val="00287E08"/>
    <w:rsid w:val="00291ED5"/>
    <w:rsid w:val="00292962"/>
    <w:rsid w:val="002936A4"/>
    <w:rsid w:val="002975DA"/>
    <w:rsid w:val="00297602"/>
    <w:rsid w:val="0029773D"/>
    <w:rsid w:val="002A1D87"/>
    <w:rsid w:val="002A260E"/>
    <w:rsid w:val="002A2CF7"/>
    <w:rsid w:val="002A57E5"/>
    <w:rsid w:val="002A7250"/>
    <w:rsid w:val="002B634A"/>
    <w:rsid w:val="002C1339"/>
    <w:rsid w:val="002C30F6"/>
    <w:rsid w:val="002C6993"/>
    <w:rsid w:val="002C768E"/>
    <w:rsid w:val="002D2F6E"/>
    <w:rsid w:val="002D4518"/>
    <w:rsid w:val="002D48CA"/>
    <w:rsid w:val="002D736E"/>
    <w:rsid w:val="002E0D16"/>
    <w:rsid w:val="002E3AB9"/>
    <w:rsid w:val="002E4923"/>
    <w:rsid w:val="002E4E1C"/>
    <w:rsid w:val="002E60E9"/>
    <w:rsid w:val="002F7834"/>
    <w:rsid w:val="0030479A"/>
    <w:rsid w:val="003119B9"/>
    <w:rsid w:val="003120F8"/>
    <w:rsid w:val="003124BA"/>
    <w:rsid w:val="00313418"/>
    <w:rsid w:val="00313808"/>
    <w:rsid w:val="00314413"/>
    <w:rsid w:val="00314A66"/>
    <w:rsid w:val="0031547F"/>
    <w:rsid w:val="00316E79"/>
    <w:rsid w:val="003170CC"/>
    <w:rsid w:val="00321658"/>
    <w:rsid w:val="00324A17"/>
    <w:rsid w:val="00325682"/>
    <w:rsid w:val="003274DC"/>
    <w:rsid w:val="00331884"/>
    <w:rsid w:val="00332708"/>
    <w:rsid w:val="00335D6E"/>
    <w:rsid w:val="00340D6D"/>
    <w:rsid w:val="00341879"/>
    <w:rsid w:val="00350AD1"/>
    <w:rsid w:val="003629C4"/>
    <w:rsid w:val="003664BE"/>
    <w:rsid w:val="00371528"/>
    <w:rsid w:val="00371F25"/>
    <w:rsid w:val="00372CD2"/>
    <w:rsid w:val="00373A22"/>
    <w:rsid w:val="00374D33"/>
    <w:rsid w:val="0037723A"/>
    <w:rsid w:val="0038045C"/>
    <w:rsid w:val="003814F1"/>
    <w:rsid w:val="00382158"/>
    <w:rsid w:val="00383B9B"/>
    <w:rsid w:val="00385287"/>
    <w:rsid w:val="00385CFB"/>
    <w:rsid w:val="00390932"/>
    <w:rsid w:val="00393F67"/>
    <w:rsid w:val="0039427E"/>
    <w:rsid w:val="00394E34"/>
    <w:rsid w:val="003959CB"/>
    <w:rsid w:val="003A0514"/>
    <w:rsid w:val="003A1398"/>
    <w:rsid w:val="003A41CC"/>
    <w:rsid w:val="003A5523"/>
    <w:rsid w:val="003A654C"/>
    <w:rsid w:val="003A659F"/>
    <w:rsid w:val="003A692E"/>
    <w:rsid w:val="003A7E70"/>
    <w:rsid w:val="003A7F35"/>
    <w:rsid w:val="003B18FF"/>
    <w:rsid w:val="003B1B3C"/>
    <w:rsid w:val="003B24E9"/>
    <w:rsid w:val="003B3A45"/>
    <w:rsid w:val="003B4808"/>
    <w:rsid w:val="003B4FC8"/>
    <w:rsid w:val="003B5EB0"/>
    <w:rsid w:val="003B7B74"/>
    <w:rsid w:val="003B7EAA"/>
    <w:rsid w:val="003C0B2F"/>
    <w:rsid w:val="003C11E6"/>
    <w:rsid w:val="003C46D3"/>
    <w:rsid w:val="003C57A7"/>
    <w:rsid w:val="003C5D6B"/>
    <w:rsid w:val="003C7E47"/>
    <w:rsid w:val="003D18CB"/>
    <w:rsid w:val="003D2625"/>
    <w:rsid w:val="003D26E6"/>
    <w:rsid w:val="003D3A08"/>
    <w:rsid w:val="003D534F"/>
    <w:rsid w:val="003D600C"/>
    <w:rsid w:val="003D6FF3"/>
    <w:rsid w:val="003E0A44"/>
    <w:rsid w:val="003E1AB3"/>
    <w:rsid w:val="003E2A8C"/>
    <w:rsid w:val="003E376D"/>
    <w:rsid w:val="003E5A94"/>
    <w:rsid w:val="003E7848"/>
    <w:rsid w:val="003E7C79"/>
    <w:rsid w:val="003F305D"/>
    <w:rsid w:val="003F3C57"/>
    <w:rsid w:val="003F4132"/>
    <w:rsid w:val="003F41CF"/>
    <w:rsid w:val="003F4D2F"/>
    <w:rsid w:val="003F4E7A"/>
    <w:rsid w:val="003F5F43"/>
    <w:rsid w:val="003F6C1E"/>
    <w:rsid w:val="00400D23"/>
    <w:rsid w:val="0040469F"/>
    <w:rsid w:val="00407A93"/>
    <w:rsid w:val="0041088A"/>
    <w:rsid w:val="00412878"/>
    <w:rsid w:val="00412EBF"/>
    <w:rsid w:val="00414D61"/>
    <w:rsid w:val="00415717"/>
    <w:rsid w:val="004172D4"/>
    <w:rsid w:val="0041757B"/>
    <w:rsid w:val="00420A4A"/>
    <w:rsid w:val="00422AD3"/>
    <w:rsid w:val="00425BC9"/>
    <w:rsid w:val="00425DD2"/>
    <w:rsid w:val="0042668F"/>
    <w:rsid w:val="004329F1"/>
    <w:rsid w:val="00433D50"/>
    <w:rsid w:val="00434660"/>
    <w:rsid w:val="0044001C"/>
    <w:rsid w:val="00440743"/>
    <w:rsid w:val="00440C81"/>
    <w:rsid w:val="00443358"/>
    <w:rsid w:val="004443CA"/>
    <w:rsid w:val="00445293"/>
    <w:rsid w:val="004453DB"/>
    <w:rsid w:val="00445980"/>
    <w:rsid w:val="004464DE"/>
    <w:rsid w:val="004520D2"/>
    <w:rsid w:val="004525CB"/>
    <w:rsid w:val="00452F11"/>
    <w:rsid w:val="004544C7"/>
    <w:rsid w:val="00457DAE"/>
    <w:rsid w:val="00461566"/>
    <w:rsid w:val="00461FEB"/>
    <w:rsid w:val="00463039"/>
    <w:rsid w:val="004639C1"/>
    <w:rsid w:val="004663C1"/>
    <w:rsid w:val="00471B5E"/>
    <w:rsid w:val="004724AB"/>
    <w:rsid w:val="004742C1"/>
    <w:rsid w:val="004753B5"/>
    <w:rsid w:val="00476445"/>
    <w:rsid w:val="00476659"/>
    <w:rsid w:val="00480EEA"/>
    <w:rsid w:val="00481A1B"/>
    <w:rsid w:val="0048360E"/>
    <w:rsid w:val="00487004"/>
    <w:rsid w:val="00487B13"/>
    <w:rsid w:val="004926E8"/>
    <w:rsid w:val="00495595"/>
    <w:rsid w:val="004A1C9A"/>
    <w:rsid w:val="004A58BC"/>
    <w:rsid w:val="004A5B59"/>
    <w:rsid w:val="004A5E18"/>
    <w:rsid w:val="004A6D47"/>
    <w:rsid w:val="004A7454"/>
    <w:rsid w:val="004B2CB2"/>
    <w:rsid w:val="004B472A"/>
    <w:rsid w:val="004B5199"/>
    <w:rsid w:val="004B60CC"/>
    <w:rsid w:val="004B6D4E"/>
    <w:rsid w:val="004B6FF1"/>
    <w:rsid w:val="004C11AB"/>
    <w:rsid w:val="004C1297"/>
    <w:rsid w:val="004C13CE"/>
    <w:rsid w:val="004C327E"/>
    <w:rsid w:val="004C44C4"/>
    <w:rsid w:val="004C47B0"/>
    <w:rsid w:val="004C48FD"/>
    <w:rsid w:val="004C4B92"/>
    <w:rsid w:val="004C6C7A"/>
    <w:rsid w:val="004D07E2"/>
    <w:rsid w:val="004D30FA"/>
    <w:rsid w:val="004D342C"/>
    <w:rsid w:val="004D7A11"/>
    <w:rsid w:val="004D7A3B"/>
    <w:rsid w:val="004E4FF4"/>
    <w:rsid w:val="004E5987"/>
    <w:rsid w:val="004E6A04"/>
    <w:rsid w:val="004E705C"/>
    <w:rsid w:val="004F5806"/>
    <w:rsid w:val="004F5F5E"/>
    <w:rsid w:val="00502422"/>
    <w:rsid w:val="0050268B"/>
    <w:rsid w:val="005030A0"/>
    <w:rsid w:val="00506213"/>
    <w:rsid w:val="00506DE9"/>
    <w:rsid w:val="00510575"/>
    <w:rsid w:val="005114F5"/>
    <w:rsid w:val="00511C5D"/>
    <w:rsid w:val="00514FC0"/>
    <w:rsid w:val="00515FE7"/>
    <w:rsid w:val="00516612"/>
    <w:rsid w:val="00520B90"/>
    <w:rsid w:val="00523C4F"/>
    <w:rsid w:val="005253FD"/>
    <w:rsid w:val="005305AC"/>
    <w:rsid w:val="00530B7E"/>
    <w:rsid w:val="00532BC3"/>
    <w:rsid w:val="005368F5"/>
    <w:rsid w:val="00536AFF"/>
    <w:rsid w:val="0054032E"/>
    <w:rsid w:val="0054126A"/>
    <w:rsid w:val="005412F0"/>
    <w:rsid w:val="00547537"/>
    <w:rsid w:val="005518A5"/>
    <w:rsid w:val="00551FF7"/>
    <w:rsid w:val="00552024"/>
    <w:rsid w:val="00554C6C"/>
    <w:rsid w:val="00556B3A"/>
    <w:rsid w:val="0056029F"/>
    <w:rsid w:val="005653FD"/>
    <w:rsid w:val="005720EF"/>
    <w:rsid w:val="00572EBC"/>
    <w:rsid w:val="00573D04"/>
    <w:rsid w:val="00582D7E"/>
    <w:rsid w:val="005877F9"/>
    <w:rsid w:val="00591B52"/>
    <w:rsid w:val="0059704A"/>
    <w:rsid w:val="005A17D7"/>
    <w:rsid w:val="005A1E8E"/>
    <w:rsid w:val="005A2646"/>
    <w:rsid w:val="005A2691"/>
    <w:rsid w:val="005A2EFD"/>
    <w:rsid w:val="005A319E"/>
    <w:rsid w:val="005A3260"/>
    <w:rsid w:val="005A3E7E"/>
    <w:rsid w:val="005A6DD9"/>
    <w:rsid w:val="005A7001"/>
    <w:rsid w:val="005C0D97"/>
    <w:rsid w:val="005C1C56"/>
    <w:rsid w:val="005C2CBD"/>
    <w:rsid w:val="005C4178"/>
    <w:rsid w:val="005C5772"/>
    <w:rsid w:val="005C6A4C"/>
    <w:rsid w:val="005C6B93"/>
    <w:rsid w:val="005D3561"/>
    <w:rsid w:val="005D4A5E"/>
    <w:rsid w:val="005E5422"/>
    <w:rsid w:val="005E6571"/>
    <w:rsid w:val="005F0D7E"/>
    <w:rsid w:val="005F3529"/>
    <w:rsid w:val="005F772D"/>
    <w:rsid w:val="00601DB2"/>
    <w:rsid w:val="006028C6"/>
    <w:rsid w:val="00604D98"/>
    <w:rsid w:val="00606D0E"/>
    <w:rsid w:val="006110E3"/>
    <w:rsid w:val="00611BE3"/>
    <w:rsid w:val="00611FA7"/>
    <w:rsid w:val="00614923"/>
    <w:rsid w:val="006157AB"/>
    <w:rsid w:val="00616B95"/>
    <w:rsid w:val="00616DF8"/>
    <w:rsid w:val="00617AB5"/>
    <w:rsid w:val="00621A7A"/>
    <w:rsid w:val="00625D1B"/>
    <w:rsid w:val="00626FCE"/>
    <w:rsid w:val="006301A2"/>
    <w:rsid w:val="00630B6A"/>
    <w:rsid w:val="00630C77"/>
    <w:rsid w:val="00630C90"/>
    <w:rsid w:val="00635CBC"/>
    <w:rsid w:val="00635F7E"/>
    <w:rsid w:val="00637A73"/>
    <w:rsid w:val="0064147A"/>
    <w:rsid w:val="006427BB"/>
    <w:rsid w:val="00643A93"/>
    <w:rsid w:val="00645097"/>
    <w:rsid w:val="006468EF"/>
    <w:rsid w:val="00655B04"/>
    <w:rsid w:val="00657044"/>
    <w:rsid w:val="006571C0"/>
    <w:rsid w:val="006620B0"/>
    <w:rsid w:val="006669E9"/>
    <w:rsid w:val="00671DD4"/>
    <w:rsid w:val="00672CD4"/>
    <w:rsid w:val="00674D03"/>
    <w:rsid w:val="00676D86"/>
    <w:rsid w:val="006801DD"/>
    <w:rsid w:val="0068039A"/>
    <w:rsid w:val="0068088B"/>
    <w:rsid w:val="006829DB"/>
    <w:rsid w:val="00683451"/>
    <w:rsid w:val="00684249"/>
    <w:rsid w:val="00686800"/>
    <w:rsid w:val="00690193"/>
    <w:rsid w:val="0069076E"/>
    <w:rsid w:val="0069155F"/>
    <w:rsid w:val="00692108"/>
    <w:rsid w:val="00692D06"/>
    <w:rsid w:val="00694790"/>
    <w:rsid w:val="006957B3"/>
    <w:rsid w:val="00696468"/>
    <w:rsid w:val="006A3295"/>
    <w:rsid w:val="006A4084"/>
    <w:rsid w:val="006A42C7"/>
    <w:rsid w:val="006A4418"/>
    <w:rsid w:val="006A7497"/>
    <w:rsid w:val="006A7947"/>
    <w:rsid w:val="006B08BB"/>
    <w:rsid w:val="006B157F"/>
    <w:rsid w:val="006B27E2"/>
    <w:rsid w:val="006B5321"/>
    <w:rsid w:val="006B6700"/>
    <w:rsid w:val="006B7D8B"/>
    <w:rsid w:val="006C25D3"/>
    <w:rsid w:val="006C2D05"/>
    <w:rsid w:val="006C38FB"/>
    <w:rsid w:val="006C3A5C"/>
    <w:rsid w:val="006C5741"/>
    <w:rsid w:val="006C5BA2"/>
    <w:rsid w:val="006C6A3E"/>
    <w:rsid w:val="006C76A5"/>
    <w:rsid w:val="006D0225"/>
    <w:rsid w:val="006D1BF1"/>
    <w:rsid w:val="006D3C79"/>
    <w:rsid w:val="006D4A7E"/>
    <w:rsid w:val="006D5BB4"/>
    <w:rsid w:val="006D5C0B"/>
    <w:rsid w:val="006E020E"/>
    <w:rsid w:val="006E05BF"/>
    <w:rsid w:val="006E127B"/>
    <w:rsid w:val="006E357D"/>
    <w:rsid w:val="006E643D"/>
    <w:rsid w:val="006F01DD"/>
    <w:rsid w:val="006F02AA"/>
    <w:rsid w:val="006F16C7"/>
    <w:rsid w:val="006F22D3"/>
    <w:rsid w:val="006F3980"/>
    <w:rsid w:val="006F508C"/>
    <w:rsid w:val="006F5417"/>
    <w:rsid w:val="00700505"/>
    <w:rsid w:val="0070053D"/>
    <w:rsid w:val="00704B0D"/>
    <w:rsid w:val="00705F9B"/>
    <w:rsid w:val="0070643B"/>
    <w:rsid w:val="00706ED7"/>
    <w:rsid w:val="00707F6B"/>
    <w:rsid w:val="00710CCA"/>
    <w:rsid w:val="00711222"/>
    <w:rsid w:val="0071137A"/>
    <w:rsid w:val="00712767"/>
    <w:rsid w:val="007146F7"/>
    <w:rsid w:val="0071492B"/>
    <w:rsid w:val="00714A59"/>
    <w:rsid w:val="007206DC"/>
    <w:rsid w:val="00720AD5"/>
    <w:rsid w:val="00724B10"/>
    <w:rsid w:val="00726278"/>
    <w:rsid w:val="00726B89"/>
    <w:rsid w:val="007304D0"/>
    <w:rsid w:val="007312CC"/>
    <w:rsid w:val="00732478"/>
    <w:rsid w:val="00734BDD"/>
    <w:rsid w:val="00735A24"/>
    <w:rsid w:val="00735DD8"/>
    <w:rsid w:val="00740A2A"/>
    <w:rsid w:val="00740D31"/>
    <w:rsid w:val="00741A82"/>
    <w:rsid w:val="00742E79"/>
    <w:rsid w:val="007447D9"/>
    <w:rsid w:val="007530DD"/>
    <w:rsid w:val="00754292"/>
    <w:rsid w:val="00754E79"/>
    <w:rsid w:val="007560CB"/>
    <w:rsid w:val="007606CD"/>
    <w:rsid w:val="00760EF8"/>
    <w:rsid w:val="00763F5F"/>
    <w:rsid w:val="007702CD"/>
    <w:rsid w:val="00772275"/>
    <w:rsid w:val="00777625"/>
    <w:rsid w:val="007829D4"/>
    <w:rsid w:val="007830CF"/>
    <w:rsid w:val="007838FA"/>
    <w:rsid w:val="00784D9A"/>
    <w:rsid w:val="00785DEE"/>
    <w:rsid w:val="00787D02"/>
    <w:rsid w:val="007959ED"/>
    <w:rsid w:val="00795E29"/>
    <w:rsid w:val="00796657"/>
    <w:rsid w:val="007A14E5"/>
    <w:rsid w:val="007A533B"/>
    <w:rsid w:val="007B1F2B"/>
    <w:rsid w:val="007B3C33"/>
    <w:rsid w:val="007B62D1"/>
    <w:rsid w:val="007B7801"/>
    <w:rsid w:val="007C1FE5"/>
    <w:rsid w:val="007C2031"/>
    <w:rsid w:val="007C25D0"/>
    <w:rsid w:val="007D0443"/>
    <w:rsid w:val="007D054A"/>
    <w:rsid w:val="007D0EC1"/>
    <w:rsid w:val="007D10AF"/>
    <w:rsid w:val="007D18F7"/>
    <w:rsid w:val="007D3A5D"/>
    <w:rsid w:val="007D4578"/>
    <w:rsid w:val="007D500E"/>
    <w:rsid w:val="007E026D"/>
    <w:rsid w:val="007E0361"/>
    <w:rsid w:val="007E1B11"/>
    <w:rsid w:val="007E2E50"/>
    <w:rsid w:val="007E3F6D"/>
    <w:rsid w:val="007E4ECB"/>
    <w:rsid w:val="007E5AAA"/>
    <w:rsid w:val="007E6238"/>
    <w:rsid w:val="007F03A1"/>
    <w:rsid w:val="007F2604"/>
    <w:rsid w:val="007F3AAD"/>
    <w:rsid w:val="007F41C4"/>
    <w:rsid w:val="007F45FD"/>
    <w:rsid w:val="007F6353"/>
    <w:rsid w:val="00800273"/>
    <w:rsid w:val="00800381"/>
    <w:rsid w:val="00801C97"/>
    <w:rsid w:val="008027FE"/>
    <w:rsid w:val="0080614C"/>
    <w:rsid w:val="00807ACB"/>
    <w:rsid w:val="0081025C"/>
    <w:rsid w:val="0081096B"/>
    <w:rsid w:val="00810E80"/>
    <w:rsid w:val="00811C19"/>
    <w:rsid w:val="00811DC0"/>
    <w:rsid w:val="008128C8"/>
    <w:rsid w:val="0081350F"/>
    <w:rsid w:val="00813F8C"/>
    <w:rsid w:val="008147EE"/>
    <w:rsid w:val="00816DF2"/>
    <w:rsid w:val="00817A7B"/>
    <w:rsid w:val="008247CF"/>
    <w:rsid w:val="008260B6"/>
    <w:rsid w:val="008273AB"/>
    <w:rsid w:val="00827536"/>
    <w:rsid w:val="00832549"/>
    <w:rsid w:val="00833088"/>
    <w:rsid w:val="00835EF2"/>
    <w:rsid w:val="00837BBB"/>
    <w:rsid w:val="00840C8F"/>
    <w:rsid w:val="008430CE"/>
    <w:rsid w:val="00843466"/>
    <w:rsid w:val="00843D0B"/>
    <w:rsid w:val="008468A0"/>
    <w:rsid w:val="00854F97"/>
    <w:rsid w:val="008556EC"/>
    <w:rsid w:val="00855A9A"/>
    <w:rsid w:val="008621A1"/>
    <w:rsid w:val="008632DC"/>
    <w:rsid w:val="008664BB"/>
    <w:rsid w:val="00870F99"/>
    <w:rsid w:val="00872BB8"/>
    <w:rsid w:val="00874701"/>
    <w:rsid w:val="00877584"/>
    <w:rsid w:val="00880E21"/>
    <w:rsid w:val="00882252"/>
    <w:rsid w:val="0088232B"/>
    <w:rsid w:val="00883378"/>
    <w:rsid w:val="0089331A"/>
    <w:rsid w:val="00893A08"/>
    <w:rsid w:val="00893EA9"/>
    <w:rsid w:val="00894F5E"/>
    <w:rsid w:val="008967FB"/>
    <w:rsid w:val="008A0243"/>
    <w:rsid w:val="008A1DD3"/>
    <w:rsid w:val="008A32D5"/>
    <w:rsid w:val="008A6127"/>
    <w:rsid w:val="008A6748"/>
    <w:rsid w:val="008A6DB3"/>
    <w:rsid w:val="008A71E2"/>
    <w:rsid w:val="008B06F9"/>
    <w:rsid w:val="008B1033"/>
    <w:rsid w:val="008B17B8"/>
    <w:rsid w:val="008B3B8E"/>
    <w:rsid w:val="008B40A5"/>
    <w:rsid w:val="008B4FB9"/>
    <w:rsid w:val="008B5BD0"/>
    <w:rsid w:val="008B680D"/>
    <w:rsid w:val="008B6AEF"/>
    <w:rsid w:val="008B7133"/>
    <w:rsid w:val="008B7350"/>
    <w:rsid w:val="008B7631"/>
    <w:rsid w:val="008C003E"/>
    <w:rsid w:val="008C18F5"/>
    <w:rsid w:val="008C1D51"/>
    <w:rsid w:val="008C225D"/>
    <w:rsid w:val="008C2F6A"/>
    <w:rsid w:val="008C4016"/>
    <w:rsid w:val="008C5F39"/>
    <w:rsid w:val="008C67CC"/>
    <w:rsid w:val="008D05E2"/>
    <w:rsid w:val="008D1E03"/>
    <w:rsid w:val="008D2867"/>
    <w:rsid w:val="008D3696"/>
    <w:rsid w:val="008D58D9"/>
    <w:rsid w:val="008D6F9D"/>
    <w:rsid w:val="008E043B"/>
    <w:rsid w:val="008E1BFA"/>
    <w:rsid w:val="008E1E97"/>
    <w:rsid w:val="008E5BC9"/>
    <w:rsid w:val="008E626D"/>
    <w:rsid w:val="008E75B2"/>
    <w:rsid w:val="008F17CD"/>
    <w:rsid w:val="008F39B6"/>
    <w:rsid w:val="008F5BBB"/>
    <w:rsid w:val="008F7479"/>
    <w:rsid w:val="00902A82"/>
    <w:rsid w:val="00902E98"/>
    <w:rsid w:val="00903EE6"/>
    <w:rsid w:val="00905A54"/>
    <w:rsid w:val="00907106"/>
    <w:rsid w:val="009073B1"/>
    <w:rsid w:val="00911946"/>
    <w:rsid w:val="00911B7A"/>
    <w:rsid w:val="00911EF5"/>
    <w:rsid w:val="00914AD2"/>
    <w:rsid w:val="00915C46"/>
    <w:rsid w:val="00916211"/>
    <w:rsid w:val="0091661B"/>
    <w:rsid w:val="00922C9E"/>
    <w:rsid w:val="0092334B"/>
    <w:rsid w:val="009234FA"/>
    <w:rsid w:val="009236BA"/>
    <w:rsid w:val="00925074"/>
    <w:rsid w:val="00926C91"/>
    <w:rsid w:val="00927D38"/>
    <w:rsid w:val="00931EBB"/>
    <w:rsid w:val="00934485"/>
    <w:rsid w:val="00935546"/>
    <w:rsid w:val="00940C88"/>
    <w:rsid w:val="009421EB"/>
    <w:rsid w:val="0094384B"/>
    <w:rsid w:val="00944CD9"/>
    <w:rsid w:val="00945CDB"/>
    <w:rsid w:val="00946A82"/>
    <w:rsid w:val="00946FED"/>
    <w:rsid w:val="009513BB"/>
    <w:rsid w:val="00952D04"/>
    <w:rsid w:val="00954FCA"/>
    <w:rsid w:val="00955641"/>
    <w:rsid w:val="009564F1"/>
    <w:rsid w:val="00957B15"/>
    <w:rsid w:val="00957E72"/>
    <w:rsid w:val="00963C52"/>
    <w:rsid w:val="00965C07"/>
    <w:rsid w:val="00967C41"/>
    <w:rsid w:val="00973993"/>
    <w:rsid w:val="009750ED"/>
    <w:rsid w:val="00980ADE"/>
    <w:rsid w:val="00980F10"/>
    <w:rsid w:val="00981C3F"/>
    <w:rsid w:val="0098202D"/>
    <w:rsid w:val="00982EF0"/>
    <w:rsid w:val="00987C45"/>
    <w:rsid w:val="0099131C"/>
    <w:rsid w:val="00992AA8"/>
    <w:rsid w:val="00992D99"/>
    <w:rsid w:val="00993835"/>
    <w:rsid w:val="009945ED"/>
    <w:rsid w:val="0099595B"/>
    <w:rsid w:val="00995962"/>
    <w:rsid w:val="009965BE"/>
    <w:rsid w:val="00996E78"/>
    <w:rsid w:val="009A2103"/>
    <w:rsid w:val="009A2A43"/>
    <w:rsid w:val="009A3D6A"/>
    <w:rsid w:val="009B148A"/>
    <w:rsid w:val="009B25F0"/>
    <w:rsid w:val="009B285F"/>
    <w:rsid w:val="009B3009"/>
    <w:rsid w:val="009B34C7"/>
    <w:rsid w:val="009C0257"/>
    <w:rsid w:val="009C0271"/>
    <w:rsid w:val="009C335A"/>
    <w:rsid w:val="009C347D"/>
    <w:rsid w:val="009C3730"/>
    <w:rsid w:val="009C5F4C"/>
    <w:rsid w:val="009C755C"/>
    <w:rsid w:val="009C7D52"/>
    <w:rsid w:val="009D0A93"/>
    <w:rsid w:val="009D19AE"/>
    <w:rsid w:val="009D1E01"/>
    <w:rsid w:val="009D2E2D"/>
    <w:rsid w:val="009D3CB8"/>
    <w:rsid w:val="009D4E9A"/>
    <w:rsid w:val="009D4ED1"/>
    <w:rsid w:val="009D7765"/>
    <w:rsid w:val="009E0598"/>
    <w:rsid w:val="009E0A5C"/>
    <w:rsid w:val="009E2E34"/>
    <w:rsid w:val="009E4750"/>
    <w:rsid w:val="009E60E3"/>
    <w:rsid w:val="009E76F6"/>
    <w:rsid w:val="009F0245"/>
    <w:rsid w:val="009F2974"/>
    <w:rsid w:val="009F2FD3"/>
    <w:rsid w:val="009F42CA"/>
    <w:rsid w:val="009F4F64"/>
    <w:rsid w:val="009F5D6F"/>
    <w:rsid w:val="00A01DC6"/>
    <w:rsid w:val="00A03CAC"/>
    <w:rsid w:val="00A041F4"/>
    <w:rsid w:val="00A05568"/>
    <w:rsid w:val="00A0757C"/>
    <w:rsid w:val="00A10971"/>
    <w:rsid w:val="00A11FD1"/>
    <w:rsid w:val="00A14696"/>
    <w:rsid w:val="00A20FDC"/>
    <w:rsid w:val="00A23C4E"/>
    <w:rsid w:val="00A23CBC"/>
    <w:rsid w:val="00A277F7"/>
    <w:rsid w:val="00A27C8C"/>
    <w:rsid w:val="00A31ECB"/>
    <w:rsid w:val="00A32534"/>
    <w:rsid w:val="00A3257D"/>
    <w:rsid w:val="00A35E1E"/>
    <w:rsid w:val="00A35E8A"/>
    <w:rsid w:val="00A411C7"/>
    <w:rsid w:val="00A4465E"/>
    <w:rsid w:val="00A455D6"/>
    <w:rsid w:val="00A47BAB"/>
    <w:rsid w:val="00A52D5D"/>
    <w:rsid w:val="00A53811"/>
    <w:rsid w:val="00A53DEA"/>
    <w:rsid w:val="00A5438F"/>
    <w:rsid w:val="00A5563A"/>
    <w:rsid w:val="00A6001B"/>
    <w:rsid w:val="00A62B33"/>
    <w:rsid w:val="00A62D4A"/>
    <w:rsid w:val="00A64382"/>
    <w:rsid w:val="00A674AA"/>
    <w:rsid w:val="00A679D5"/>
    <w:rsid w:val="00A67AF9"/>
    <w:rsid w:val="00A70093"/>
    <w:rsid w:val="00A704E9"/>
    <w:rsid w:val="00A722DC"/>
    <w:rsid w:val="00A72796"/>
    <w:rsid w:val="00A734C4"/>
    <w:rsid w:val="00A754F1"/>
    <w:rsid w:val="00A80E85"/>
    <w:rsid w:val="00A847A1"/>
    <w:rsid w:val="00A8725B"/>
    <w:rsid w:val="00A91550"/>
    <w:rsid w:val="00A91648"/>
    <w:rsid w:val="00A929F9"/>
    <w:rsid w:val="00A958FB"/>
    <w:rsid w:val="00A96843"/>
    <w:rsid w:val="00A97C5A"/>
    <w:rsid w:val="00AA049B"/>
    <w:rsid w:val="00AA1018"/>
    <w:rsid w:val="00AA1234"/>
    <w:rsid w:val="00AA25EA"/>
    <w:rsid w:val="00AA35E5"/>
    <w:rsid w:val="00AA49D0"/>
    <w:rsid w:val="00AA5BB4"/>
    <w:rsid w:val="00AA74CE"/>
    <w:rsid w:val="00AA7BA9"/>
    <w:rsid w:val="00AB064D"/>
    <w:rsid w:val="00AB2885"/>
    <w:rsid w:val="00AB5F5E"/>
    <w:rsid w:val="00AC1695"/>
    <w:rsid w:val="00AC2ED0"/>
    <w:rsid w:val="00AC2EDF"/>
    <w:rsid w:val="00AC3200"/>
    <w:rsid w:val="00AC45FA"/>
    <w:rsid w:val="00AC7DD5"/>
    <w:rsid w:val="00AD0091"/>
    <w:rsid w:val="00AD0634"/>
    <w:rsid w:val="00AD29DA"/>
    <w:rsid w:val="00AD4834"/>
    <w:rsid w:val="00AE02FC"/>
    <w:rsid w:val="00AE1A10"/>
    <w:rsid w:val="00AE38BD"/>
    <w:rsid w:val="00AE4AE0"/>
    <w:rsid w:val="00AE55BC"/>
    <w:rsid w:val="00AE7D7A"/>
    <w:rsid w:val="00AF02B3"/>
    <w:rsid w:val="00AF2ECC"/>
    <w:rsid w:val="00AF4FE8"/>
    <w:rsid w:val="00AF5750"/>
    <w:rsid w:val="00AF6686"/>
    <w:rsid w:val="00B00ED9"/>
    <w:rsid w:val="00B046E2"/>
    <w:rsid w:val="00B060ED"/>
    <w:rsid w:val="00B1192B"/>
    <w:rsid w:val="00B1350B"/>
    <w:rsid w:val="00B13EF7"/>
    <w:rsid w:val="00B16531"/>
    <w:rsid w:val="00B227DA"/>
    <w:rsid w:val="00B262D4"/>
    <w:rsid w:val="00B26796"/>
    <w:rsid w:val="00B270D8"/>
    <w:rsid w:val="00B31FFD"/>
    <w:rsid w:val="00B34ADA"/>
    <w:rsid w:val="00B34E45"/>
    <w:rsid w:val="00B355A2"/>
    <w:rsid w:val="00B35BED"/>
    <w:rsid w:val="00B363AA"/>
    <w:rsid w:val="00B3640D"/>
    <w:rsid w:val="00B37F32"/>
    <w:rsid w:val="00B41A5A"/>
    <w:rsid w:val="00B41F58"/>
    <w:rsid w:val="00B42CC7"/>
    <w:rsid w:val="00B47690"/>
    <w:rsid w:val="00B50825"/>
    <w:rsid w:val="00B51D09"/>
    <w:rsid w:val="00B52289"/>
    <w:rsid w:val="00B55C51"/>
    <w:rsid w:val="00B56021"/>
    <w:rsid w:val="00B56D48"/>
    <w:rsid w:val="00B56F12"/>
    <w:rsid w:val="00B570CB"/>
    <w:rsid w:val="00B610C7"/>
    <w:rsid w:val="00B6184F"/>
    <w:rsid w:val="00B61A2F"/>
    <w:rsid w:val="00B620ED"/>
    <w:rsid w:val="00B6233D"/>
    <w:rsid w:val="00B678E6"/>
    <w:rsid w:val="00B70D96"/>
    <w:rsid w:val="00B80EE2"/>
    <w:rsid w:val="00B82696"/>
    <w:rsid w:val="00B82C9A"/>
    <w:rsid w:val="00B85BEF"/>
    <w:rsid w:val="00B87041"/>
    <w:rsid w:val="00B90BDD"/>
    <w:rsid w:val="00B91BFC"/>
    <w:rsid w:val="00B92131"/>
    <w:rsid w:val="00B92FC6"/>
    <w:rsid w:val="00BA1980"/>
    <w:rsid w:val="00BA1F69"/>
    <w:rsid w:val="00BA27F1"/>
    <w:rsid w:val="00BA3BC8"/>
    <w:rsid w:val="00BA48DC"/>
    <w:rsid w:val="00BA51A8"/>
    <w:rsid w:val="00BA6BA5"/>
    <w:rsid w:val="00BB0F11"/>
    <w:rsid w:val="00BB31C5"/>
    <w:rsid w:val="00BB47B2"/>
    <w:rsid w:val="00BB4C28"/>
    <w:rsid w:val="00BB5502"/>
    <w:rsid w:val="00BB55C3"/>
    <w:rsid w:val="00BB7020"/>
    <w:rsid w:val="00BC1286"/>
    <w:rsid w:val="00BC2752"/>
    <w:rsid w:val="00BC3E09"/>
    <w:rsid w:val="00BC43C1"/>
    <w:rsid w:val="00BC55DA"/>
    <w:rsid w:val="00BC68F4"/>
    <w:rsid w:val="00BC7975"/>
    <w:rsid w:val="00BD0EB9"/>
    <w:rsid w:val="00BD5AF1"/>
    <w:rsid w:val="00BD6164"/>
    <w:rsid w:val="00BE1078"/>
    <w:rsid w:val="00BE2034"/>
    <w:rsid w:val="00BE24F2"/>
    <w:rsid w:val="00BE3E33"/>
    <w:rsid w:val="00BE3E6C"/>
    <w:rsid w:val="00BE6289"/>
    <w:rsid w:val="00BE7B10"/>
    <w:rsid w:val="00BF557D"/>
    <w:rsid w:val="00BF61B4"/>
    <w:rsid w:val="00BF6A1A"/>
    <w:rsid w:val="00BF70F7"/>
    <w:rsid w:val="00BF799F"/>
    <w:rsid w:val="00BF79AC"/>
    <w:rsid w:val="00C01E00"/>
    <w:rsid w:val="00C0362D"/>
    <w:rsid w:val="00C03854"/>
    <w:rsid w:val="00C04551"/>
    <w:rsid w:val="00C0464B"/>
    <w:rsid w:val="00C07101"/>
    <w:rsid w:val="00C07E03"/>
    <w:rsid w:val="00C11712"/>
    <w:rsid w:val="00C11811"/>
    <w:rsid w:val="00C11B46"/>
    <w:rsid w:val="00C12750"/>
    <w:rsid w:val="00C14B27"/>
    <w:rsid w:val="00C21B6F"/>
    <w:rsid w:val="00C2359E"/>
    <w:rsid w:val="00C23685"/>
    <w:rsid w:val="00C246E3"/>
    <w:rsid w:val="00C24948"/>
    <w:rsid w:val="00C2518E"/>
    <w:rsid w:val="00C3064F"/>
    <w:rsid w:val="00C32CA9"/>
    <w:rsid w:val="00C33DA2"/>
    <w:rsid w:val="00C343EF"/>
    <w:rsid w:val="00C34662"/>
    <w:rsid w:val="00C355A4"/>
    <w:rsid w:val="00C35961"/>
    <w:rsid w:val="00C359C4"/>
    <w:rsid w:val="00C4327E"/>
    <w:rsid w:val="00C43832"/>
    <w:rsid w:val="00C45607"/>
    <w:rsid w:val="00C46528"/>
    <w:rsid w:val="00C4658D"/>
    <w:rsid w:val="00C505B1"/>
    <w:rsid w:val="00C515DD"/>
    <w:rsid w:val="00C51B4F"/>
    <w:rsid w:val="00C55000"/>
    <w:rsid w:val="00C55067"/>
    <w:rsid w:val="00C631B4"/>
    <w:rsid w:val="00C6390C"/>
    <w:rsid w:val="00C64D48"/>
    <w:rsid w:val="00C64F57"/>
    <w:rsid w:val="00C703D5"/>
    <w:rsid w:val="00C71747"/>
    <w:rsid w:val="00C76CF9"/>
    <w:rsid w:val="00C83058"/>
    <w:rsid w:val="00C854A0"/>
    <w:rsid w:val="00C86523"/>
    <w:rsid w:val="00C87663"/>
    <w:rsid w:val="00C90EF7"/>
    <w:rsid w:val="00C9190B"/>
    <w:rsid w:val="00C93CB0"/>
    <w:rsid w:val="00C95248"/>
    <w:rsid w:val="00C95FCF"/>
    <w:rsid w:val="00C96C92"/>
    <w:rsid w:val="00C97D55"/>
    <w:rsid w:val="00CA42DD"/>
    <w:rsid w:val="00CA6D34"/>
    <w:rsid w:val="00CA7900"/>
    <w:rsid w:val="00CB1386"/>
    <w:rsid w:val="00CB63BD"/>
    <w:rsid w:val="00CB68AD"/>
    <w:rsid w:val="00CB6BF2"/>
    <w:rsid w:val="00CC0404"/>
    <w:rsid w:val="00CC1F5B"/>
    <w:rsid w:val="00CC538B"/>
    <w:rsid w:val="00CC60C2"/>
    <w:rsid w:val="00CD083A"/>
    <w:rsid w:val="00CD3491"/>
    <w:rsid w:val="00CE2B26"/>
    <w:rsid w:val="00CE4B3A"/>
    <w:rsid w:val="00CE6C11"/>
    <w:rsid w:val="00CF080E"/>
    <w:rsid w:val="00CF087B"/>
    <w:rsid w:val="00CF354D"/>
    <w:rsid w:val="00CF5745"/>
    <w:rsid w:val="00D00208"/>
    <w:rsid w:val="00D032A1"/>
    <w:rsid w:val="00D074A5"/>
    <w:rsid w:val="00D074B6"/>
    <w:rsid w:val="00D10281"/>
    <w:rsid w:val="00D10DAE"/>
    <w:rsid w:val="00D11968"/>
    <w:rsid w:val="00D12766"/>
    <w:rsid w:val="00D146A7"/>
    <w:rsid w:val="00D14AA2"/>
    <w:rsid w:val="00D175FA"/>
    <w:rsid w:val="00D212E0"/>
    <w:rsid w:val="00D21728"/>
    <w:rsid w:val="00D22DAC"/>
    <w:rsid w:val="00D245C5"/>
    <w:rsid w:val="00D3127B"/>
    <w:rsid w:val="00D31830"/>
    <w:rsid w:val="00D35057"/>
    <w:rsid w:val="00D3505E"/>
    <w:rsid w:val="00D363B1"/>
    <w:rsid w:val="00D366C1"/>
    <w:rsid w:val="00D41D33"/>
    <w:rsid w:val="00D441DF"/>
    <w:rsid w:val="00D47496"/>
    <w:rsid w:val="00D477B1"/>
    <w:rsid w:val="00D47E2A"/>
    <w:rsid w:val="00D53058"/>
    <w:rsid w:val="00D53837"/>
    <w:rsid w:val="00D542C9"/>
    <w:rsid w:val="00D5571F"/>
    <w:rsid w:val="00D56B88"/>
    <w:rsid w:val="00D577D4"/>
    <w:rsid w:val="00D60831"/>
    <w:rsid w:val="00D619B3"/>
    <w:rsid w:val="00D61D74"/>
    <w:rsid w:val="00D72EAD"/>
    <w:rsid w:val="00D73B61"/>
    <w:rsid w:val="00D7582E"/>
    <w:rsid w:val="00D76983"/>
    <w:rsid w:val="00D80530"/>
    <w:rsid w:val="00D839E4"/>
    <w:rsid w:val="00D95541"/>
    <w:rsid w:val="00D955F0"/>
    <w:rsid w:val="00D97F1C"/>
    <w:rsid w:val="00DA0D67"/>
    <w:rsid w:val="00DA13F6"/>
    <w:rsid w:val="00DB0694"/>
    <w:rsid w:val="00DB07AB"/>
    <w:rsid w:val="00DB0B81"/>
    <w:rsid w:val="00DB0DE5"/>
    <w:rsid w:val="00DB0FC6"/>
    <w:rsid w:val="00DB10D0"/>
    <w:rsid w:val="00DB179F"/>
    <w:rsid w:val="00DB28C2"/>
    <w:rsid w:val="00DB545B"/>
    <w:rsid w:val="00DB6A5C"/>
    <w:rsid w:val="00DB6BAF"/>
    <w:rsid w:val="00DB7511"/>
    <w:rsid w:val="00DC0485"/>
    <w:rsid w:val="00DC4B13"/>
    <w:rsid w:val="00DC7ED4"/>
    <w:rsid w:val="00DD4FCD"/>
    <w:rsid w:val="00DE11C8"/>
    <w:rsid w:val="00DE1C71"/>
    <w:rsid w:val="00DE3411"/>
    <w:rsid w:val="00DE60AE"/>
    <w:rsid w:val="00DF1505"/>
    <w:rsid w:val="00DF2B4E"/>
    <w:rsid w:val="00DF393B"/>
    <w:rsid w:val="00DF452E"/>
    <w:rsid w:val="00DF6085"/>
    <w:rsid w:val="00DF69C2"/>
    <w:rsid w:val="00E00708"/>
    <w:rsid w:val="00E00E13"/>
    <w:rsid w:val="00E02CDB"/>
    <w:rsid w:val="00E036FB"/>
    <w:rsid w:val="00E073FD"/>
    <w:rsid w:val="00E10BE1"/>
    <w:rsid w:val="00E1365C"/>
    <w:rsid w:val="00E1444D"/>
    <w:rsid w:val="00E15210"/>
    <w:rsid w:val="00E15D0E"/>
    <w:rsid w:val="00E15E31"/>
    <w:rsid w:val="00E16340"/>
    <w:rsid w:val="00E21426"/>
    <w:rsid w:val="00E22AA5"/>
    <w:rsid w:val="00E230E5"/>
    <w:rsid w:val="00E27A80"/>
    <w:rsid w:val="00E31EEB"/>
    <w:rsid w:val="00E34E72"/>
    <w:rsid w:val="00E36CBC"/>
    <w:rsid w:val="00E40C70"/>
    <w:rsid w:val="00E40DDF"/>
    <w:rsid w:val="00E4253E"/>
    <w:rsid w:val="00E42F3E"/>
    <w:rsid w:val="00E4321F"/>
    <w:rsid w:val="00E447A4"/>
    <w:rsid w:val="00E46C07"/>
    <w:rsid w:val="00E520C9"/>
    <w:rsid w:val="00E52108"/>
    <w:rsid w:val="00E54B47"/>
    <w:rsid w:val="00E55080"/>
    <w:rsid w:val="00E62551"/>
    <w:rsid w:val="00E62E90"/>
    <w:rsid w:val="00E67A75"/>
    <w:rsid w:val="00E70D20"/>
    <w:rsid w:val="00E71733"/>
    <w:rsid w:val="00E727FE"/>
    <w:rsid w:val="00E74A81"/>
    <w:rsid w:val="00E75E9E"/>
    <w:rsid w:val="00E771F1"/>
    <w:rsid w:val="00E80335"/>
    <w:rsid w:val="00E808BA"/>
    <w:rsid w:val="00E838AD"/>
    <w:rsid w:val="00E847A6"/>
    <w:rsid w:val="00E90F79"/>
    <w:rsid w:val="00E92F07"/>
    <w:rsid w:val="00E9355D"/>
    <w:rsid w:val="00E93C24"/>
    <w:rsid w:val="00E94575"/>
    <w:rsid w:val="00E962BD"/>
    <w:rsid w:val="00EA0114"/>
    <w:rsid w:val="00EA166C"/>
    <w:rsid w:val="00EA21D2"/>
    <w:rsid w:val="00EA35EE"/>
    <w:rsid w:val="00EA60B8"/>
    <w:rsid w:val="00EB7BE5"/>
    <w:rsid w:val="00EC327C"/>
    <w:rsid w:val="00EC4160"/>
    <w:rsid w:val="00EC59BC"/>
    <w:rsid w:val="00EC617F"/>
    <w:rsid w:val="00EC6843"/>
    <w:rsid w:val="00ED0F75"/>
    <w:rsid w:val="00ED267E"/>
    <w:rsid w:val="00ED29C2"/>
    <w:rsid w:val="00ED407C"/>
    <w:rsid w:val="00ED5819"/>
    <w:rsid w:val="00ED6D6A"/>
    <w:rsid w:val="00EE2531"/>
    <w:rsid w:val="00EE3A78"/>
    <w:rsid w:val="00EE4412"/>
    <w:rsid w:val="00EF5556"/>
    <w:rsid w:val="00F03062"/>
    <w:rsid w:val="00F0409D"/>
    <w:rsid w:val="00F04AAD"/>
    <w:rsid w:val="00F05214"/>
    <w:rsid w:val="00F05977"/>
    <w:rsid w:val="00F066B0"/>
    <w:rsid w:val="00F12332"/>
    <w:rsid w:val="00F13379"/>
    <w:rsid w:val="00F13903"/>
    <w:rsid w:val="00F16FFA"/>
    <w:rsid w:val="00F17D37"/>
    <w:rsid w:val="00F22732"/>
    <w:rsid w:val="00F228A8"/>
    <w:rsid w:val="00F23C8F"/>
    <w:rsid w:val="00F360CA"/>
    <w:rsid w:val="00F37EC3"/>
    <w:rsid w:val="00F43375"/>
    <w:rsid w:val="00F439F6"/>
    <w:rsid w:val="00F43DF9"/>
    <w:rsid w:val="00F44338"/>
    <w:rsid w:val="00F44A63"/>
    <w:rsid w:val="00F47899"/>
    <w:rsid w:val="00F53D62"/>
    <w:rsid w:val="00F54D88"/>
    <w:rsid w:val="00F55875"/>
    <w:rsid w:val="00F56275"/>
    <w:rsid w:val="00F5769B"/>
    <w:rsid w:val="00F61A08"/>
    <w:rsid w:val="00F62441"/>
    <w:rsid w:val="00F62A3C"/>
    <w:rsid w:val="00F62C44"/>
    <w:rsid w:val="00F63547"/>
    <w:rsid w:val="00F64069"/>
    <w:rsid w:val="00F64851"/>
    <w:rsid w:val="00F66CAB"/>
    <w:rsid w:val="00F66E2C"/>
    <w:rsid w:val="00F72394"/>
    <w:rsid w:val="00F75019"/>
    <w:rsid w:val="00F75306"/>
    <w:rsid w:val="00F77F71"/>
    <w:rsid w:val="00F8157A"/>
    <w:rsid w:val="00F82CD4"/>
    <w:rsid w:val="00F85D2C"/>
    <w:rsid w:val="00F87676"/>
    <w:rsid w:val="00F90A5C"/>
    <w:rsid w:val="00F93607"/>
    <w:rsid w:val="00F957BF"/>
    <w:rsid w:val="00F97250"/>
    <w:rsid w:val="00FA1599"/>
    <w:rsid w:val="00FA468D"/>
    <w:rsid w:val="00FA53DA"/>
    <w:rsid w:val="00FB0496"/>
    <w:rsid w:val="00FB0DB8"/>
    <w:rsid w:val="00FB2B67"/>
    <w:rsid w:val="00FB4200"/>
    <w:rsid w:val="00FB5B8B"/>
    <w:rsid w:val="00FC140C"/>
    <w:rsid w:val="00FC59A5"/>
    <w:rsid w:val="00FC602A"/>
    <w:rsid w:val="00FC62EC"/>
    <w:rsid w:val="00FC6486"/>
    <w:rsid w:val="00FC6516"/>
    <w:rsid w:val="00FD3004"/>
    <w:rsid w:val="00FD3AD5"/>
    <w:rsid w:val="00FD3F1E"/>
    <w:rsid w:val="00FD5DA2"/>
    <w:rsid w:val="00FD60F2"/>
    <w:rsid w:val="00FD6851"/>
    <w:rsid w:val="00FD6D41"/>
    <w:rsid w:val="00FD747B"/>
    <w:rsid w:val="00FE341A"/>
    <w:rsid w:val="00FE432B"/>
    <w:rsid w:val="00FE7845"/>
    <w:rsid w:val="00FF3B10"/>
    <w:rsid w:val="00FF54F7"/>
    <w:rsid w:val="00FF6A72"/>
    <w:rsid w:val="00FF772E"/>
    <w:rsid w:val="4D76D3B0"/>
    <w:rsid w:val="51F6A2C3"/>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CBF9D"/>
  <w15:docId w15:val="{336ABA36-EC98-4EC6-83E3-533C713B3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45C"/>
    <w:rPr>
      <w:rFonts w:ascii="Arial" w:hAnsi="Arial"/>
      <w:color w:val="595959" w:themeColor="text1" w:themeTint="A6"/>
      <w:sz w:val="20"/>
    </w:rPr>
  </w:style>
  <w:style w:type="paragraph" w:styleId="Heading1">
    <w:name w:val="heading 1"/>
    <w:basedOn w:val="Normal"/>
    <w:next w:val="Normal"/>
    <w:link w:val="Heading1Char"/>
    <w:qFormat/>
    <w:rsid w:val="007830CF"/>
    <w:pPr>
      <w:spacing w:line="240" w:lineRule="auto"/>
      <w:jc w:val="center"/>
      <w:outlineLvl w:val="0"/>
    </w:pPr>
    <w:rPr>
      <w:rFonts w:eastAsia="Times New Roman" w:cs="Arial"/>
      <w:b/>
      <w:caps/>
      <w:color w:val="A50021"/>
      <w:sz w:val="22"/>
      <w:lang w:eastAsia="en-GB"/>
    </w:rPr>
  </w:style>
  <w:style w:type="paragraph" w:styleId="Heading2">
    <w:name w:val="heading 2"/>
    <w:basedOn w:val="Heading1"/>
    <w:next w:val="Normal"/>
    <w:link w:val="Heading2Char"/>
    <w:qFormat/>
    <w:rsid w:val="00692108"/>
    <w:pPr>
      <w:jc w:val="both"/>
      <w:outlineLvl w:val="1"/>
    </w:pPr>
  </w:style>
  <w:style w:type="paragraph" w:styleId="Heading3">
    <w:name w:val="heading 3"/>
    <w:basedOn w:val="Heading2"/>
    <w:next w:val="Normal"/>
    <w:link w:val="Heading3Char"/>
    <w:qFormat/>
    <w:rsid w:val="003C11E6"/>
    <w:pPr>
      <w:tabs>
        <w:tab w:val="left" w:pos="709"/>
      </w:tabs>
      <w:outlineLvl w:val="2"/>
    </w:pPr>
    <w:rPr>
      <w:caps w:val="0"/>
      <w:spacing w:val="-3"/>
      <w:sz w:val="20"/>
      <w:szCs w:val="24"/>
    </w:rPr>
  </w:style>
  <w:style w:type="paragraph" w:styleId="Heading4">
    <w:name w:val="heading 4"/>
    <w:basedOn w:val="Heading3"/>
    <w:next w:val="Normal"/>
    <w:link w:val="Heading4Char"/>
    <w:qFormat/>
    <w:rsid w:val="00FC6486"/>
    <w:pPr>
      <w:outlineLvl w:val="3"/>
    </w:pPr>
    <w:rPr>
      <w:b w:val="0"/>
      <w:i/>
    </w:rPr>
  </w:style>
  <w:style w:type="paragraph" w:styleId="Heading5">
    <w:name w:val="heading 5"/>
    <w:basedOn w:val="Heading2"/>
    <w:next w:val="Normal"/>
    <w:link w:val="Heading5Char"/>
    <w:rsid w:val="00785DEE"/>
    <w:pPr>
      <w:outlineLvl w:val="4"/>
    </w:pPr>
  </w:style>
  <w:style w:type="paragraph" w:styleId="Heading6">
    <w:name w:val="heading 6"/>
    <w:basedOn w:val="Heading3"/>
    <w:next w:val="Normal"/>
    <w:link w:val="Heading6Char"/>
    <w:rsid w:val="00785DEE"/>
    <w:pPr>
      <w:outlineLvl w:val="5"/>
    </w:pPr>
  </w:style>
  <w:style w:type="paragraph" w:styleId="Heading7">
    <w:name w:val="heading 7"/>
    <w:basedOn w:val="Heading4"/>
    <w:next w:val="Normal"/>
    <w:link w:val="Heading7Char"/>
    <w:rsid w:val="00785DEE"/>
    <w:pPr>
      <w:outlineLvl w:val="6"/>
    </w:pPr>
  </w:style>
  <w:style w:type="paragraph" w:styleId="Heading8">
    <w:name w:val="heading 8"/>
    <w:basedOn w:val="Normal"/>
    <w:next w:val="Normal"/>
    <w:link w:val="Heading8Char"/>
    <w:rsid w:val="001976E6"/>
    <w:pPr>
      <w:numPr>
        <w:ilvl w:val="7"/>
        <w:numId w:val="1"/>
      </w:numPr>
      <w:spacing w:before="240" w:after="60" w:line="240" w:lineRule="auto"/>
      <w:outlineLvl w:val="7"/>
    </w:pPr>
    <w:rPr>
      <w:rFonts w:ascii="Times New Roman" w:eastAsia="Times New Roman" w:hAnsi="Times New Roman" w:cs="Times New Roman"/>
      <w:i/>
      <w:iCs/>
      <w:sz w:val="24"/>
      <w:szCs w:val="24"/>
      <w:lang w:eastAsia="en-GB"/>
    </w:rPr>
  </w:style>
  <w:style w:type="paragraph" w:styleId="Heading9">
    <w:name w:val="heading 9"/>
    <w:basedOn w:val="Normal"/>
    <w:next w:val="Normal"/>
    <w:link w:val="Heading9Char"/>
    <w:rsid w:val="001976E6"/>
    <w:pPr>
      <w:numPr>
        <w:ilvl w:val="8"/>
        <w:numId w:val="1"/>
      </w:numPr>
      <w:spacing w:before="240" w:after="60" w:line="240" w:lineRule="auto"/>
      <w:outlineLvl w:val="8"/>
    </w:pPr>
    <w:rPr>
      <w:rFonts w:eastAsia="Times New Roman"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26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6E8"/>
    <w:rPr>
      <w:rFonts w:ascii="Tahoma" w:hAnsi="Tahoma" w:cs="Tahoma"/>
      <w:sz w:val="16"/>
      <w:szCs w:val="16"/>
    </w:rPr>
  </w:style>
  <w:style w:type="character" w:styleId="Hyperlink">
    <w:name w:val="Hyperlink"/>
    <w:uiPriority w:val="99"/>
    <w:rsid w:val="000F3A32"/>
    <w:rPr>
      <w:color w:val="0088CC"/>
      <w:u w:val="single"/>
    </w:rPr>
  </w:style>
  <w:style w:type="paragraph" w:styleId="ListParagraph">
    <w:name w:val="List Paragraph"/>
    <w:basedOn w:val="Normal"/>
    <w:uiPriority w:val="34"/>
    <w:qFormat/>
    <w:rsid w:val="00ED0F75"/>
    <w:pPr>
      <w:ind w:left="720"/>
      <w:contextualSpacing/>
    </w:pPr>
  </w:style>
  <w:style w:type="character" w:customStyle="1" w:styleId="Heading1Char">
    <w:name w:val="Heading 1 Char"/>
    <w:basedOn w:val="DefaultParagraphFont"/>
    <w:link w:val="Heading1"/>
    <w:rsid w:val="007830CF"/>
    <w:rPr>
      <w:rFonts w:ascii="Arial" w:eastAsia="Times New Roman" w:hAnsi="Arial" w:cs="Arial"/>
      <w:b/>
      <w:caps/>
      <w:color w:val="A50021"/>
      <w:lang w:eastAsia="en-GB"/>
    </w:rPr>
  </w:style>
  <w:style w:type="character" w:customStyle="1" w:styleId="Heading2Char">
    <w:name w:val="Heading 2 Char"/>
    <w:basedOn w:val="DefaultParagraphFont"/>
    <w:link w:val="Heading2"/>
    <w:rsid w:val="00692108"/>
    <w:rPr>
      <w:rFonts w:ascii="Arial" w:eastAsia="Times New Roman" w:hAnsi="Arial" w:cs="Arial"/>
      <w:b/>
      <w:caps/>
      <w:color w:val="A50021"/>
      <w:lang w:eastAsia="en-GB"/>
    </w:rPr>
  </w:style>
  <w:style w:type="character" w:customStyle="1" w:styleId="Heading3Char">
    <w:name w:val="Heading 3 Char"/>
    <w:basedOn w:val="DefaultParagraphFont"/>
    <w:link w:val="Heading3"/>
    <w:rsid w:val="003C11E6"/>
    <w:rPr>
      <w:rFonts w:ascii="Arial" w:eastAsia="Times New Roman" w:hAnsi="Arial" w:cs="Arial"/>
      <w:b/>
      <w:color w:val="A50021"/>
      <w:spacing w:val="-3"/>
      <w:sz w:val="20"/>
      <w:szCs w:val="24"/>
      <w:lang w:eastAsia="en-GB"/>
    </w:rPr>
  </w:style>
  <w:style w:type="character" w:customStyle="1" w:styleId="Heading4Char">
    <w:name w:val="Heading 4 Char"/>
    <w:basedOn w:val="DefaultParagraphFont"/>
    <w:link w:val="Heading4"/>
    <w:rsid w:val="00FC6486"/>
    <w:rPr>
      <w:rFonts w:ascii="Arial" w:eastAsia="Times New Roman" w:hAnsi="Arial" w:cs="Arial"/>
      <w:i/>
      <w:color w:val="A50021"/>
      <w:spacing w:val="-3"/>
      <w:sz w:val="20"/>
      <w:szCs w:val="24"/>
      <w:lang w:eastAsia="en-GB"/>
    </w:rPr>
  </w:style>
  <w:style w:type="character" w:customStyle="1" w:styleId="Heading5Char">
    <w:name w:val="Heading 5 Char"/>
    <w:basedOn w:val="DefaultParagraphFont"/>
    <w:link w:val="Heading5"/>
    <w:rsid w:val="00785DEE"/>
    <w:rPr>
      <w:rFonts w:ascii="Arial" w:eastAsia="Times New Roman" w:hAnsi="Arial" w:cs="Arial"/>
      <w:b/>
      <w:caps/>
      <w:color w:val="A50021"/>
      <w:lang w:eastAsia="en-GB"/>
    </w:rPr>
  </w:style>
  <w:style w:type="character" w:customStyle="1" w:styleId="Heading6Char">
    <w:name w:val="Heading 6 Char"/>
    <w:basedOn w:val="DefaultParagraphFont"/>
    <w:link w:val="Heading6"/>
    <w:rsid w:val="00785DEE"/>
    <w:rPr>
      <w:rFonts w:ascii="Arial" w:eastAsia="Times New Roman" w:hAnsi="Arial" w:cs="Arial"/>
      <w:b/>
      <w:color w:val="A50021"/>
      <w:spacing w:val="-3"/>
      <w:sz w:val="20"/>
      <w:szCs w:val="24"/>
      <w:lang w:eastAsia="en-GB"/>
    </w:rPr>
  </w:style>
  <w:style w:type="character" w:customStyle="1" w:styleId="Heading7Char">
    <w:name w:val="Heading 7 Char"/>
    <w:basedOn w:val="DefaultParagraphFont"/>
    <w:link w:val="Heading7"/>
    <w:rsid w:val="00785DEE"/>
    <w:rPr>
      <w:rFonts w:ascii="Arial" w:eastAsia="Times New Roman" w:hAnsi="Arial" w:cs="Arial"/>
      <w:i/>
      <w:color w:val="A50021"/>
      <w:spacing w:val="-3"/>
      <w:sz w:val="20"/>
      <w:szCs w:val="24"/>
      <w:lang w:eastAsia="en-GB"/>
    </w:rPr>
  </w:style>
  <w:style w:type="character" w:customStyle="1" w:styleId="Heading8Char">
    <w:name w:val="Heading 8 Char"/>
    <w:basedOn w:val="DefaultParagraphFont"/>
    <w:link w:val="Heading8"/>
    <w:rsid w:val="001976E6"/>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rsid w:val="001976E6"/>
    <w:rPr>
      <w:rFonts w:ascii="Arial" w:eastAsia="Times New Roman" w:hAnsi="Arial" w:cs="Arial"/>
      <w:sz w:val="20"/>
      <w:lang w:eastAsia="en-GB"/>
    </w:r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T, Exposant 3 Point"/>
    <w:link w:val="1"/>
    <w:uiPriority w:val="99"/>
    <w:rsid w:val="001976E6"/>
    <w:rPr>
      <w:vertAlign w:val="superscript"/>
    </w:rPr>
  </w:style>
  <w:style w:type="paragraph" w:styleId="FootnoteText">
    <w:name w:val="footnote text"/>
    <w:aliases w:val="Schriftart: 9 pt,Schriftart: 10 pt,Schriftart: 8 pt,WB-Fußnotentext,fn,footnote text,Footnotes,Footnote ak,FoodNote,ft,Footnote text,Footnote,Footnote Text Char Char,Footnote Text Char1 Char Char,Footnote Text Char Char Char Char,f"/>
    <w:basedOn w:val="Normal"/>
    <w:link w:val="FootnoteTextChar"/>
    <w:uiPriority w:val="99"/>
    <w:rsid w:val="001976E6"/>
    <w:pPr>
      <w:spacing w:after="0" w:line="240" w:lineRule="auto"/>
    </w:pPr>
    <w:rPr>
      <w:rFonts w:ascii="Times New Roman" w:eastAsia="Times New Roman" w:hAnsi="Times New Roman" w:cs="Times New Roman"/>
      <w:szCs w:val="20"/>
      <w:lang w:eastAsia="en-GB"/>
    </w:rPr>
  </w:style>
  <w:style w:type="character" w:customStyle="1" w:styleId="FootnoteTextChar">
    <w:name w:val="Footnote Text Char"/>
    <w:aliases w:val="Schriftart: 9 pt Char,Schriftart: 10 pt Char,Schriftart: 8 pt Char,WB-Fußnotentext Char,fn Char,footnote text Char,Footnotes Char,Footnote ak Char,FoodNote Char,ft Char,Footnote text Char,Footnote Char,Footnote Text Char Char Char"/>
    <w:basedOn w:val="DefaultParagraphFont"/>
    <w:link w:val="FootnoteText"/>
    <w:uiPriority w:val="99"/>
    <w:rsid w:val="001976E6"/>
    <w:rPr>
      <w:rFonts w:ascii="Times New Roman" w:eastAsia="Times New Roman" w:hAnsi="Times New Roman" w:cs="Times New Roman"/>
      <w:sz w:val="20"/>
      <w:szCs w:val="20"/>
      <w:lang w:eastAsia="en-GB"/>
    </w:rPr>
  </w:style>
  <w:style w:type="paragraph" w:styleId="Header">
    <w:name w:val="header"/>
    <w:basedOn w:val="Normal"/>
    <w:link w:val="HeaderChar"/>
    <w:uiPriority w:val="99"/>
    <w:unhideWhenUsed/>
    <w:rsid w:val="00705F9B"/>
    <w:pPr>
      <w:tabs>
        <w:tab w:val="center" w:pos="4536"/>
        <w:tab w:val="right" w:pos="9072"/>
      </w:tabs>
      <w:spacing w:after="0" w:line="240" w:lineRule="auto"/>
    </w:pPr>
  </w:style>
  <w:style w:type="character" w:customStyle="1" w:styleId="HeaderChar">
    <w:name w:val="Header Char"/>
    <w:basedOn w:val="DefaultParagraphFont"/>
    <w:link w:val="Header"/>
    <w:uiPriority w:val="99"/>
    <w:rsid w:val="00705F9B"/>
  </w:style>
  <w:style w:type="paragraph" w:styleId="Footer">
    <w:name w:val="footer"/>
    <w:basedOn w:val="Normal"/>
    <w:link w:val="FooterChar"/>
    <w:uiPriority w:val="99"/>
    <w:unhideWhenUsed/>
    <w:rsid w:val="00705F9B"/>
    <w:pPr>
      <w:tabs>
        <w:tab w:val="center" w:pos="4536"/>
        <w:tab w:val="right" w:pos="9072"/>
      </w:tabs>
      <w:spacing w:after="0" w:line="240" w:lineRule="auto"/>
    </w:pPr>
  </w:style>
  <w:style w:type="character" w:customStyle="1" w:styleId="FooterChar">
    <w:name w:val="Footer Char"/>
    <w:basedOn w:val="DefaultParagraphFont"/>
    <w:link w:val="Footer"/>
    <w:uiPriority w:val="99"/>
    <w:rsid w:val="00705F9B"/>
  </w:style>
  <w:style w:type="paragraph" w:styleId="TOC5">
    <w:name w:val="toc 5"/>
    <w:basedOn w:val="Normal"/>
    <w:next w:val="Normal"/>
    <w:autoRedefine/>
    <w:uiPriority w:val="39"/>
    <w:rsid w:val="00E71733"/>
    <w:pPr>
      <w:spacing w:after="0" w:line="240" w:lineRule="auto"/>
    </w:pPr>
    <w:rPr>
      <w:rFonts w:ascii="Calibri" w:eastAsia="Times New Roman" w:hAnsi="Calibri" w:cs="Arial"/>
      <w:b/>
      <w:sz w:val="24"/>
      <w:szCs w:val="24"/>
      <w:lang w:eastAsia="en-GB"/>
    </w:rPr>
  </w:style>
  <w:style w:type="character" w:styleId="CommentReference">
    <w:name w:val="annotation reference"/>
    <w:basedOn w:val="DefaultParagraphFont"/>
    <w:unhideWhenUsed/>
    <w:rsid w:val="002E60E9"/>
    <w:rPr>
      <w:sz w:val="16"/>
      <w:szCs w:val="16"/>
    </w:rPr>
  </w:style>
  <w:style w:type="paragraph" w:styleId="CommentText">
    <w:name w:val="annotation text"/>
    <w:basedOn w:val="Normal"/>
    <w:link w:val="CommentTextChar"/>
    <w:unhideWhenUsed/>
    <w:rsid w:val="002E60E9"/>
    <w:pPr>
      <w:spacing w:line="240" w:lineRule="auto"/>
    </w:pPr>
    <w:rPr>
      <w:szCs w:val="20"/>
    </w:rPr>
  </w:style>
  <w:style w:type="character" w:customStyle="1" w:styleId="CommentTextChar">
    <w:name w:val="Comment Text Char"/>
    <w:basedOn w:val="DefaultParagraphFont"/>
    <w:link w:val="CommentText"/>
    <w:rsid w:val="002E60E9"/>
    <w:rPr>
      <w:sz w:val="20"/>
      <w:szCs w:val="20"/>
    </w:rPr>
  </w:style>
  <w:style w:type="paragraph" w:styleId="CommentSubject">
    <w:name w:val="annotation subject"/>
    <w:basedOn w:val="CommentText"/>
    <w:next w:val="CommentText"/>
    <w:link w:val="CommentSubjectChar"/>
    <w:uiPriority w:val="99"/>
    <w:semiHidden/>
    <w:unhideWhenUsed/>
    <w:rsid w:val="002E60E9"/>
    <w:rPr>
      <w:b/>
      <w:bCs/>
    </w:rPr>
  </w:style>
  <w:style w:type="character" w:customStyle="1" w:styleId="CommentSubjectChar">
    <w:name w:val="Comment Subject Char"/>
    <w:basedOn w:val="CommentTextChar"/>
    <w:link w:val="CommentSubject"/>
    <w:uiPriority w:val="99"/>
    <w:semiHidden/>
    <w:rsid w:val="002E60E9"/>
    <w:rPr>
      <w:b/>
      <w:bCs/>
      <w:sz w:val="20"/>
      <w:szCs w:val="20"/>
    </w:rPr>
  </w:style>
  <w:style w:type="paragraph" w:customStyle="1" w:styleId="CM4">
    <w:name w:val="CM4"/>
    <w:basedOn w:val="Normal"/>
    <w:next w:val="Normal"/>
    <w:uiPriority w:val="99"/>
    <w:rsid w:val="00FD3004"/>
    <w:pPr>
      <w:autoSpaceDE w:val="0"/>
      <w:autoSpaceDN w:val="0"/>
      <w:adjustRightInd w:val="0"/>
      <w:spacing w:after="0" w:line="240" w:lineRule="auto"/>
    </w:pPr>
    <w:rPr>
      <w:rFonts w:ascii="EUAlbertina" w:eastAsia="Times New Roman" w:hAnsi="EUAlbertina" w:cs="Times New Roman"/>
      <w:sz w:val="24"/>
      <w:szCs w:val="24"/>
      <w:lang w:eastAsia="en-GB"/>
    </w:rPr>
  </w:style>
  <w:style w:type="paragraph" w:customStyle="1" w:styleId="Default">
    <w:name w:val="Default"/>
    <w:rsid w:val="000144E6"/>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table" w:styleId="TableGrid">
    <w:name w:val="Table Grid"/>
    <w:basedOn w:val="TableNormal"/>
    <w:uiPriority w:val="59"/>
    <w:rsid w:val="00641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E62551"/>
    <w:pPr>
      <w:spacing w:after="120" w:line="360" w:lineRule="atLeast"/>
    </w:pPr>
    <w:rPr>
      <w:rFonts w:ascii="Times New Roman" w:eastAsia="Times New Roman" w:hAnsi="Times New Roman" w:cs="Times New Roman"/>
      <w:sz w:val="26"/>
      <w:szCs w:val="26"/>
      <w:lang w:eastAsia="en-GB"/>
    </w:rPr>
  </w:style>
  <w:style w:type="paragraph" w:customStyle="1" w:styleId="1">
    <w:name w:val="1"/>
    <w:basedOn w:val="Normal"/>
    <w:link w:val="FootnoteReference"/>
    <w:uiPriority w:val="99"/>
    <w:qFormat/>
    <w:rsid w:val="005E6571"/>
    <w:pPr>
      <w:spacing w:after="160" w:line="240" w:lineRule="exact"/>
      <w:jc w:val="both"/>
    </w:pPr>
    <w:rPr>
      <w:vertAlign w:val="superscript"/>
    </w:rPr>
  </w:style>
  <w:style w:type="paragraph" w:styleId="Revision">
    <w:name w:val="Revision"/>
    <w:hidden/>
    <w:uiPriority w:val="99"/>
    <w:semiHidden/>
    <w:rsid w:val="009E2E34"/>
    <w:pPr>
      <w:spacing w:after="0" w:line="240" w:lineRule="auto"/>
    </w:pPr>
  </w:style>
  <w:style w:type="character" w:customStyle="1" w:styleId="Corpsdutexte">
    <w:name w:val="Corps du texte_"/>
    <w:link w:val="Corpsdutexte1"/>
    <w:uiPriority w:val="99"/>
    <w:locked/>
    <w:rsid w:val="00CC0404"/>
    <w:rPr>
      <w:sz w:val="23"/>
      <w:szCs w:val="23"/>
      <w:shd w:val="clear" w:color="auto" w:fill="FFFFFF"/>
    </w:rPr>
  </w:style>
  <w:style w:type="paragraph" w:customStyle="1" w:styleId="Corpsdutexte1">
    <w:name w:val="Corps du texte1"/>
    <w:basedOn w:val="Normal"/>
    <w:link w:val="Corpsdutexte"/>
    <w:uiPriority w:val="99"/>
    <w:rsid w:val="00CC0404"/>
    <w:pPr>
      <w:widowControl w:val="0"/>
      <w:shd w:val="clear" w:color="auto" w:fill="FFFFFF"/>
      <w:spacing w:before="780" w:after="180" w:line="274" w:lineRule="exact"/>
      <w:ind w:hanging="380"/>
      <w:jc w:val="both"/>
    </w:pPr>
    <w:rPr>
      <w:sz w:val="23"/>
      <w:szCs w:val="23"/>
    </w:rPr>
  </w:style>
  <w:style w:type="character" w:customStyle="1" w:styleId="Corpsdutexte0">
    <w:name w:val="Corps du texte"/>
    <w:uiPriority w:val="99"/>
    <w:rsid w:val="00CC0404"/>
    <w:rPr>
      <w:rFonts w:cs="Times New Roman"/>
      <w:sz w:val="23"/>
      <w:szCs w:val="23"/>
      <w:u w:val="single"/>
      <w:shd w:val="clear" w:color="auto" w:fill="FFFFFF"/>
    </w:rPr>
  </w:style>
  <w:style w:type="character" w:styleId="FollowedHyperlink">
    <w:name w:val="FollowedHyperlink"/>
    <w:basedOn w:val="DefaultParagraphFont"/>
    <w:uiPriority w:val="99"/>
    <w:semiHidden/>
    <w:unhideWhenUsed/>
    <w:rsid w:val="00C4327E"/>
    <w:rPr>
      <w:color w:val="800080" w:themeColor="followedHyperlink"/>
      <w:u w:val="single"/>
    </w:rPr>
  </w:style>
  <w:style w:type="paragraph" w:styleId="TOC1">
    <w:name w:val="toc 1"/>
    <w:basedOn w:val="Normal"/>
    <w:next w:val="Normal"/>
    <w:autoRedefine/>
    <w:uiPriority w:val="39"/>
    <w:unhideWhenUsed/>
    <w:rsid w:val="00CB63BD"/>
    <w:pPr>
      <w:tabs>
        <w:tab w:val="right" w:leader="dot" w:pos="8789"/>
      </w:tabs>
      <w:spacing w:before="60" w:after="60" w:line="240" w:lineRule="auto"/>
    </w:pPr>
    <w:rPr>
      <w:rFonts w:eastAsia="Calibri"/>
      <w:b/>
      <w:caps/>
      <w:noProof/>
      <w:sz w:val="16"/>
      <w:shd w:val="clear" w:color="auto" w:fill="FFFFFF"/>
      <w:lang w:eastAsia="it-IT"/>
    </w:rPr>
  </w:style>
  <w:style w:type="paragraph" w:styleId="TOC2">
    <w:name w:val="toc 2"/>
    <w:basedOn w:val="Normal"/>
    <w:next w:val="Normal"/>
    <w:autoRedefine/>
    <w:uiPriority w:val="39"/>
    <w:unhideWhenUsed/>
    <w:rsid w:val="00CB63BD"/>
    <w:pPr>
      <w:tabs>
        <w:tab w:val="right" w:leader="dot" w:pos="8789"/>
      </w:tabs>
      <w:spacing w:before="60" w:after="60" w:line="240" w:lineRule="auto"/>
      <w:ind w:left="140"/>
    </w:pPr>
    <w:rPr>
      <w:b/>
      <w:noProof/>
      <w:sz w:val="16"/>
    </w:rPr>
  </w:style>
  <w:style w:type="paragraph" w:styleId="TOC3">
    <w:name w:val="toc 3"/>
    <w:basedOn w:val="Normal"/>
    <w:next w:val="Normal"/>
    <w:autoRedefine/>
    <w:uiPriority w:val="39"/>
    <w:unhideWhenUsed/>
    <w:rsid w:val="00B31FFD"/>
    <w:pPr>
      <w:tabs>
        <w:tab w:val="right" w:leader="dot" w:pos="8789"/>
      </w:tabs>
      <w:spacing w:before="60" w:after="60" w:line="240" w:lineRule="auto"/>
      <w:ind w:left="300"/>
    </w:pPr>
    <w:rPr>
      <w:noProof/>
      <w:sz w:val="16"/>
    </w:rPr>
  </w:style>
  <w:style w:type="table" w:customStyle="1" w:styleId="TableGrid1">
    <w:name w:val="Table Grid1"/>
    <w:basedOn w:val="TableNormal"/>
    <w:next w:val="TableGrid"/>
    <w:uiPriority w:val="59"/>
    <w:rsid w:val="00A325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4525CB"/>
    <w:pPr>
      <w:spacing w:line="240" w:lineRule="auto"/>
      <w:ind w:left="-360"/>
      <w:jc w:val="both"/>
    </w:pPr>
    <w:rPr>
      <w:rFonts w:ascii="Times New Roman" w:eastAsia="Times New Roman" w:hAnsi="Times New Roman" w:cs="Times New Roman"/>
      <w:noProof/>
      <w:color w:val="595959"/>
      <w:sz w:val="22"/>
      <w:szCs w:val="24"/>
      <w:lang w:val="en-US"/>
    </w:rPr>
  </w:style>
  <w:style w:type="character" w:customStyle="1" w:styleId="BodyTextIndentChar">
    <w:name w:val="Body Text Indent Char"/>
    <w:basedOn w:val="DefaultParagraphFont"/>
    <w:link w:val="BodyTextIndent"/>
    <w:uiPriority w:val="99"/>
    <w:rsid w:val="004525CB"/>
    <w:rPr>
      <w:rFonts w:ascii="Times New Roman" w:eastAsia="Times New Roman" w:hAnsi="Times New Roman" w:cs="Times New Roman"/>
      <w:noProof/>
      <w:color w:val="595959"/>
      <w:szCs w:val="24"/>
      <w:lang w:val="en-US"/>
    </w:rPr>
  </w:style>
  <w:style w:type="paragraph" w:styleId="TOC4">
    <w:name w:val="toc 4"/>
    <w:basedOn w:val="Normal"/>
    <w:next w:val="Normal"/>
    <w:autoRedefine/>
    <w:uiPriority w:val="39"/>
    <w:unhideWhenUsed/>
    <w:rsid w:val="008C2F6A"/>
    <w:pPr>
      <w:tabs>
        <w:tab w:val="right" w:leader="dot" w:pos="8789"/>
      </w:tabs>
      <w:spacing w:before="60" w:after="60" w:line="240" w:lineRule="auto"/>
      <w:ind w:left="601"/>
    </w:pPr>
    <w:rPr>
      <w:i/>
      <w:sz w:val="16"/>
    </w:rPr>
  </w:style>
  <w:style w:type="paragraph" w:customStyle="1" w:styleId="Tags">
    <w:name w:val="Tags"/>
    <w:basedOn w:val="Normal"/>
    <w:link w:val="TagsChar"/>
    <w:qFormat/>
    <w:rsid w:val="005C1C56"/>
    <w:pPr>
      <w:spacing w:before="120" w:after="0"/>
    </w:pPr>
    <w:rPr>
      <w:rFonts w:cs="Arial"/>
      <w:color w:val="B5B5B5"/>
      <w:sz w:val="16"/>
      <w:szCs w:val="16"/>
    </w:rPr>
  </w:style>
  <w:style w:type="character" w:customStyle="1" w:styleId="TagsChar">
    <w:name w:val="Tags Char"/>
    <w:basedOn w:val="DefaultParagraphFont"/>
    <w:link w:val="Tags"/>
    <w:rsid w:val="005C1C56"/>
    <w:rPr>
      <w:rFonts w:ascii="Arial" w:hAnsi="Arial" w:cs="Arial"/>
      <w:color w:val="B5B5B5"/>
      <w:sz w:val="16"/>
      <w:szCs w:val="16"/>
    </w:rPr>
  </w:style>
  <w:style w:type="paragraph" w:customStyle="1" w:styleId="Tag">
    <w:name w:val="Tag"/>
    <w:basedOn w:val="Normal"/>
    <w:link w:val="TagChar"/>
    <w:rsid w:val="00054D3E"/>
    <w:pPr>
      <w:spacing w:before="120" w:after="120" w:line="240" w:lineRule="auto"/>
    </w:pPr>
    <w:rPr>
      <w:rFonts w:eastAsia="Times New Roman" w:cs="Arial"/>
      <w:noProof/>
      <w:color w:val="B5B5B5"/>
      <w:sz w:val="16"/>
      <w:szCs w:val="16"/>
      <w:lang w:val="en-US"/>
    </w:rPr>
  </w:style>
  <w:style w:type="character" w:customStyle="1" w:styleId="TagChar">
    <w:name w:val="Tag Char"/>
    <w:basedOn w:val="BodyTextIndentChar"/>
    <w:link w:val="Tag"/>
    <w:rsid w:val="00054D3E"/>
    <w:rPr>
      <w:rFonts w:ascii="Arial" w:eastAsia="Times New Roman" w:hAnsi="Arial" w:cs="Arial"/>
      <w:noProof/>
      <w:color w:val="B5B5B5"/>
      <w:sz w:val="16"/>
      <w:szCs w:val="16"/>
      <w:lang w:val="en-US"/>
    </w:rPr>
  </w:style>
  <w:style w:type="paragraph" w:styleId="NormalWeb">
    <w:name w:val="Normal (Web)"/>
    <w:basedOn w:val="Normal"/>
    <w:uiPriority w:val="99"/>
    <w:semiHidden/>
    <w:unhideWhenUsed/>
    <w:rsid w:val="003959CB"/>
    <w:pPr>
      <w:spacing w:before="100" w:beforeAutospacing="1" w:after="100" w:afterAutospacing="1" w:line="240" w:lineRule="auto"/>
    </w:pPr>
    <w:rPr>
      <w:rFonts w:ascii="Times New Roman" w:eastAsia="Times New Roman" w:hAnsi="Times New Roman" w:cs="Times New Roman"/>
      <w:color w:val="auto"/>
      <w:sz w:val="24"/>
      <w:szCs w:val="24"/>
      <w:lang w:val="el-GR" w:eastAsia="el-GR"/>
    </w:rPr>
  </w:style>
  <w:style w:type="character" w:styleId="Strong">
    <w:name w:val="Strong"/>
    <w:basedOn w:val="DefaultParagraphFont"/>
    <w:uiPriority w:val="22"/>
    <w:qFormat/>
    <w:rsid w:val="003959CB"/>
    <w:rPr>
      <w:b/>
      <w:bCs/>
    </w:rPr>
  </w:style>
  <w:style w:type="character" w:styleId="PageNumber">
    <w:name w:val="page number"/>
    <w:basedOn w:val="DefaultParagraphFont"/>
    <w:uiPriority w:val="99"/>
    <w:semiHidden/>
    <w:unhideWhenUsed/>
    <w:rsid w:val="00671DD4"/>
  </w:style>
  <w:style w:type="paragraph" w:styleId="Caption">
    <w:name w:val="caption"/>
    <w:basedOn w:val="Normal"/>
    <w:next w:val="Normal"/>
    <w:uiPriority w:val="35"/>
    <w:unhideWhenUsed/>
    <w:qFormat/>
    <w:rsid w:val="00F75306"/>
    <w:pPr>
      <w:keepLines/>
      <w:spacing w:before="120" w:after="120" w:line="240" w:lineRule="auto"/>
      <w:ind w:left="1134" w:hanging="1134"/>
    </w:pPr>
    <w:rPr>
      <w:rFonts w:ascii="Arial Narrow" w:hAnsi="Arial Narrow"/>
      <w:b/>
      <w:i/>
      <w:iCs/>
      <w:color w:val="262626" w:themeColor="text1" w:themeTint="D9"/>
      <w:szCs w:val="18"/>
    </w:rPr>
  </w:style>
  <w:style w:type="numbering" w:customStyle="1" w:styleId="Style3">
    <w:name w:val="Style3"/>
    <w:uiPriority w:val="99"/>
    <w:rsid w:val="00F75306"/>
    <w:pPr>
      <w:numPr>
        <w:numId w:val="52"/>
      </w:numPr>
    </w:pPr>
  </w:style>
  <w:style w:type="numbering" w:customStyle="1" w:styleId="Style4">
    <w:name w:val="Style4"/>
    <w:uiPriority w:val="99"/>
    <w:rsid w:val="00F75306"/>
    <w:pPr>
      <w:numPr>
        <w:numId w:val="5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873171">
      <w:bodyDiv w:val="1"/>
      <w:marLeft w:val="0"/>
      <w:marRight w:val="0"/>
      <w:marTop w:val="0"/>
      <w:marBottom w:val="0"/>
      <w:divBdr>
        <w:top w:val="none" w:sz="0" w:space="0" w:color="auto"/>
        <w:left w:val="none" w:sz="0" w:space="0" w:color="auto"/>
        <w:bottom w:val="none" w:sz="0" w:space="0" w:color="auto"/>
        <w:right w:val="none" w:sz="0" w:space="0" w:color="auto"/>
      </w:divBdr>
    </w:div>
    <w:div w:id="191843969">
      <w:bodyDiv w:val="1"/>
      <w:marLeft w:val="0"/>
      <w:marRight w:val="0"/>
      <w:marTop w:val="0"/>
      <w:marBottom w:val="0"/>
      <w:divBdr>
        <w:top w:val="none" w:sz="0" w:space="0" w:color="auto"/>
        <w:left w:val="none" w:sz="0" w:space="0" w:color="auto"/>
        <w:bottom w:val="none" w:sz="0" w:space="0" w:color="auto"/>
        <w:right w:val="none" w:sz="0" w:space="0" w:color="auto"/>
      </w:divBdr>
    </w:div>
    <w:div w:id="266500914">
      <w:bodyDiv w:val="1"/>
      <w:marLeft w:val="0"/>
      <w:marRight w:val="0"/>
      <w:marTop w:val="0"/>
      <w:marBottom w:val="0"/>
      <w:divBdr>
        <w:top w:val="none" w:sz="0" w:space="0" w:color="auto"/>
        <w:left w:val="none" w:sz="0" w:space="0" w:color="auto"/>
        <w:bottom w:val="none" w:sz="0" w:space="0" w:color="auto"/>
        <w:right w:val="none" w:sz="0" w:space="0" w:color="auto"/>
      </w:divBdr>
    </w:div>
    <w:div w:id="313141911">
      <w:bodyDiv w:val="1"/>
      <w:marLeft w:val="0"/>
      <w:marRight w:val="0"/>
      <w:marTop w:val="0"/>
      <w:marBottom w:val="0"/>
      <w:divBdr>
        <w:top w:val="none" w:sz="0" w:space="0" w:color="auto"/>
        <w:left w:val="none" w:sz="0" w:space="0" w:color="auto"/>
        <w:bottom w:val="none" w:sz="0" w:space="0" w:color="auto"/>
        <w:right w:val="none" w:sz="0" w:space="0" w:color="auto"/>
      </w:divBdr>
    </w:div>
    <w:div w:id="447815543">
      <w:bodyDiv w:val="1"/>
      <w:marLeft w:val="0"/>
      <w:marRight w:val="0"/>
      <w:marTop w:val="0"/>
      <w:marBottom w:val="0"/>
      <w:divBdr>
        <w:top w:val="none" w:sz="0" w:space="0" w:color="auto"/>
        <w:left w:val="none" w:sz="0" w:space="0" w:color="auto"/>
        <w:bottom w:val="none" w:sz="0" w:space="0" w:color="auto"/>
        <w:right w:val="none" w:sz="0" w:space="0" w:color="auto"/>
      </w:divBdr>
    </w:div>
    <w:div w:id="514418555">
      <w:bodyDiv w:val="1"/>
      <w:marLeft w:val="0"/>
      <w:marRight w:val="0"/>
      <w:marTop w:val="0"/>
      <w:marBottom w:val="0"/>
      <w:divBdr>
        <w:top w:val="none" w:sz="0" w:space="0" w:color="auto"/>
        <w:left w:val="none" w:sz="0" w:space="0" w:color="auto"/>
        <w:bottom w:val="none" w:sz="0" w:space="0" w:color="auto"/>
        <w:right w:val="none" w:sz="0" w:space="0" w:color="auto"/>
      </w:divBdr>
    </w:div>
    <w:div w:id="526529141">
      <w:bodyDiv w:val="1"/>
      <w:marLeft w:val="0"/>
      <w:marRight w:val="0"/>
      <w:marTop w:val="0"/>
      <w:marBottom w:val="0"/>
      <w:divBdr>
        <w:top w:val="none" w:sz="0" w:space="0" w:color="auto"/>
        <w:left w:val="none" w:sz="0" w:space="0" w:color="auto"/>
        <w:bottom w:val="none" w:sz="0" w:space="0" w:color="auto"/>
        <w:right w:val="none" w:sz="0" w:space="0" w:color="auto"/>
      </w:divBdr>
    </w:div>
    <w:div w:id="614992694">
      <w:bodyDiv w:val="1"/>
      <w:marLeft w:val="0"/>
      <w:marRight w:val="0"/>
      <w:marTop w:val="0"/>
      <w:marBottom w:val="0"/>
      <w:divBdr>
        <w:top w:val="none" w:sz="0" w:space="0" w:color="auto"/>
        <w:left w:val="none" w:sz="0" w:space="0" w:color="auto"/>
        <w:bottom w:val="none" w:sz="0" w:space="0" w:color="auto"/>
        <w:right w:val="none" w:sz="0" w:space="0" w:color="auto"/>
      </w:divBdr>
    </w:div>
    <w:div w:id="863591194">
      <w:bodyDiv w:val="1"/>
      <w:marLeft w:val="0"/>
      <w:marRight w:val="0"/>
      <w:marTop w:val="0"/>
      <w:marBottom w:val="0"/>
      <w:divBdr>
        <w:top w:val="none" w:sz="0" w:space="0" w:color="auto"/>
        <w:left w:val="none" w:sz="0" w:space="0" w:color="auto"/>
        <w:bottom w:val="none" w:sz="0" w:space="0" w:color="auto"/>
        <w:right w:val="none" w:sz="0" w:space="0" w:color="auto"/>
      </w:divBdr>
    </w:div>
    <w:div w:id="879434997">
      <w:bodyDiv w:val="1"/>
      <w:marLeft w:val="0"/>
      <w:marRight w:val="0"/>
      <w:marTop w:val="0"/>
      <w:marBottom w:val="0"/>
      <w:divBdr>
        <w:top w:val="none" w:sz="0" w:space="0" w:color="auto"/>
        <w:left w:val="none" w:sz="0" w:space="0" w:color="auto"/>
        <w:bottom w:val="none" w:sz="0" w:space="0" w:color="auto"/>
        <w:right w:val="none" w:sz="0" w:space="0" w:color="auto"/>
      </w:divBdr>
    </w:div>
    <w:div w:id="896471942">
      <w:bodyDiv w:val="1"/>
      <w:marLeft w:val="0"/>
      <w:marRight w:val="0"/>
      <w:marTop w:val="0"/>
      <w:marBottom w:val="0"/>
      <w:divBdr>
        <w:top w:val="none" w:sz="0" w:space="0" w:color="auto"/>
        <w:left w:val="none" w:sz="0" w:space="0" w:color="auto"/>
        <w:bottom w:val="none" w:sz="0" w:space="0" w:color="auto"/>
        <w:right w:val="none" w:sz="0" w:space="0" w:color="auto"/>
      </w:divBdr>
    </w:div>
    <w:div w:id="1008403809">
      <w:bodyDiv w:val="1"/>
      <w:marLeft w:val="0"/>
      <w:marRight w:val="0"/>
      <w:marTop w:val="0"/>
      <w:marBottom w:val="0"/>
      <w:divBdr>
        <w:top w:val="none" w:sz="0" w:space="0" w:color="auto"/>
        <w:left w:val="none" w:sz="0" w:space="0" w:color="auto"/>
        <w:bottom w:val="none" w:sz="0" w:space="0" w:color="auto"/>
        <w:right w:val="none" w:sz="0" w:space="0" w:color="auto"/>
      </w:divBdr>
    </w:div>
    <w:div w:id="1179924431">
      <w:bodyDiv w:val="1"/>
      <w:marLeft w:val="0"/>
      <w:marRight w:val="0"/>
      <w:marTop w:val="0"/>
      <w:marBottom w:val="0"/>
      <w:divBdr>
        <w:top w:val="none" w:sz="0" w:space="0" w:color="auto"/>
        <w:left w:val="none" w:sz="0" w:space="0" w:color="auto"/>
        <w:bottom w:val="none" w:sz="0" w:space="0" w:color="auto"/>
        <w:right w:val="none" w:sz="0" w:space="0" w:color="auto"/>
      </w:divBdr>
    </w:div>
    <w:div w:id="1224871498">
      <w:bodyDiv w:val="1"/>
      <w:marLeft w:val="0"/>
      <w:marRight w:val="0"/>
      <w:marTop w:val="0"/>
      <w:marBottom w:val="0"/>
      <w:divBdr>
        <w:top w:val="none" w:sz="0" w:space="0" w:color="auto"/>
        <w:left w:val="none" w:sz="0" w:space="0" w:color="auto"/>
        <w:bottom w:val="none" w:sz="0" w:space="0" w:color="auto"/>
        <w:right w:val="none" w:sz="0" w:space="0" w:color="auto"/>
      </w:divBdr>
    </w:div>
    <w:div w:id="1256547514">
      <w:bodyDiv w:val="1"/>
      <w:marLeft w:val="0"/>
      <w:marRight w:val="0"/>
      <w:marTop w:val="0"/>
      <w:marBottom w:val="0"/>
      <w:divBdr>
        <w:top w:val="none" w:sz="0" w:space="0" w:color="auto"/>
        <w:left w:val="none" w:sz="0" w:space="0" w:color="auto"/>
        <w:bottom w:val="none" w:sz="0" w:space="0" w:color="auto"/>
        <w:right w:val="none" w:sz="0" w:space="0" w:color="auto"/>
      </w:divBdr>
    </w:div>
    <w:div w:id="1309630201">
      <w:bodyDiv w:val="1"/>
      <w:marLeft w:val="0"/>
      <w:marRight w:val="0"/>
      <w:marTop w:val="0"/>
      <w:marBottom w:val="0"/>
      <w:divBdr>
        <w:top w:val="none" w:sz="0" w:space="0" w:color="auto"/>
        <w:left w:val="none" w:sz="0" w:space="0" w:color="auto"/>
        <w:bottom w:val="none" w:sz="0" w:space="0" w:color="auto"/>
        <w:right w:val="none" w:sz="0" w:space="0" w:color="auto"/>
      </w:divBdr>
    </w:div>
    <w:div w:id="1326740642">
      <w:bodyDiv w:val="1"/>
      <w:marLeft w:val="0"/>
      <w:marRight w:val="0"/>
      <w:marTop w:val="0"/>
      <w:marBottom w:val="0"/>
      <w:divBdr>
        <w:top w:val="none" w:sz="0" w:space="0" w:color="auto"/>
        <w:left w:val="none" w:sz="0" w:space="0" w:color="auto"/>
        <w:bottom w:val="none" w:sz="0" w:space="0" w:color="auto"/>
        <w:right w:val="none" w:sz="0" w:space="0" w:color="auto"/>
      </w:divBdr>
    </w:div>
    <w:div w:id="1334187374">
      <w:bodyDiv w:val="1"/>
      <w:marLeft w:val="0"/>
      <w:marRight w:val="0"/>
      <w:marTop w:val="0"/>
      <w:marBottom w:val="0"/>
      <w:divBdr>
        <w:top w:val="none" w:sz="0" w:space="0" w:color="auto"/>
        <w:left w:val="none" w:sz="0" w:space="0" w:color="auto"/>
        <w:bottom w:val="none" w:sz="0" w:space="0" w:color="auto"/>
        <w:right w:val="none" w:sz="0" w:space="0" w:color="auto"/>
      </w:divBdr>
    </w:div>
    <w:div w:id="1356268571">
      <w:bodyDiv w:val="1"/>
      <w:marLeft w:val="0"/>
      <w:marRight w:val="0"/>
      <w:marTop w:val="0"/>
      <w:marBottom w:val="0"/>
      <w:divBdr>
        <w:top w:val="none" w:sz="0" w:space="0" w:color="auto"/>
        <w:left w:val="none" w:sz="0" w:space="0" w:color="auto"/>
        <w:bottom w:val="none" w:sz="0" w:space="0" w:color="auto"/>
        <w:right w:val="none" w:sz="0" w:space="0" w:color="auto"/>
      </w:divBdr>
    </w:div>
    <w:div w:id="1375929816">
      <w:bodyDiv w:val="1"/>
      <w:marLeft w:val="0"/>
      <w:marRight w:val="0"/>
      <w:marTop w:val="0"/>
      <w:marBottom w:val="0"/>
      <w:divBdr>
        <w:top w:val="none" w:sz="0" w:space="0" w:color="auto"/>
        <w:left w:val="none" w:sz="0" w:space="0" w:color="auto"/>
        <w:bottom w:val="none" w:sz="0" w:space="0" w:color="auto"/>
        <w:right w:val="none" w:sz="0" w:space="0" w:color="auto"/>
      </w:divBdr>
    </w:div>
    <w:div w:id="1384715922">
      <w:bodyDiv w:val="1"/>
      <w:marLeft w:val="0"/>
      <w:marRight w:val="0"/>
      <w:marTop w:val="0"/>
      <w:marBottom w:val="0"/>
      <w:divBdr>
        <w:top w:val="none" w:sz="0" w:space="0" w:color="auto"/>
        <w:left w:val="none" w:sz="0" w:space="0" w:color="auto"/>
        <w:bottom w:val="none" w:sz="0" w:space="0" w:color="auto"/>
        <w:right w:val="none" w:sz="0" w:space="0" w:color="auto"/>
      </w:divBdr>
    </w:div>
    <w:div w:id="1408962684">
      <w:bodyDiv w:val="1"/>
      <w:marLeft w:val="0"/>
      <w:marRight w:val="0"/>
      <w:marTop w:val="0"/>
      <w:marBottom w:val="0"/>
      <w:divBdr>
        <w:top w:val="none" w:sz="0" w:space="0" w:color="auto"/>
        <w:left w:val="none" w:sz="0" w:space="0" w:color="auto"/>
        <w:bottom w:val="none" w:sz="0" w:space="0" w:color="auto"/>
        <w:right w:val="none" w:sz="0" w:space="0" w:color="auto"/>
      </w:divBdr>
    </w:div>
    <w:div w:id="1495336509">
      <w:bodyDiv w:val="1"/>
      <w:marLeft w:val="0"/>
      <w:marRight w:val="0"/>
      <w:marTop w:val="0"/>
      <w:marBottom w:val="0"/>
      <w:divBdr>
        <w:top w:val="none" w:sz="0" w:space="0" w:color="auto"/>
        <w:left w:val="none" w:sz="0" w:space="0" w:color="auto"/>
        <w:bottom w:val="none" w:sz="0" w:space="0" w:color="auto"/>
        <w:right w:val="none" w:sz="0" w:space="0" w:color="auto"/>
      </w:divBdr>
    </w:div>
    <w:div w:id="1616713082">
      <w:bodyDiv w:val="1"/>
      <w:marLeft w:val="0"/>
      <w:marRight w:val="0"/>
      <w:marTop w:val="0"/>
      <w:marBottom w:val="0"/>
      <w:divBdr>
        <w:top w:val="none" w:sz="0" w:space="0" w:color="auto"/>
        <w:left w:val="none" w:sz="0" w:space="0" w:color="auto"/>
        <w:bottom w:val="none" w:sz="0" w:space="0" w:color="auto"/>
        <w:right w:val="none" w:sz="0" w:space="0" w:color="auto"/>
      </w:divBdr>
    </w:div>
    <w:div w:id="1623413810">
      <w:bodyDiv w:val="1"/>
      <w:marLeft w:val="0"/>
      <w:marRight w:val="0"/>
      <w:marTop w:val="0"/>
      <w:marBottom w:val="0"/>
      <w:divBdr>
        <w:top w:val="none" w:sz="0" w:space="0" w:color="auto"/>
        <w:left w:val="none" w:sz="0" w:space="0" w:color="auto"/>
        <w:bottom w:val="none" w:sz="0" w:space="0" w:color="auto"/>
        <w:right w:val="none" w:sz="0" w:space="0" w:color="auto"/>
      </w:divBdr>
    </w:div>
    <w:div w:id="1641425403">
      <w:bodyDiv w:val="1"/>
      <w:marLeft w:val="0"/>
      <w:marRight w:val="0"/>
      <w:marTop w:val="0"/>
      <w:marBottom w:val="0"/>
      <w:divBdr>
        <w:top w:val="none" w:sz="0" w:space="0" w:color="auto"/>
        <w:left w:val="none" w:sz="0" w:space="0" w:color="auto"/>
        <w:bottom w:val="none" w:sz="0" w:space="0" w:color="auto"/>
        <w:right w:val="none" w:sz="0" w:space="0" w:color="auto"/>
      </w:divBdr>
    </w:div>
    <w:div w:id="1788114029">
      <w:bodyDiv w:val="1"/>
      <w:marLeft w:val="0"/>
      <w:marRight w:val="0"/>
      <w:marTop w:val="0"/>
      <w:marBottom w:val="0"/>
      <w:divBdr>
        <w:top w:val="none" w:sz="0" w:space="0" w:color="auto"/>
        <w:left w:val="none" w:sz="0" w:space="0" w:color="auto"/>
        <w:bottom w:val="none" w:sz="0" w:space="0" w:color="auto"/>
        <w:right w:val="none" w:sz="0" w:space="0" w:color="auto"/>
      </w:divBdr>
    </w:div>
    <w:div w:id="1819612657">
      <w:bodyDiv w:val="1"/>
      <w:marLeft w:val="0"/>
      <w:marRight w:val="0"/>
      <w:marTop w:val="0"/>
      <w:marBottom w:val="0"/>
      <w:divBdr>
        <w:top w:val="none" w:sz="0" w:space="0" w:color="auto"/>
        <w:left w:val="none" w:sz="0" w:space="0" w:color="auto"/>
        <w:bottom w:val="none" w:sz="0" w:space="0" w:color="auto"/>
        <w:right w:val="none" w:sz="0" w:space="0" w:color="auto"/>
      </w:divBdr>
    </w:div>
    <w:div w:id="1861623289">
      <w:bodyDiv w:val="1"/>
      <w:marLeft w:val="0"/>
      <w:marRight w:val="0"/>
      <w:marTop w:val="0"/>
      <w:marBottom w:val="0"/>
      <w:divBdr>
        <w:top w:val="none" w:sz="0" w:space="0" w:color="auto"/>
        <w:left w:val="none" w:sz="0" w:space="0" w:color="auto"/>
        <w:bottom w:val="none" w:sz="0" w:space="0" w:color="auto"/>
        <w:right w:val="none" w:sz="0" w:space="0" w:color="auto"/>
      </w:divBdr>
    </w:div>
    <w:div w:id="1874881360">
      <w:bodyDiv w:val="1"/>
      <w:marLeft w:val="0"/>
      <w:marRight w:val="0"/>
      <w:marTop w:val="0"/>
      <w:marBottom w:val="0"/>
      <w:divBdr>
        <w:top w:val="none" w:sz="0" w:space="0" w:color="auto"/>
        <w:left w:val="none" w:sz="0" w:space="0" w:color="auto"/>
        <w:bottom w:val="none" w:sz="0" w:space="0" w:color="auto"/>
        <w:right w:val="none" w:sz="0" w:space="0" w:color="auto"/>
      </w:divBdr>
    </w:div>
    <w:div w:id="2043940399">
      <w:bodyDiv w:val="1"/>
      <w:marLeft w:val="0"/>
      <w:marRight w:val="0"/>
      <w:marTop w:val="0"/>
      <w:marBottom w:val="0"/>
      <w:divBdr>
        <w:top w:val="none" w:sz="0" w:space="0" w:color="auto"/>
        <w:left w:val="none" w:sz="0" w:space="0" w:color="auto"/>
        <w:bottom w:val="none" w:sz="0" w:space="0" w:color="auto"/>
        <w:right w:val="none" w:sz="0" w:space="0" w:color="auto"/>
      </w:divBdr>
    </w:div>
    <w:div w:id="213478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microsoft.com/office/2018/08/relationships/commentsExtensible" Target="commentsExtensible.xml"/><Relationship Id="rId26" Type="http://schemas.openxmlformats.org/officeDocument/2006/relationships/hyperlink" Target="https://oss.renoingr.gr/templates/" TargetMode="External"/><Relationship Id="rId39" Type="http://schemas.openxmlformats.org/officeDocument/2006/relationships/image" Target="media/image12.emf"/><Relationship Id="rId21" Type="http://schemas.openxmlformats.org/officeDocument/2006/relationships/diagramQuickStyle" Target="diagrams/quickStyle1.xml"/><Relationship Id="rId34" Type="http://schemas.openxmlformats.org/officeDocument/2006/relationships/hyperlink" Target="https://oss.renoingr.gr/low-embodied_carbon_materials/" TargetMode="External"/><Relationship Id="rId42" Type="http://schemas.openxmlformats.org/officeDocument/2006/relationships/image" Target="media/image15.emf"/><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microsoft.com/office/2011/relationships/commentsExtended" Target="commentsExtended.xml"/><Relationship Id="rId29" Type="http://schemas.openxmlformats.org/officeDocument/2006/relationships/hyperlink" Target="https://oss.renoingr.gr/project_assistance_guide/" TargetMode="External"/><Relationship Id="rId11" Type="http://schemas.openxmlformats.org/officeDocument/2006/relationships/image" Target="media/image2.png"/><Relationship Id="rId24" Type="http://schemas.openxmlformats.org/officeDocument/2006/relationships/hyperlink" Target="https://oss.renoingr.gr/" TargetMode="External"/><Relationship Id="rId32" Type="http://schemas.openxmlformats.org/officeDocument/2006/relationships/image" Target="media/image6.jpeg"/><Relationship Id="rId37" Type="http://schemas.openxmlformats.org/officeDocument/2006/relationships/image" Target="media/image10.emf"/><Relationship Id="rId40" Type="http://schemas.openxmlformats.org/officeDocument/2006/relationships/image" Target="media/image13.emf"/><Relationship Id="rId45"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comments" Target="comments.xml"/><Relationship Id="rId23" Type="http://schemas.microsoft.com/office/2007/relationships/diagramDrawing" Target="diagrams/drawing1.xml"/><Relationship Id="rId28" Type="http://schemas.openxmlformats.org/officeDocument/2006/relationships/image" Target="media/image4.png"/><Relationship Id="rId36" Type="http://schemas.openxmlformats.org/officeDocument/2006/relationships/image" Target="media/image9.emf"/><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diagramData" Target="diagrams/data1.xml"/><Relationship Id="rId31" Type="http://schemas.openxmlformats.org/officeDocument/2006/relationships/image" Target="media/image5.png"/><Relationship Id="rId44" Type="http://schemas.openxmlformats.org/officeDocument/2006/relationships/image" Target="media/image17.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diagramColors" Target="diagrams/colors1.xml"/><Relationship Id="rId27" Type="http://schemas.openxmlformats.org/officeDocument/2006/relationships/hyperlink" Target="https://oss.renoingr.gr/templates/" TargetMode="External"/><Relationship Id="rId30" Type="http://schemas.openxmlformats.org/officeDocument/2006/relationships/hyperlink" Target="https://oss.renoingr.gr/n-zeb/" TargetMode="External"/><Relationship Id="rId35" Type="http://schemas.openxmlformats.org/officeDocument/2006/relationships/image" Target="media/image8.emf"/><Relationship Id="rId43" Type="http://schemas.openxmlformats.org/officeDocument/2006/relationships/image" Target="media/image16.emf"/><Relationship Id="rId48"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ebgate.ec.europa.eu/life/kpi" TargetMode="External"/><Relationship Id="rId17" Type="http://schemas.microsoft.com/office/2016/09/relationships/commentsIds" Target="commentsIds.xml"/><Relationship Id="rId25" Type="http://schemas.openxmlformats.org/officeDocument/2006/relationships/image" Target="media/image3.emf"/><Relationship Id="rId33" Type="http://schemas.openxmlformats.org/officeDocument/2006/relationships/image" Target="media/image7.png"/><Relationship Id="rId38" Type="http://schemas.openxmlformats.org/officeDocument/2006/relationships/image" Target="media/image11.emf"/><Relationship Id="rId46" Type="http://schemas.openxmlformats.org/officeDocument/2006/relationships/header" Target="header3.xml"/><Relationship Id="rId20" Type="http://schemas.openxmlformats.org/officeDocument/2006/relationships/diagramLayout" Target="diagrams/layout1.xml"/><Relationship Id="rId41" Type="http://schemas.openxmlformats.org/officeDocument/2006/relationships/image" Target="media/image14.emf"/><Relationship Id="rId1" Type="http://schemas.openxmlformats.org/officeDocument/2006/relationships/customXml" Target="../customXml/item1.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prodesaproject.eu/%ce%bb%ce%ae%cf%88%ce%b5%ce%b9%cf%82/%cf%87%cf%81%ce%ae%cf%83%ce%b9%ce%bc%ce%bf-%cf%85%ce%bb%ce%b9%ce%ba%cf%8c/"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018F194-CE64-4747-8EE8-0D17DAACF2EC}" type="doc">
      <dgm:prSet loTypeId="urn:microsoft.com/office/officeart/2005/8/layout/vList6" loCatId="list" qsTypeId="urn:microsoft.com/office/officeart/2005/8/quickstyle/simple1" qsCatId="simple" csTypeId="urn:microsoft.com/office/officeart/2005/8/colors/accent1_2" csCatId="accent1" phldr="1"/>
      <dgm:spPr/>
      <dgm:t>
        <a:bodyPr/>
        <a:lstStyle/>
        <a:p>
          <a:endParaRPr lang="en-US"/>
        </a:p>
      </dgm:t>
    </dgm:pt>
    <dgm:pt modelId="{860D31C9-5F59-40BE-AC97-ABF7226AEE8F}">
      <dgm:prSet phldrT="[Text]" custT="1"/>
      <dgm:spPr>
        <a:solidFill>
          <a:schemeClr val="accent2"/>
        </a:solidFill>
      </dgm:spPr>
      <dgm:t>
        <a:bodyPr/>
        <a:lstStyle/>
        <a:p>
          <a:r>
            <a:rPr lang="el-GR" sz="900" dirty="0">
              <a:latin typeface="Arial" panose="020B0604020202020204" pitchFamily="34" charset="0"/>
              <a:cs typeface="Arial" panose="020B0604020202020204" pitchFamily="34" charset="0"/>
            </a:rPr>
            <a:t>1. </a:t>
          </a:r>
          <a:r>
            <a:rPr lang="en-US" sz="900" dirty="0">
              <a:latin typeface="Arial" panose="020B0604020202020204" pitchFamily="34" charset="0"/>
              <a:cs typeface="Arial" panose="020B0604020202020204" pitchFamily="34" charset="0"/>
            </a:rPr>
            <a:t>Study preparation</a:t>
          </a:r>
        </a:p>
      </dgm:t>
    </dgm:pt>
    <dgm:pt modelId="{3B1B79C7-139C-47C6-A2B8-9A101ABADBFD}" type="parTrans" cxnId="{10615A1E-FC39-4512-83DE-EF07F611A6B2}">
      <dgm:prSet/>
      <dgm:spPr/>
      <dgm:t>
        <a:bodyPr/>
        <a:lstStyle/>
        <a:p>
          <a:endParaRPr lang="en-US"/>
        </a:p>
      </dgm:t>
    </dgm:pt>
    <dgm:pt modelId="{4D06C207-7AF8-414A-9786-C58F935DAC87}" type="sibTrans" cxnId="{10615A1E-FC39-4512-83DE-EF07F611A6B2}">
      <dgm:prSet/>
      <dgm:spPr/>
      <dgm:t>
        <a:bodyPr/>
        <a:lstStyle/>
        <a:p>
          <a:endParaRPr lang="en-US"/>
        </a:p>
      </dgm:t>
    </dgm:pt>
    <dgm:pt modelId="{C91D3D73-420C-4959-8BA4-90CDDD7B2026}">
      <dgm:prSet phldrT="[Text]" custT="1"/>
      <dgm:spPr>
        <a:solidFill>
          <a:schemeClr val="accent3"/>
        </a:solidFill>
      </dgm:spPr>
      <dgm:t>
        <a:bodyPr/>
        <a:lstStyle/>
        <a:p>
          <a:r>
            <a:rPr lang="el-GR" sz="900" dirty="0">
              <a:latin typeface="Arial" panose="020B0604020202020204" pitchFamily="34" charset="0"/>
              <a:cs typeface="Arial" panose="020B0604020202020204" pitchFamily="34" charset="0"/>
            </a:rPr>
            <a:t>2. </a:t>
          </a:r>
          <a:r>
            <a:rPr lang="en-GB" sz="900" dirty="0">
              <a:latin typeface="Arial" panose="020B0604020202020204" pitchFamily="34" charset="0"/>
              <a:cs typeface="Arial" panose="020B0604020202020204" pitchFamily="34" charset="0"/>
            </a:rPr>
            <a:t>Preparation of Tender Documents</a:t>
          </a:r>
          <a:endParaRPr lang="en-US" sz="900" dirty="0">
            <a:latin typeface="Arial" panose="020B0604020202020204" pitchFamily="34" charset="0"/>
            <a:cs typeface="Arial" panose="020B0604020202020204" pitchFamily="34" charset="0"/>
          </a:endParaRPr>
        </a:p>
      </dgm:t>
    </dgm:pt>
    <dgm:pt modelId="{625AC63A-446B-46CF-AAC2-DCBB7F41A514}" type="parTrans" cxnId="{E1D854BA-CDD8-43F7-8AF8-1B34CBE682C6}">
      <dgm:prSet/>
      <dgm:spPr/>
      <dgm:t>
        <a:bodyPr/>
        <a:lstStyle/>
        <a:p>
          <a:endParaRPr lang="en-US"/>
        </a:p>
      </dgm:t>
    </dgm:pt>
    <dgm:pt modelId="{E51CC462-F1FA-4A74-9201-832AEF44DC28}" type="sibTrans" cxnId="{E1D854BA-CDD8-43F7-8AF8-1B34CBE682C6}">
      <dgm:prSet/>
      <dgm:spPr/>
      <dgm:t>
        <a:bodyPr/>
        <a:lstStyle/>
        <a:p>
          <a:endParaRPr lang="en-US"/>
        </a:p>
      </dgm:t>
    </dgm:pt>
    <dgm:pt modelId="{E7CCE030-0FB8-4160-9B03-A784DE51B9E0}">
      <dgm:prSet phldrT="[Text]" custT="1"/>
      <dgm:spPr>
        <a:solidFill>
          <a:schemeClr val="accent4"/>
        </a:solidFill>
      </dgm:spPr>
      <dgm:t>
        <a:bodyPr/>
        <a:lstStyle/>
        <a:p>
          <a:r>
            <a:rPr lang="el-GR" sz="900" dirty="0">
              <a:latin typeface="Arial" panose="020B0604020202020204" pitchFamily="34" charset="0"/>
              <a:cs typeface="Arial" panose="020B0604020202020204" pitchFamily="34" charset="0"/>
            </a:rPr>
            <a:t>3. </a:t>
          </a:r>
          <a:r>
            <a:rPr lang="en-US" sz="900" dirty="0">
              <a:latin typeface="Arial" panose="020B0604020202020204" pitchFamily="34" charset="0"/>
              <a:cs typeface="Arial" panose="020B0604020202020204" pitchFamily="34" charset="0"/>
            </a:rPr>
            <a:t>Decisions</a:t>
          </a:r>
        </a:p>
      </dgm:t>
    </dgm:pt>
    <dgm:pt modelId="{3A2D3FAA-72C4-407D-9474-CED11072B39E}" type="parTrans" cxnId="{5D8C9850-6110-4689-A988-D9E874F4598F}">
      <dgm:prSet/>
      <dgm:spPr/>
      <dgm:t>
        <a:bodyPr/>
        <a:lstStyle/>
        <a:p>
          <a:endParaRPr lang="en-US"/>
        </a:p>
      </dgm:t>
    </dgm:pt>
    <dgm:pt modelId="{0A38ED42-C0A6-4DBA-A414-38AD5F3F9747}" type="sibTrans" cxnId="{5D8C9850-6110-4689-A988-D9E874F4598F}">
      <dgm:prSet/>
      <dgm:spPr/>
      <dgm:t>
        <a:bodyPr/>
        <a:lstStyle/>
        <a:p>
          <a:endParaRPr lang="en-US"/>
        </a:p>
      </dgm:t>
    </dgm:pt>
    <dgm:pt modelId="{3A39606B-539E-4412-A7D5-F12A5265AC7A}">
      <dgm:prSet custT="1"/>
      <dgm:spPr>
        <a:solidFill>
          <a:schemeClr val="accent2">
            <a:lumMod val="20000"/>
            <a:lumOff val="80000"/>
            <a:alpha val="90000"/>
          </a:schemeClr>
        </a:solidFill>
      </dgm:spPr>
      <dgm:t>
        <a:bodyPr/>
        <a:lstStyle/>
        <a:p>
          <a:pPr marL="233363" indent="-120650">
            <a:buClr>
              <a:schemeClr val="accent5">
                <a:lumMod val="75000"/>
              </a:schemeClr>
            </a:buClr>
          </a:pPr>
          <a:r>
            <a:rPr lang="en-GB" sz="900" dirty="0">
              <a:solidFill>
                <a:schemeClr val="accent1">
                  <a:lumMod val="50000"/>
                </a:schemeClr>
              </a:solidFill>
              <a:latin typeface="Arial" panose="020B0604020202020204" pitchFamily="34" charset="0"/>
              <a:cs typeface="Arial" panose="020B0604020202020204" pitchFamily="34" charset="0"/>
            </a:rPr>
            <a:t>Buiding energy condition identification - Audits- Definition of energy improvement targets - Selection of interventions - Technical description of required works (e.g. removals, windows, insulation, heating, cooling, ventilation, lighting, other MEP systems, PV, etc.)</a:t>
          </a:r>
          <a:endParaRPr lang="en-US" sz="900" dirty="0">
            <a:solidFill>
              <a:schemeClr val="accent1">
                <a:lumMod val="50000"/>
              </a:schemeClr>
            </a:solidFill>
            <a:latin typeface="Arial" panose="020B0604020202020204" pitchFamily="34" charset="0"/>
            <a:cs typeface="Arial" panose="020B0604020202020204" pitchFamily="34" charset="0"/>
          </a:endParaRPr>
        </a:p>
      </dgm:t>
    </dgm:pt>
    <dgm:pt modelId="{05384B2C-34B7-4198-B758-13BBB9550166}" type="parTrans" cxnId="{C653BB45-EF8E-4AD1-B9D5-8816DCA74065}">
      <dgm:prSet/>
      <dgm:spPr/>
      <dgm:t>
        <a:bodyPr/>
        <a:lstStyle/>
        <a:p>
          <a:endParaRPr lang="en-US"/>
        </a:p>
      </dgm:t>
    </dgm:pt>
    <dgm:pt modelId="{F5BABFBA-4B37-4FF5-9CE7-5A88401F9279}" type="sibTrans" cxnId="{C653BB45-EF8E-4AD1-B9D5-8816DCA74065}">
      <dgm:prSet/>
      <dgm:spPr/>
      <dgm:t>
        <a:bodyPr/>
        <a:lstStyle/>
        <a:p>
          <a:endParaRPr lang="en-US"/>
        </a:p>
      </dgm:t>
    </dgm:pt>
    <dgm:pt modelId="{8FB6700E-8BE5-423D-9E57-338649284CC4}">
      <dgm:prSet custT="1"/>
      <dgm:spPr>
        <a:solidFill>
          <a:schemeClr val="accent2">
            <a:lumMod val="20000"/>
            <a:lumOff val="80000"/>
            <a:alpha val="90000"/>
          </a:schemeClr>
        </a:solidFill>
      </dgm:spPr>
      <dgm:t>
        <a:bodyPr/>
        <a:lstStyle/>
        <a:p>
          <a:pPr marL="233363" lvl="1" indent="-120650" algn="l" defTabSz="622300">
            <a:lnSpc>
              <a:spcPct val="90000"/>
            </a:lnSpc>
            <a:spcBef>
              <a:spcPct val="0"/>
            </a:spcBef>
            <a:spcAft>
              <a:spcPct val="15000"/>
            </a:spcAft>
            <a:buClr>
              <a:srgbClr val="4472C4">
                <a:lumMod val="75000"/>
              </a:srgbClr>
            </a:buClr>
            <a:buChar char="•"/>
          </a:pPr>
          <a:r>
            <a:rPr lang="en-GB" sz="900" kern="1200" dirty="0">
              <a:solidFill>
                <a:srgbClr val="5B9BD5">
                  <a:lumMod val="50000"/>
                </a:srgbClr>
              </a:solidFill>
              <a:latin typeface="Arial" panose="020B0604020202020204" pitchFamily="34" charset="0"/>
              <a:ea typeface="+mn-ea"/>
              <a:cs typeface="Arial" panose="020B0604020202020204" pitchFamily="34" charset="0"/>
            </a:rPr>
            <a:t>Appointment of supervising authority
Project monitoring - Certifications- Any addenda/extension approvals- Completion - Final acceptance</a:t>
          </a:r>
          <a:endParaRPr lang="en-US" sz="900" kern="1200" dirty="0">
            <a:solidFill>
              <a:srgbClr val="5B9BD5">
                <a:lumMod val="50000"/>
              </a:srgbClr>
            </a:solidFill>
            <a:latin typeface="Arial" panose="020B0604020202020204" pitchFamily="34" charset="0"/>
            <a:ea typeface="+mn-ea"/>
            <a:cs typeface="Arial" panose="020B0604020202020204" pitchFamily="34" charset="0"/>
          </a:endParaRPr>
        </a:p>
      </dgm:t>
    </dgm:pt>
    <dgm:pt modelId="{17038B0D-DF56-44D6-A04F-C4CB61134C7B}" type="parTrans" cxnId="{0CFEE44C-AED9-494C-9C4D-1DBF1F3E386B}">
      <dgm:prSet/>
      <dgm:spPr/>
      <dgm:t>
        <a:bodyPr/>
        <a:lstStyle/>
        <a:p>
          <a:endParaRPr lang="en-US"/>
        </a:p>
      </dgm:t>
    </dgm:pt>
    <dgm:pt modelId="{4442D8C6-1907-4A3B-91DE-EC5EE6BB9DF8}" type="sibTrans" cxnId="{0CFEE44C-AED9-494C-9C4D-1DBF1F3E386B}">
      <dgm:prSet/>
      <dgm:spPr/>
      <dgm:t>
        <a:bodyPr/>
        <a:lstStyle/>
        <a:p>
          <a:endParaRPr lang="en-US"/>
        </a:p>
      </dgm:t>
    </dgm:pt>
    <dgm:pt modelId="{493FB14B-019A-4ED6-A0F9-8365B227D3DB}">
      <dgm:prSet phldrT="[Text]" custT="1"/>
      <dgm:spPr>
        <a:solidFill>
          <a:schemeClr val="accent5"/>
        </a:solidFill>
      </dgm:spPr>
      <dgm:t>
        <a:bodyPr/>
        <a:lstStyle/>
        <a:p>
          <a:r>
            <a:rPr lang="el-GR" sz="900" dirty="0">
              <a:latin typeface="Arial" panose="020B0604020202020204" pitchFamily="34" charset="0"/>
              <a:cs typeface="Arial" panose="020B0604020202020204" pitchFamily="34" charset="0"/>
            </a:rPr>
            <a:t>4. </a:t>
          </a:r>
          <a:r>
            <a:rPr lang="en-GB" sz="900" dirty="0">
              <a:latin typeface="Arial" panose="020B0604020202020204" pitchFamily="34" charset="0"/>
              <a:cs typeface="Arial" panose="020B0604020202020204" pitchFamily="34" charset="0"/>
            </a:rPr>
            <a:t>Tender Publication</a:t>
          </a:r>
          <a:endParaRPr lang="en-US" sz="900" dirty="0">
            <a:latin typeface="Arial" panose="020B0604020202020204" pitchFamily="34" charset="0"/>
            <a:cs typeface="Arial" panose="020B0604020202020204" pitchFamily="34" charset="0"/>
          </a:endParaRPr>
        </a:p>
      </dgm:t>
    </dgm:pt>
    <dgm:pt modelId="{3372025B-4089-4FC4-B014-18CC6C83CC4A}" type="parTrans" cxnId="{D62592FE-03D0-40E5-A859-97406FAE3FEF}">
      <dgm:prSet/>
      <dgm:spPr/>
      <dgm:t>
        <a:bodyPr/>
        <a:lstStyle/>
        <a:p>
          <a:endParaRPr lang="en-US"/>
        </a:p>
      </dgm:t>
    </dgm:pt>
    <dgm:pt modelId="{09028E37-B24B-490D-85CA-D99E9E672559}" type="sibTrans" cxnId="{D62592FE-03D0-40E5-A859-97406FAE3FEF}">
      <dgm:prSet/>
      <dgm:spPr/>
      <dgm:t>
        <a:bodyPr/>
        <a:lstStyle/>
        <a:p>
          <a:endParaRPr lang="en-US"/>
        </a:p>
      </dgm:t>
    </dgm:pt>
    <dgm:pt modelId="{FAE3CE3C-0FA5-400A-8BC4-1885E0CE2B8D}">
      <dgm:prSet phldrT="[Text]" custT="1"/>
      <dgm:spPr>
        <a:solidFill>
          <a:schemeClr val="accent6"/>
        </a:solidFill>
      </dgm:spPr>
      <dgm:t>
        <a:bodyPr/>
        <a:lstStyle/>
        <a:p>
          <a:r>
            <a:rPr lang="el-GR" sz="900" dirty="0">
              <a:latin typeface="Arial" panose="020B0604020202020204" pitchFamily="34" charset="0"/>
              <a:cs typeface="Arial" panose="020B0604020202020204" pitchFamily="34" charset="0"/>
            </a:rPr>
            <a:t>5. </a:t>
          </a:r>
          <a:r>
            <a:rPr lang="en-GB" sz="900" dirty="0">
              <a:latin typeface="Arial" panose="020B0604020202020204" pitchFamily="34" charset="0"/>
              <a:cs typeface="Arial" panose="020B0604020202020204" pitchFamily="34" charset="0"/>
            </a:rPr>
            <a:t>Tender Pro-cess Execution</a:t>
          </a:r>
          <a:endParaRPr lang="en-US" sz="900" dirty="0">
            <a:latin typeface="Arial" panose="020B0604020202020204" pitchFamily="34" charset="0"/>
            <a:cs typeface="Arial" panose="020B0604020202020204" pitchFamily="34" charset="0"/>
          </a:endParaRPr>
        </a:p>
      </dgm:t>
    </dgm:pt>
    <dgm:pt modelId="{646ED5E1-DD64-47A6-88ED-1A07765C3EE6}" type="parTrans" cxnId="{C3CE0EFF-A6B6-4E26-8CB5-CA5BAF8A752F}">
      <dgm:prSet/>
      <dgm:spPr/>
      <dgm:t>
        <a:bodyPr/>
        <a:lstStyle/>
        <a:p>
          <a:endParaRPr lang="en-US"/>
        </a:p>
      </dgm:t>
    </dgm:pt>
    <dgm:pt modelId="{00D77B1D-6FB7-4B21-A7A4-BBB3E9BED372}" type="sibTrans" cxnId="{C3CE0EFF-A6B6-4E26-8CB5-CA5BAF8A752F}">
      <dgm:prSet/>
      <dgm:spPr/>
      <dgm:t>
        <a:bodyPr/>
        <a:lstStyle/>
        <a:p>
          <a:endParaRPr lang="en-US"/>
        </a:p>
      </dgm:t>
    </dgm:pt>
    <dgm:pt modelId="{245EC9C0-EECD-49F2-9EB4-9E0A1A17E18F}">
      <dgm:prSet phldrT="[Text]" custT="1"/>
      <dgm:spPr>
        <a:solidFill>
          <a:schemeClr val="accent2"/>
        </a:solidFill>
      </dgm:spPr>
      <dgm:t>
        <a:bodyPr/>
        <a:lstStyle/>
        <a:p>
          <a:r>
            <a:rPr lang="el-GR" sz="900" dirty="0">
              <a:latin typeface="Arial" panose="020B0604020202020204" pitchFamily="34" charset="0"/>
              <a:cs typeface="Arial" panose="020B0604020202020204" pitchFamily="34" charset="0"/>
            </a:rPr>
            <a:t>6. </a:t>
          </a:r>
          <a:r>
            <a:rPr lang="en-GB" sz="900" dirty="0">
              <a:latin typeface="Arial" panose="020B0604020202020204" pitchFamily="34" charset="0"/>
              <a:cs typeface="Arial" panose="020B0604020202020204" pitchFamily="34" charset="0"/>
            </a:rPr>
            <a:t>Project Implementation</a:t>
          </a:r>
          <a:endParaRPr lang="en-US" sz="900" dirty="0">
            <a:latin typeface="Arial" panose="020B0604020202020204" pitchFamily="34" charset="0"/>
            <a:cs typeface="Arial" panose="020B0604020202020204" pitchFamily="34" charset="0"/>
          </a:endParaRPr>
        </a:p>
      </dgm:t>
    </dgm:pt>
    <dgm:pt modelId="{B8A19041-EE6D-4FC7-94E9-EA35A37FF686}" type="parTrans" cxnId="{05C7F9B2-AD4D-4F29-BD7A-921F53D0B17A}">
      <dgm:prSet/>
      <dgm:spPr/>
      <dgm:t>
        <a:bodyPr/>
        <a:lstStyle/>
        <a:p>
          <a:endParaRPr lang="en-US"/>
        </a:p>
      </dgm:t>
    </dgm:pt>
    <dgm:pt modelId="{20C0765F-AB4E-4010-A0BB-44B1040AC3E1}" type="sibTrans" cxnId="{05C7F9B2-AD4D-4F29-BD7A-921F53D0B17A}">
      <dgm:prSet/>
      <dgm:spPr/>
      <dgm:t>
        <a:bodyPr/>
        <a:lstStyle/>
        <a:p>
          <a:endParaRPr lang="en-US"/>
        </a:p>
      </dgm:t>
    </dgm:pt>
    <dgm:pt modelId="{92A869D1-7BF9-4F9E-9CED-F16427D525A4}">
      <dgm:prSet phldrT="[Text]" custT="1"/>
      <dgm:spPr>
        <a:solidFill>
          <a:schemeClr val="accent5">
            <a:lumMod val="20000"/>
            <a:lumOff val="80000"/>
            <a:alpha val="90000"/>
          </a:schemeClr>
        </a:solidFill>
      </dgm:spPr>
      <dgm:t>
        <a:bodyPr/>
        <a:lstStyle/>
        <a:p>
          <a:pPr marL="114300" lvl="1" indent="0" algn="l" defTabSz="622300">
            <a:lnSpc>
              <a:spcPct val="100000"/>
            </a:lnSpc>
            <a:spcBef>
              <a:spcPts val="0"/>
            </a:spcBef>
            <a:spcAft>
              <a:spcPts val="0"/>
            </a:spcAft>
          </a:pPr>
          <a:r>
            <a:rPr lang="en-GB" sz="900" kern="1200" dirty="0">
              <a:solidFill>
                <a:srgbClr val="5B9BD5">
                  <a:lumMod val="50000"/>
                </a:srgbClr>
              </a:solidFill>
              <a:latin typeface="Arial" panose="020B0604020202020204" pitchFamily="34" charset="0"/>
              <a:ea typeface="+mn-ea"/>
              <a:cs typeface="Arial" panose="020B0604020202020204" pitchFamily="34" charset="0"/>
            </a:rPr>
            <a:t>Posting on the National Public Procurement System (ESIDIS)
Posting in the Official Journal of the EU (for international tenders)</a:t>
          </a:r>
          <a:endParaRPr lang="en-US" sz="900" kern="1200" dirty="0">
            <a:solidFill>
              <a:srgbClr val="5B9BD5">
                <a:lumMod val="50000"/>
              </a:srgbClr>
            </a:solidFill>
            <a:latin typeface="Arial" panose="020B0604020202020204" pitchFamily="34" charset="0"/>
            <a:ea typeface="+mn-ea"/>
            <a:cs typeface="Arial" panose="020B0604020202020204" pitchFamily="34" charset="0"/>
          </a:endParaRPr>
        </a:p>
      </dgm:t>
    </dgm:pt>
    <dgm:pt modelId="{58AEBE83-78EF-4665-90DA-B2C53217F3B1}" type="parTrans" cxnId="{F63E4093-D82D-4BCE-B360-11314FBD40EE}">
      <dgm:prSet/>
      <dgm:spPr/>
      <dgm:t>
        <a:bodyPr/>
        <a:lstStyle/>
        <a:p>
          <a:endParaRPr lang="en-US"/>
        </a:p>
      </dgm:t>
    </dgm:pt>
    <dgm:pt modelId="{7BDB0393-4112-49ED-BB96-1F6FA4458567}" type="sibTrans" cxnId="{F63E4093-D82D-4BCE-B360-11314FBD40EE}">
      <dgm:prSet/>
      <dgm:spPr/>
      <dgm:t>
        <a:bodyPr/>
        <a:lstStyle/>
        <a:p>
          <a:endParaRPr lang="en-US"/>
        </a:p>
      </dgm:t>
    </dgm:pt>
    <dgm:pt modelId="{A2C04D31-32B4-486F-8BF7-A74987364969}">
      <dgm:prSet custT="1"/>
      <dgm:spPr>
        <a:solidFill>
          <a:schemeClr val="accent6">
            <a:lumMod val="20000"/>
            <a:lumOff val="80000"/>
            <a:alpha val="90000"/>
          </a:schemeClr>
        </a:solidFill>
      </dgm:spPr>
      <dgm:t>
        <a:bodyPr/>
        <a:lstStyle/>
        <a:p>
          <a:pPr marL="233363" lvl="1" indent="-120650" algn="l" defTabSz="622300">
            <a:lnSpc>
              <a:spcPct val="90000"/>
            </a:lnSpc>
            <a:spcBef>
              <a:spcPct val="0"/>
            </a:spcBef>
            <a:spcAft>
              <a:spcPct val="15000"/>
            </a:spcAft>
            <a:buClr>
              <a:srgbClr val="4472C4">
                <a:lumMod val="75000"/>
              </a:srgbClr>
            </a:buClr>
            <a:buChar char="•"/>
          </a:pPr>
          <a:r>
            <a:rPr lang="en-GB" sz="900" kern="1200" dirty="0">
              <a:solidFill>
                <a:srgbClr val="5B9BD5">
                  <a:lumMod val="50000"/>
                </a:srgbClr>
              </a:solidFill>
              <a:latin typeface="Arial" panose="020B0604020202020204" pitchFamily="34" charset="0"/>
              <a:ea typeface="+mn-ea"/>
              <a:cs typeface="Arial" panose="020B0604020202020204" pitchFamily="34" charset="0"/>
            </a:rPr>
            <a:t>Opening of bids - checking of supporting documents - minutes - management of any objections
Decisions by relevant boards - Contract award - Contract signing</a:t>
          </a:r>
          <a:endParaRPr lang="en-US" sz="900" kern="1200" dirty="0">
            <a:solidFill>
              <a:srgbClr val="5B9BD5">
                <a:lumMod val="50000"/>
              </a:srgbClr>
            </a:solidFill>
            <a:latin typeface="Arial" panose="020B0604020202020204" pitchFamily="34" charset="0"/>
            <a:ea typeface="+mn-ea"/>
            <a:cs typeface="Arial" panose="020B0604020202020204" pitchFamily="34" charset="0"/>
          </a:endParaRPr>
        </a:p>
      </dgm:t>
    </dgm:pt>
    <dgm:pt modelId="{861C9216-071A-4020-967B-6FDE45BF081A}" type="parTrans" cxnId="{790C9C91-A7BE-45E3-B440-442003C3A929}">
      <dgm:prSet/>
      <dgm:spPr/>
      <dgm:t>
        <a:bodyPr/>
        <a:lstStyle/>
        <a:p>
          <a:endParaRPr lang="en-US"/>
        </a:p>
      </dgm:t>
    </dgm:pt>
    <dgm:pt modelId="{9744AD6B-36E9-4ADC-81E8-B309753195BA}" type="sibTrans" cxnId="{790C9C91-A7BE-45E3-B440-442003C3A929}">
      <dgm:prSet/>
      <dgm:spPr/>
      <dgm:t>
        <a:bodyPr/>
        <a:lstStyle/>
        <a:p>
          <a:endParaRPr lang="en-US"/>
        </a:p>
      </dgm:t>
    </dgm:pt>
    <dgm:pt modelId="{75E2F473-9D81-401B-8918-AB8C348E10B2}">
      <dgm:prSet custT="1"/>
      <dgm:spPr>
        <a:solidFill>
          <a:srgbClr val="FFF2DC">
            <a:alpha val="90000"/>
          </a:srgbClr>
        </a:solidFill>
      </dgm:spPr>
      <dgm:t>
        <a:bodyPr/>
        <a:lstStyle/>
        <a:p>
          <a:pPr marL="112713" lvl="1" indent="-1588" algn="l" defTabSz="622300">
            <a:lnSpc>
              <a:spcPct val="100000"/>
            </a:lnSpc>
            <a:spcBef>
              <a:spcPct val="0"/>
            </a:spcBef>
            <a:spcAft>
              <a:spcPts val="0"/>
            </a:spcAft>
          </a:pPr>
          <a:r>
            <a:rPr lang="en-US" sz="900" kern="1200" dirty="0">
              <a:solidFill>
                <a:srgbClr val="5B9BD5">
                  <a:lumMod val="50000"/>
                </a:srgbClr>
              </a:solidFill>
              <a:latin typeface="Arial" panose="020B0604020202020204" pitchFamily="34" charset="0"/>
              <a:ea typeface="+mn-ea"/>
              <a:cs typeface="Arial" panose="020B0604020202020204" pitchFamily="34" charset="0"/>
            </a:rPr>
            <a:t>Budget registration (exact timing depends on funding source) - Approval of budget commitment (AAU) -  approval of study and tender document - Appointment of Tender Committee</a:t>
          </a:r>
        </a:p>
      </dgm:t>
    </dgm:pt>
    <dgm:pt modelId="{0D9B03CC-5561-4E1E-9A64-60CA65819C59}" type="parTrans" cxnId="{479DAF0E-D50F-4BE4-B0FA-D3B2B9C56869}">
      <dgm:prSet/>
      <dgm:spPr/>
      <dgm:t>
        <a:bodyPr/>
        <a:lstStyle/>
        <a:p>
          <a:endParaRPr lang="en-GB"/>
        </a:p>
      </dgm:t>
    </dgm:pt>
    <dgm:pt modelId="{FD7A25D3-6CB5-4BA9-93C2-61699C8526C0}" type="sibTrans" cxnId="{479DAF0E-D50F-4BE4-B0FA-D3B2B9C56869}">
      <dgm:prSet/>
      <dgm:spPr/>
      <dgm:t>
        <a:bodyPr/>
        <a:lstStyle/>
        <a:p>
          <a:endParaRPr lang="en-GB"/>
        </a:p>
      </dgm:t>
    </dgm:pt>
    <dgm:pt modelId="{75455F52-41EB-4076-BE6C-EF042A20483C}">
      <dgm:prSet custT="1"/>
      <dgm:spPr>
        <a:solidFill>
          <a:schemeClr val="bg2">
            <a:alpha val="90000"/>
          </a:schemeClr>
        </a:solidFill>
      </dgm:spPr>
      <dgm:t>
        <a:bodyPr/>
        <a:lstStyle/>
        <a:p>
          <a:pPr marL="112713" indent="0">
            <a:lnSpc>
              <a:spcPct val="100000"/>
            </a:lnSpc>
            <a:spcBef>
              <a:spcPts val="0"/>
            </a:spcBef>
            <a:spcAft>
              <a:spcPts val="0"/>
            </a:spcAft>
            <a:buClr>
              <a:schemeClr val="accent5">
                <a:lumMod val="75000"/>
              </a:schemeClr>
            </a:buClr>
          </a:pPr>
          <a:r>
            <a:rPr lang="en-GB" sz="900" dirty="0">
              <a:solidFill>
                <a:schemeClr val="accent1">
                  <a:lumMod val="50000"/>
                </a:schemeClr>
              </a:solidFill>
              <a:latin typeface="Arial" panose="020B0604020202020204" pitchFamily="34" charset="0"/>
              <a:cs typeface="Arial" panose="020B0604020202020204" pitchFamily="34" charset="0"/>
            </a:rPr>
            <a:t>Bill of quantities- Budget- Technical specifications- Terms of   Reference
Health and Safety Plan (H&amp;S File), Tender notice</a:t>
          </a:r>
          <a:endParaRPr lang="en-US" sz="900" dirty="0">
            <a:solidFill>
              <a:schemeClr val="accent1">
                <a:lumMod val="50000"/>
              </a:schemeClr>
            </a:solidFill>
            <a:latin typeface="Arial" panose="020B0604020202020204" pitchFamily="34" charset="0"/>
            <a:cs typeface="Arial" panose="020B0604020202020204" pitchFamily="34" charset="0"/>
          </a:endParaRPr>
        </a:p>
      </dgm:t>
    </dgm:pt>
    <dgm:pt modelId="{C96115FF-116B-4FBD-B90D-25937530E090}" type="parTrans" cxnId="{403DF5E1-10E3-4927-81D4-F4394546ED88}">
      <dgm:prSet/>
      <dgm:spPr/>
      <dgm:t>
        <a:bodyPr/>
        <a:lstStyle/>
        <a:p>
          <a:endParaRPr lang="en-GB"/>
        </a:p>
      </dgm:t>
    </dgm:pt>
    <dgm:pt modelId="{A1D9A078-6920-45AD-B773-0801FA212667}" type="sibTrans" cxnId="{403DF5E1-10E3-4927-81D4-F4394546ED88}">
      <dgm:prSet/>
      <dgm:spPr/>
      <dgm:t>
        <a:bodyPr/>
        <a:lstStyle/>
        <a:p>
          <a:endParaRPr lang="en-GB"/>
        </a:p>
      </dgm:t>
    </dgm:pt>
    <dgm:pt modelId="{4B85EAB1-2F61-4EA0-A3F3-39A816ED0223}" type="pres">
      <dgm:prSet presAssocID="{4018F194-CE64-4747-8EE8-0D17DAACF2EC}" presName="Name0" presStyleCnt="0">
        <dgm:presLayoutVars>
          <dgm:dir/>
          <dgm:animLvl val="lvl"/>
          <dgm:resizeHandles/>
        </dgm:presLayoutVars>
      </dgm:prSet>
      <dgm:spPr/>
    </dgm:pt>
    <dgm:pt modelId="{F4DC7E70-A509-46D1-98EC-F94C9B37A993}" type="pres">
      <dgm:prSet presAssocID="{860D31C9-5F59-40BE-AC97-ABF7226AEE8F}" presName="linNode" presStyleCnt="0"/>
      <dgm:spPr/>
    </dgm:pt>
    <dgm:pt modelId="{423FC771-B340-4FAA-BDC9-FA28346E4A77}" type="pres">
      <dgm:prSet presAssocID="{860D31C9-5F59-40BE-AC97-ABF7226AEE8F}" presName="parentShp" presStyleLbl="node1" presStyleIdx="0" presStyleCnt="6" custScaleX="53741" custScaleY="321239" custLinFactNeighborX="1121" custLinFactNeighborY="6256">
        <dgm:presLayoutVars>
          <dgm:bulletEnabled val="1"/>
        </dgm:presLayoutVars>
      </dgm:prSet>
      <dgm:spPr/>
    </dgm:pt>
    <dgm:pt modelId="{C2098369-6FFF-4A99-BE5C-70E7DCDA1EDE}" type="pres">
      <dgm:prSet presAssocID="{860D31C9-5F59-40BE-AC97-ABF7226AEE8F}" presName="childShp" presStyleLbl="bgAccFollowNode1" presStyleIdx="0" presStyleCnt="6" custScaleX="124960" custScaleY="421327">
        <dgm:presLayoutVars>
          <dgm:bulletEnabled val="1"/>
        </dgm:presLayoutVars>
      </dgm:prSet>
      <dgm:spPr/>
    </dgm:pt>
    <dgm:pt modelId="{9A498378-F452-4E17-8705-519D85D02D0D}" type="pres">
      <dgm:prSet presAssocID="{4D06C207-7AF8-414A-9786-C58F935DAC87}" presName="spacing" presStyleCnt="0"/>
      <dgm:spPr/>
    </dgm:pt>
    <dgm:pt modelId="{99C68F6D-7E5C-4921-8E69-71798DD09879}" type="pres">
      <dgm:prSet presAssocID="{C91D3D73-420C-4959-8BA4-90CDDD7B2026}" presName="linNode" presStyleCnt="0"/>
      <dgm:spPr/>
    </dgm:pt>
    <dgm:pt modelId="{105103AE-BBA8-4422-AF2E-AD209D4385AA}" type="pres">
      <dgm:prSet presAssocID="{C91D3D73-420C-4959-8BA4-90CDDD7B2026}" presName="parentShp" presStyleLbl="node1" presStyleIdx="1" presStyleCnt="6" custScaleX="52121" custScaleY="269420" custLinFactNeighborX="1093" custLinFactNeighborY="13823">
        <dgm:presLayoutVars>
          <dgm:bulletEnabled val="1"/>
        </dgm:presLayoutVars>
      </dgm:prSet>
      <dgm:spPr/>
    </dgm:pt>
    <dgm:pt modelId="{E36654A2-8E17-4C3B-8149-C045DED0743B}" type="pres">
      <dgm:prSet presAssocID="{C91D3D73-420C-4959-8BA4-90CDDD7B2026}" presName="childShp" presStyleLbl="bgAccFollowNode1" presStyleIdx="1" presStyleCnt="6" custScaleX="124904" custScaleY="315126" custLinFactNeighborX="836" custLinFactNeighborY="13902">
        <dgm:presLayoutVars>
          <dgm:bulletEnabled val="1"/>
        </dgm:presLayoutVars>
      </dgm:prSet>
      <dgm:spPr/>
    </dgm:pt>
    <dgm:pt modelId="{A1F001E8-B948-4EB9-B7C6-9387B05E1694}" type="pres">
      <dgm:prSet presAssocID="{E51CC462-F1FA-4A74-9201-832AEF44DC28}" presName="spacing" presStyleCnt="0"/>
      <dgm:spPr/>
    </dgm:pt>
    <dgm:pt modelId="{AA794C72-8D7D-4683-B6EA-09ACC77ABBF3}" type="pres">
      <dgm:prSet presAssocID="{E7CCE030-0FB8-4160-9B03-A784DE51B9E0}" presName="linNode" presStyleCnt="0"/>
      <dgm:spPr/>
    </dgm:pt>
    <dgm:pt modelId="{B926A869-EB64-44F1-AEDE-54B0C5A749F6}" type="pres">
      <dgm:prSet presAssocID="{E7CCE030-0FB8-4160-9B03-A784DE51B9E0}" presName="parentShp" presStyleLbl="node1" presStyleIdx="2" presStyleCnt="6" custScaleX="54747" custScaleY="285113" custLinFactNeighborX="1567" custLinFactNeighborY="5045">
        <dgm:presLayoutVars>
          <dgm:bulletEnabled val="1"/>
        </dgm:presLayoutVars>
      </dgm:prSet>
      <dgm:spPr/>
    </dgm:pt>
    <dgm:pt modelId="{E0FDEA40-0278-401F-B76F-7AA1D30AF05C}" type="pres">
      <dgm:prSet presAssocID="{E7CCE030-0FB8-4160-9B03-A784DE51B9E0}" presName="childShp" presStyleLbl="bgAccFollowNode1" presStyleIdx="2" presStyleCnt="6" custScaleX="124863" custScaleY="387834" custLinFactNeighborX="-668" custLinFactNeighborY="8592">
        <dgm:presLayoutVars>
          <dgm:bulletEnabled val="1"/>
        </dgm:presLayoutVars>
      </dgm:prSet>
      <dgm:spPr/>
    </dgm:pt>
    <dgm:pt modelId="{A38037DD-2C63-4929-8ACD-EAF4065BE94B}" type="pres">
      <dgm:prSet presAssocID="{0A38ED42-C0A6-4DBA-A414-38AD5F3F9747}" presName="spacing" presStyleCnt="0"/>
      <dgm:spPr/>
    </dgm:pt>
    <dgm:pt modelId="{0EA72545-819B-4547-8F64-896BF006167A}" type="pres">
      <dgm:prSet presAssocID="{493FB14B-019A-4ED6-A0F9-8365B227D3DB}" presName="linNode" presStyleCnt="0"/>
      <dgm:spPr/>
    </dgm:pt>
    <dgm:pt modelId="{0687FD26-4F73-43B6-A7CE-46E5D3090C0C}" type="pres">
      <dgm:prSet presAssocID="{493FB14B-019A-4ED6-A0F9-8365B227D3DB}" presName="parentShp" presStyleLbl="node1" presStyleIdx="3" presStyleCnt="6" custScaleX="55820" custScaleY="267090" custLinFactNeighborX="588" custLinFactNeighborY="-5702">
        <dgm:presLayoutVars>
          <dgm:bulletEnabled val="1"/>
        </dgm:presLayoutVars>
      </dgm:prSet>
      <dgm:spPr/>
    </dgm:pt>
    <dgm:pt modelId="{0BD6063D-1794-4594-A7E9-7AB4A0C76598}" type="pres">
      <dgm:prSet presAssocID="{493FB14B-019A-4ED6-A0F9-8365B227D3DB}" presName="childShp" presStyleLbl="bgAccFollowNode1" presStyleIdx="3" presStyleCnt="6" custScaleX="124863" custScaleY="322952" custLinFactNeighborX="953" custLinFactNeighborY="-3254">
        <dgm:presLayoutVars>
          <dgm:bulletEnabled val="1"/>
        </dgm:presLayoutVars>
      </dgm:prSet>
      <dgm:spPr/>
    </dgm:pt>
    <dgm:pt modelId="{FE7D4C4A-F704-44DB-8539-BB4F5ECA2A20}" type="pres">
      <dgm:prSet presAssocID="{09028E37-B24B-490D-85CA-D99E9E672559}" presName="spacing" presStyleCnt="0"/>
      <dgm:spPr/>
    </dgm:pt>
    <dgm:pt modelId="{5C3F1A0A-F705-4381-8A18-E85B092DE42B}" type="pres">
      <dgm:prSet presAssocID="{FAE3CE3C-0FA5-400A-8BC4-1885E0CE2B8D}" presName="linNode" presStyleCnt="0"/>
      <dgm:spPr/>
    </dgm:pt>
    <dgm:pt modelId="{3D6751AA-F77F-4974-9222-8B31EDF43D4D}" type="pres">
      <dgm:prSet presAssocID="{FAE3CE3C-0FA5-400A-8BC4-1885E0CE2B8D}" presName="parentShp" presStyleLbl="node1" presStyleIdx="4" presStyleCnt="6" custScaleX="56807" custScaleY="267042" custLinFactNeighborX="259">
        <dgm:presLayoutVars>
          <dgm:bulletEnabled val="1"/>
        </dgm:presLayoutVars>
      </dgm:prSet>
      <dgm:spPr/>
    </dgm:pt>
    <dgm:pt modelId="{1470180E-A47B-4D4D-8535-6257853402CE}" type="pres">
      <dgm:prSet presAssocID="{FAE3CE3C-0FA5-400A-8BC4-1885E0CE2B8D}" presName="childShp" presStyleLbl="bgAccFollowNode1" presStyleIdx="4" presStyleCnt="6" custScaleX="124863" custScaleY="320631">
        <dgm:presLayoutVars>
          <dgm:bulletEnabled val="1"/>
        </dgm:presLayoutVars>
      </dgm:prSet>
      <dgm:spPr/>
    </dgm:pt>
    <dgm:pt modelId="{8C9EBEEE-B317-474B-89FB-E7D7BA6CFB5B}" type="pres">
      <dgm:prSet presAssocID="{00D77B1D-6FB7-4B21-A7A4-BBB3E9BED372}" presName="spacing" presStyleCnt="0"/>
      <dgm:spPr/>
    </dgm:pt>
    <dgm:pt modelId="{55F70D81-26AF-4591-AA12-0BF8F238D01B}" type="pres">
      <dgm:prSet presAssocID="{245EC9C0-EECD-49F2-9EB4-9E0A1A17E18F}" presName="linNode" presStyleCnt="0"/>
      <dgm:spPr/>
    </dgm:pt>
    <dgm:pt modelId="{1DD5BC5C-F5CE-4485-9E53-B0D2A0B63865}" type="pres">
      <dgm:prSet presAssocID="{245EC9C0-EECD-49F2-9EB4-9E0A1A17E18F}" presName="parentShp" presStyleLbl="node1" presStyleIdx="5" presStyleCnt="6" custScaleX="57786" custScaleY="267042" custLinFactNeighborX="554" custLinFactNeighborY="-5727">
        <dgm:presLayoutVars>
          <dgm:bulletEnabled val="1"/>
        </dgm:presLayoutVars>
      </dgm:prSet>
      <dgm:spPr/>
    </dgm:pt>
    <dgm:pt modelId="{337385FF-2688-46BA-B8AC-A63BBCCB803F}" type="pres">
      <dgm:prSet presAssocID="{245EC9C0-EECD-49F2-9EB4-9E0A1A17E18F}" presName="childShp" presStyleLbl="bgAccFollowNode1" presStyleIdx="5" presStyleCnt="6" custScaleX="124863" custScaleY="324302" custLinFactNeighborX="1005" custLinFactNeighborY="6842">
        <dgm:presLayoutVars>
          <dgm:bulletEnabled val="1"/>
        </dgm:presLayoutVars>
      </dgm:prSet>
      <dgm:spPr/>
    </dgm:pt>
  </dgm:ptLst>
  <dgm:cxnLst>
    <dgm:cxn modelId="{479DAF0E-D50F-4BE4-B0FA-D3B2B9C56869}" srcId="{E7CCE030-0FB8-4160-9B03-A784DE51B9E0}" destId="{75E2F473-9D81-401B-8918-AB8C348E10B2}" srcOrd="0" destOrd="0" parTransId="{0D9B03CC-5561-4E1E-9A64-60CA65819C59}" sibTransId="{FD7A25D3-6CB5-4BA9-93C2-61699C8526C0}"/>
    <dgm:cxn modelId="{0C0E6210-3D5A-4A77-BB65-41E8F5437BB5}" type="presOf" srcId="{3A39606B-539E-4412-A7D5-F12A5265AC7A}" destId="{C2098369-6FFF-4A99-BE5C-70E7DCDA1EDE}" srcOrd="0" destOrd="0" presId="urn:microsoft.com/office/officeart/2005/8/layout/vList6"/>
    <dgm:cxn modelId="{10615A1E-FC39-4512-83DE-EF07F611A6B2}" srcId="{4018F194-CE64-4747-8EE8-0D17DAACF2EC}" destId="{860D31C9-5F59-40BE-AC97-ABF7226AEE8F}" srcOrd="0" destOrd="0" parTransId="{3B1B79C7-139C-47C6-A2B8-9A101ABADBFD}" sibTransId="{4D06C207-7AF8-414A-9786-C58F935DAC87}"/>
    <dgm:cxn modelId="{DBD5DB36-ED2B-41E9-B99A-654AA39ABE85}" type="presOf" srcId="{E7CCE030-0FB8-4160-9B03-A784DE51B9E0}" destId="{B926A869-EB64-44F1-AEDE-54B0C5A749F6}" srcOrd="0" destOrd="0" presId="urn:microsoft.com/office/officeart/2005/8/layout/vList6"/>
    <dgm:cxn modelId="{93D4D537-681D-4CDD-B8E7-8A3A098E3B53}" type="presOf" srcId="{A2C04D31-32B4-486F-8BF7-A74987364969}" destId="{1470180E-A47B-4D4D-8535-6257853402CE}" srcOrd="0" destOrd="0" presId="urn:microsoft.com/office/officeart/2005/8/layout/vList6"/>
    <dgm:cxn modelId="{01CAFA38-EACE-4978-9389-E91030D63468}" type="presOf" srcId="{8FB6700E-8BE5-423D-9E57-338649284CC4}" destId="{337385FF-2688-46BA-B8AC-A63BBCCB803F}" srcOrd="0" destOrd="0" presId="urn:microsoft.com/office/officeart/2005/8/layout/vList6"/>
    <dgm:cxn modelId="{FD2C7040-483E-4F8A-820E-10768243F1CF}" type="presOf" srcId="{4018F194-CE64-4747-8EE8-0D17DAACF2EC}" destId="{4B85EAB1-2F61-4EA0-A3F3-39A816ED0223}" srcOrd="0" destOrd="0" presId="urn:microsoft.com/office/officeart/2005/8/layout/vList6"/>
    <dgm:cxn modelId="{C653BB45-EF8E-4AD1-B9D5-8816DCA74065}" srcId="{860D31C9-5F59-40BE-AC97-ABF7226AEE8F}" destId="{3A39606B-539E-4412-A7D5-F12A5265AC7A}" srcOrd="0" destOrd="0" parTransId="{05384B2C-34B7-4198-B758-13BBB9550166}" sibTransId="{F5BABFBA-4B37-4FF5-9CE7-5A88401F9279}"/>
    <dgm:cxn modelId="{0CFEE44C-AED9-494C-9C4D-1DBF1F3E386B}" srcId="{245EC9C0-EECD-49F2-9EB4-9E0A1A17E18F}" destId="{8FB6700E-8BE5-423D-9E57-338649284CC4}" srcOrd="0" destOrd="0" parTransId="{17038B0D-DF56-44D6-A04F-C4CB61134C7B}" sibTransId="{4442D8C6-1907-4A3B-91DE-EC5EE6BB9DF8}"/>
    <dgm:cxn modelId="{8BF8B36F-644C-494D-AA76-12F3C36C7B07}" type="presOf" srcId="{FAE3CE3C-0FA5-400A-8BC4-1885E0CE2B8D}" destId="{3D6751AA-F77F-4974-9222-8B31EDF43D4D}" srcOrd="0" destOrd="0" presId="urn:microsoft.com/office/officeart/2005/8/layout/vList6"/>
    <dgm:cxn modelId="{C2B77370-2D23-4D2A-B539-644A9B4E3953}" type="presOf" srcId="{C91D3D73-420C-4959-8BA4-90CDDD7B2026}" destId="{105103AE-BBA8-4422-AF2E-AD209D4385AA}" srcOrd="0" destOrd="0" presId="urn:microsoft.com/office/officeart/2005/8/layout/vList6"/>
    <dgm:cxn modelId="{5D8C9850-6110-4689-A988-D9E874F4598F}" srcId="{4018F194-CE64-4747-8EE8-0D17DAACF2EC}" destId="{E7CCE030-0FB8-4160-9B03-A784DE51B9E0}" srcOrd="2" destOrd="0" parTransId="{3A2D3FAA-72C4-407D-9474-CED11072B39E}" sibTransId="{0A38ED42-C0A6-4DBA-A414-38AD5F3F9747}"/>
    <dgm:cxn modelId="{B2A74855-6E41-4F58-B251-0BD120384513}" type="presOf" srcId="{92A869D1-7BF9-4F9E-9CED-F16427D525A4}" destId="{0BD6063D-1794-4594-A7E9-7AB4A0C76598}" srcOrd="0" destOrd="0" presId="urn:microsoft.com/office/officeart/2005/8/layout/vList6"/>
    <dgm:cxn modelId="{4BE2388D-6BFA-4805-98FC-D419487F8386}" type="presOf" srcId="{245EC9C0-EECD-49F2-9EB4-9E0A1A17E18F}" destId="{1DD5BC5C-F5CE-4485-9E53-B0D2A0B63865}" srcOrd="0" destOrd="0" presId="urn:microsoft.com/office/officeart/2005/8/layout/vList6"/>
    <dgm:cxn modelId="{790C9C91-A7BE-45E3-B440-442003C3A929}" srcId="{FAE3CE3C-0FA5-400A-8BC4-1885E0CE2B8D}" destId="{A2C04D31-32B4-486F-8BF7-A74987364969}" srcOrd="0" destOrd="0" parTransId="{861C9216-071A-4020-967B-6FDE45BF081A}" sibTransId="{9744AD6B-36E9-4ADC-81E8-B309753195BA}"/>
    <dgm:cxn modelId="{F63E4093-D82D-4BCE-B360-11314FBD40EE}" srcId="{493FB14B-019A-4ED6-A0F9-8365B227D3DB}" destId="{92A869D1-7BF9-4F9E-9CED-F16427D525A4}" srcOrd="0" destOrd="0" parTransId="{58AEBE83-78EF-4665-90DA-B2C53217F3B1}" sibTransId="{7BDB0393-4112-49ED-BB96-1F6FA4458567}"/>
    <dgm:cxn modelId="{FAC5B0A9-6E30-416D-8DF4-C76BB6105DB6}" type="presOf" srcId="{860D31C9-5F59-40BE-AC97-ABF7226AEE8F}" destId="{423FC771-B340-4FAA-BDC9-FA28346E4A77}" srcOrd="0" destOrd="0" presId="urn:microsoft.com/office/officeart/2005/8/layout/vList6"/>
    <dgm:cxn modelId="{4CB0E9AE-2E08-4233-A061-41906FCFCF52}" type="presOf" srcId="{75E2F473-9D81-401B-8918-AB8C348E10B2}" destId="{E0FDEA40-0278-401F-B76F-7AA1D30AF05C}" srcOrd="0" destOrd="0" presId="urn:microsoft.com/office/officeart/2005/8/layout/vList6"/>
    <dgm:cxn modelId="{05C7F9B2-AD4D-4F29-BD7A-921F53D0B17A}" srcId="{4018F194-CE64-4747-8EE8-0D17DAACF2EC}" destId="{245EC9C0-EECD-49F2-9EB4-9E0A1A17E18F}" srcOrd="5" destOrd="0" parTransId="{B8A19041-EE6D-4FC7-94E9-EA35A37FF686}" sibTransId="{20C0765F-AB4E-4010-A0BB-44B1040AC3E1}"/>
    <dgm:cxn modelId="{E1D854BA-CDD8-43F7-8AF8-1B34CBE682C6}" srcId="{4018F194-CE64-4747-8EE8-0D17DAACF2EC}" destId="{C91D3D73-420C-4959-8BA4-90CDDD7B2026}" srcOrd="1" destOrd="0" parTransId="{625AC63A-446B-46CF-AAC2-DCBB7F41A514}" sibTransId="{E51CC462-F1FA-4A74-9201-832AEF44DC28}"/>
    <dgm:cxn modelId="{290E89DE-2A64-4D38-9B31-7D7130277C9E}" type="presOf" srcId="{75455F52-41EB-4076-BE6C-EF042A20483C}" destId="{E36654A2-8E17-4C3B-8149-C045DED0743B}" srcOrd="0" destOrd="0" presId="urn:microsoft.com/office/officeart/2005/8/layout/vList6"/>
    <dgm:cxn modelId="{403DF5E1-10E3-4927-81D4-F4394546ED88}" srcId="{C91D3D73-420C-4959-8BA4-90CDDD7B2026}" destId="{75455F52-41EB-4076-BE6C-EF042A20483C}" srcOrd="0" destOrd="0" parTransId="{C96115FF-116B-4FBD-B90D-25937530E090}" sibTransId="{A1D9A078-6920-45AD-B773-0801FA212667}"/>
    <dgm:cxn modelId="{5DB3BAFA-5089-482C-9634-A0E1B022EA64}" type="presOf" srcId="{493FB14B-019A-4ED6-A0F9-8365B227D3DB}" destId="{0687FD26-4F73-43B6-A7CE-46E5D3090C0C}" srcOrd="0" destOrd="0" presId="urn:microsoft.com/office/officeart/2005/8/layout/vList6"/>
    <dgm:cxn modelId="{D62592FE-03D0-40E5-A859-97406FAE3FEF}" srcId="{4018F194-CE64-4747-8EE8-0D17DAACF2EC}" destId="{493FB14B-019A-4ED6-A0F9-8365B227D3DB}" srcOrd="3" destOrd="0" parTransId="{3372025B-4089-4FC4-B014-18CC6C83CC4A}" sibTransId="{09028E37-B24B-490D-85CA-D99E9E672559}"/>
    <dgm:cxn modelId="{C3CE0EFF-A6B6-4E26-8CB5-CA5BAF8A752F}" srcId="{4018F194-CE64-4747-8EE8-0D17DAACF2EC}" destId="{FAE3CE3C-0FA5-400A-8BC4-1885E0CE2B8D}" srcOrd="4" destOrd="0" parTransId="{646ED5E1-DD64-47A6-88ED-1A07765C3EE6}" sibTransId="{00D77B1D-6FB7-4B21-A7A4-BBB3E9BED372}"/>
    <dgm:cxn modelId="{10DB9F87-A1F0-4124-9F57-1897BF448219}" type="presParOf" srcId="{4B85EAB1-2F61-4EA0-A3F3-39A816ED0223}" destId="{F4DC7E70-A509-46D1-98EC-F94C9B37A993}" srcOrd="0" destOrd="0" presId="urn:microsoft.com/office/officeart/2005/8/layout/vList6"/>
    <dgm:cxn modelId="{8A1D95EE-E544-45F3-A52F-E2F11A210318}" type="presParOf" srcId="{F4DC7E70-A509-46D1-98EC-F94C9B37A993}" destId="{423FC771-B340-4FAA-BDC9-FA28346E4A77}" srcOrd="0" destOrd="0" presId="urn:microsoft.com/office/officeart/2005/8/layout/vList6"/>
    <dgm:cxn modelId="{81F527A1-7C94-47E3-BF89-C49DDF35EEB9}" type="presParOf" srcId="{F4DC7E70-A509-46D1-98EC-F94C9B37A993}" destId="{C2098369-6FFF-4A99-BE5C-70E7DCDA1EDE}" srcOrd="1" destOrd="0" presId="urn:microsoft.com/office/officeart/2005/8/layout/vList6"/>
    <dgm:cxn modelId="{BE1887C5-CBAB-4019-98E4-1920D9EA760E}" type="presParOf" srcId="{4B85EAB1-2F61-4EA0-A3F3-39A816ED0223}" destId="{9A498378-F452-4E17-8705-519D85D02D0D}" srcOrd="1" destOrd="0" presId="urn:microsoft.com/office/officeart/2005/8/layout/vList6"/>
    <dgm:cxn modelId="{CC0F3B41-229D-4EBD-BACF-72991C025535}" type="presParOf" srcId="{4B85EAB1-2F61-4EA0-A3F3-39A816ED0223}" destId="{99C68F6D-7E5C-4921-8E69-71798DD09879}" srcOrd="2" destOrd="0" presId="urn:microsoft.com/office/officeart/2005/8/layout/vList6"/>
    <dgm:cxn modelId="{74C3D838-B35B-43A4-8A61-824A7B160D3B}" type="presParOf" srcId="{99C68F6D-7E5C-4921-8E69-71798DD09879}" destId="{105103AE-BBA8-4422-AF2E-AD209D4385AA}" srcOrd="0" destOrd="0" presId="urn:microsoft.com/office/officeart/2005/8/layout/vList6"/>
    <dgm:cxn modelId="{88A5CF52-DB6F-4A67-912E-F5DC7D8F3DD7}" type="presParOf" srcId="{99C68F6D-7E5C-4921-8E69-71798DD09879}" destId="{E36654A2-8E17-4C3B-8149-C045DED0743B}" srcOrd="1" destOrd="0" presId="urn:microsoft.com/office/officeart/2005/8/layout/vList6"/>
    <dgm:cxn modelId="{83AB1EC0-2696-442D-BBDB-BF46F8B1CDD2}" type="presParOf" srcId="{4B85EAB1-2F61-4EA0-A3F3-39A816ED0223}" destId="{A1F001E8-B948-4EB9-B7C6-9387B05E1694}" srcOrd="3" destOrd="0" presId="urn:microsoft.com/office/officeart/2005/8/layout/vList6"/>
    <dgm:cxn modelId="{AA088B07-1516-48BD-BD44-8C230CB29C34}" type="presParOf" srcId="{4B85EAB1-2F61-4EA0-A3F3-39A816ED0223}" destId="{AA794C72-8D7D-4683-B6EA-09ACC77ABBF3}" srcOrd="4" destOrd="0" presId="urn:microsoft.com/office/officeart/2005/8/layout/vList6"/>
    <dgm:cxn modelId="{BD2A4A27-B9ED-45E1-971F-8404A8C75459}" type="presParOf" srcId="{AA794C72-8D7D-4683-B6EA-09ACC77ABBF3}" destId="{B926A869-EB64-44F1-AEDE-54B0C5A749F6}" srcOrd="0" destOrd="0" presId="urn:microsoft.com/office/officeart/2005/8/layout/vList6"/>
    <dgm:cxn modelId="{CBDBF44C-B0F5-4944-B51A-F8EDBA0B4ED8}" type="presParOf" srcId="{AA794C72-8D7D-4683-B6EA-09ACC77ABBF3}" destId="{E0FDEA40-0278-401F-B76F-7AA1D30AF05C}" srcOrd="1" destOrd="0" presId="urn:microsoft.com/office/officeart/2005/8/layout/vList6"/>
    <dgm:cxn modelId="{F53AF511-AB23-4BB0-B02B-744E5C0FDE99}" type="presParOf" srcId="{4B85EAB1-2F61-4EA0-A3F3-39A816ED0223}" destId="{A38037DD-2C63-4929-8ACD-EAF4065BE94B}" srcOrd="5" destOrd="0" presId="urn:microsoft.com/office/officeart/2005/8/layout/vList6"/>
    <dgm:cxn modelId="{657194C2-A21F-40DB-AE40-C267BA8ADF58}" type="presParOf" srcId="{4B85EAB1-2F61-4EA0-A3F3-39A816ED0223}" destId="{0EA72545-819B-4547-8F64-896BF006167A}" srcOrd="6" destOrd="0" presId="urn:microsoft.com/office/officeart/2005/8/layout/vList6"/>
    <dgm:cxn modelId="{ED4CC4FC-ECBB-437A-9B14-7FB1E1976516}" type="presParOf" srcId="{0EA72545-819B-4547-8F64-896BF006167A}" destId="{0687FD26-4F73-43B6-A7CE-46E5D3090C0C}" srcOrd="0" destOrd="0" presId="urn:microsoft.com/office/officeart/2005/8/layout/vList6"/>
    <dgm:cxn modelId="{4E7F4236-FE48-4675-9523-717B4681B83E}" type="presParOf" srcId="{0EA72545-819B-4547-8F64-896BF006167A}" destId="{0BD6063D-1794-4594-A7E9-7AB4A0C76598}" srcOrd="1" destOrd="0" presId="urn:microsoft.com/office/officeart/2005/8/layout/vList6"/>
    <dgm:cxn modelId="{24FA0022-1BDE-4686-85F2-5238FC61059F}" type="presParOf" srcId="{4B85EAB1-2F61-4EA0-A3F3-39A816ED0223}" destId="{FE7D4C4A-F704-44DB-8539-BB4F5ECA2A20}" srcOrd="7" destOrd="0" presId="urn:microsoft.com/office/officeart/2005/8/layout/vList6"/>
    <dgm:cxn modelId="{AC08298E-3E9B-43A8-BDE7-2D907DDA3827}" type="presParOf" srcId="{4B85EAB1-2F61-4EA0-A3F3-39A816ED0223}" destId="{5C3F1A0A-F705-4381-8A18-E85B092DE42B}" srcOrd="8" destOrd="0" presId="urn:microsoft.com/office/officeart/2005/8/layout/vList6"/>
    <dgm:cxn modelId="{AE1F149B-F2F0-4FFF-8A09-69936E53195A}" type="presParOf" srcId="{5C3F1A0A-F705-4381-8A18-E85B092DE42B}" destId="{3D6751AA-F77F-4974-9222-8B31EDF43D4D}" srcOrd="0" destOrd="0" presId="urn:microsoft.com/office/officeart/2005/8/layout/vList6"/>
    <dgm:cxn modelId="{46F28186-792C-42DA-8C7F-51E114DC329C}" type="presParOf" srcId="{5C3F1A0A-F705-4381-8A18-E85B092DE42B}" destId="{1470180E-A47B-4D4D-8535-6257853402CE}" srcOrd="1" destOrd="0" presId="urn:microsoft.com/office/officeart/2005/8/layout/vList6"/>
    <dgm:cxn modelId="{08926442-1F0D-4889-B9B1-B91E1F278F70}" type="presParOf" srcId="{4B85EAB1-2F61-4EA0-A3F3-39A816ED0223}" destId="{8C9EBEEE-B317-474B-89FB-E7D7BA6CFB5B}" srcOrd="9" destOrd="0" presId="urn:microsoft.com/office/officeart/2005/8/layout/vList6"/>
    <dgm:cxn modelId="{06D584C8-B52F-4F57-9F95-7F9AD12D38BF}" type="presParOf" srcId="{4B85EAB1-2F61-4EA0-A3F3-39A816ED0223}" destId="{55F70D81-26AF-4591-AA12-0BF8F238D01B}" srcOrd="10" destOrd="0" presId="urn:microsoft.com/office/officeart/2005/8/layout/vList6"/>
    <dgm:cxn modelId="{25E4CFC5-5B63-45B1-B543-A914D312B32C}" type="presParOf" srcId="{55F70D81-26AF-4591-AA12-0BF8F238D01B}" destId="{1DD5BC5C-F5CE-4485-9E53-B0D2A0B63865}" srcOrd="0" destOrd="0" presId="urn:microsoft.com/office/officeart/2005/8/layout/vList6"/>
    <dgm:cxn modelId="{D3B3A65A-F45E-48D8-8089-716A60CB6A2E}" type="presParOf" srcId="{55F70D81-26AF-4591-AA12-0BF8F238D01B}" destId="{337385FF-2688-46BA-B8AC-A63BBCCB803F}" srcOrd="1" destOrd="0" presId="urn:microsoft.com/office/officeart/2005/8/layout/vList6"/>
  </dgm:cxnLst>
  <dgm:bg>
    <a:solidFill>
      <a:schemeClr val="bg1">
        <a:lumMod val="95000"/>
      </a:schemeClr>
    </a:solidFill>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2098369-6FFF-4A99-BE5C-70E7DCDA1EDE}">
      <dsp:nvSpPr>
        <dsp:cNvPr id="0" name=""/>
        <dsp:cNvSpPr/>
      </dsp:nvSpPr>
      <dsp:spPr>
        <a:xfrm>
          <a:off x="1121301" y="2086"/>
          <a:ext cx="3606779" cy="754408"/>
        </a:xfrm>
        <a:prstGeom prst="rightArrow">
          <a:avLst>
            <a:gd name="adj1" fmla="val 75000"/>
            <a:gd name="adj2" fmla="val 50000"/>
          </a:avLst>
        </a:prstGeom>
        <a:solidFill>
          <a:schemeClr val="accent2">
            <a:lumMod val="20000"/>
            <a:lumOff val="80000"/>
            <a:alpha val="9000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715" tIns="5715" rIns="5715" bIns="5715" numCol="1" spcCol="1270" anchor="t" anchorCtr="0">
          <a:noAutofit/>
        </a:bodyPr>
        <a:lstStyle/>
        <a:p>
          <a:pPr marL="233363" lvl="1" indent="-120650" algn="l" defTabSz="400050">
            <a:lnSpc>
              <a:spcPct val="90000"/>
            </a:lnSpc>
            <a:spcBef>
              <a:spcPct val="0"/>
            </a:spcBef>
            <a:spcAft>
              <a:spcPct val="15000"/>
            </a:spcAft>
            <a:buClr>
              <a:schemeClr val="accent5">
                <a:lumMod val="75000"/>
              </a:schemeClr>
            </a:buClr>
            <a:buChar char="•"/>
          </a:pPr>
          <a:r>
            <a:rPr lang="en-GB" sz="900" kern="1200" dirty="0">
              <a:solidFill>
                <a:schemeClr val="accent1">
                  <a:lumMod val="50000"/>
                </a:schemeClr>
              </a:solidFill>
              <a:latin typeface="Arial" panose="020B0604020202020204" pitchFamily="34" charset="0"/>
              <a:cs typeface="Arial" panose="020B0604020202020204" pitchFamily="34" charset="0"/>
            </a:rPr>
            <a:t>Buiding energy condition identification - Audits- Definition of energy improvement targets - Selection of interventions - Technical description of required works (e.g. removals, windows, insulation, heating, cooling, ventilation, lighting, other MEP systems, PV, etc.)</a:t>
          </a:r>
          <a:endParaRPr lang="en-US" sz="900" kern="1200" dirty="0">
            <a:solidFill>
              <a:schemeClr val="accent1">
                <a:lumMod val="50000"/>
              </a:schemeClr>
            </a:solidFill>
            <a:latin typeface="Arial" panose="020B0604020202020204" pitchFamily="34" charset="0"/>
            <a:cs typeface="Arial" panose="020B0604020202020204" pitchFamily="34" charset="0"/>
          </a:endParaRPr>
        </a:p>
      </dsp:txBody>
      <dsp:txXfrm>
        <a:off x="1121301" y="96387"/>
        <a:ext cx="3323876" cy="565806"/>
      </dsp:txXfrm>
    </dsp:sp>
    <dsp:sp modelId="{423FC771-B340-4FAA-BDC9-FA28346E4A77}">
      <dsp:nvSpPr>
        <dsp:cNvPr id="0" name=""/>
        <dsp:cNvSpPr/>
      </dsp:nvSpPr>
      <dsp:spPr>
        <a:xfrm>
          <a:off x="119556" y="102894"/>
          <a:ext cx="1034101" cy="575195"/>
        </a:xfrm>
        <a:prstGeom prst="round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17145" rIns="34290" bIns="17145" numCol="1" spcCol="1270" anchor="ctr" anchorCtr="0">
          <a:noAutofit/>
        </a:bodyPr>
        <a:lstStyle/>
        <a:p>
          <a:pPr marL="0" lvl="0" indent="0" algn="ctr" defTabSz="400050">
            <a:lnSpc>
              <a:spcPct val="90000"/>
            </a:lnSpc>
            <a:spcBef>
              <a:spcPct val="0"/>
            </a:spcBef>
            <a:spcAft>
              <a:spcPct val="35000"/>
            </a:spcAft>
            <a:buNone/>
          </a:pPr>
          <a:r>
            <a:rPr lang="el-GR" sz="900" kern="1200" dirty="0">
              <a:latin typeface="Arial" panose="020B0604020202020204" pitchFamily="34" charset="0"/>
              <a:cs typeface="Arial" panose="020B0604020202020204" pitchFamily="34" charset="0"/>
            </a:rPr>
            <a:t>1. </a:t>
          </a:r>
          <a:r>
            <a:rPr lang="en-US" sz="900" kern="1200" dirty="0">
              <a:latin typeface="Arial" panose="020B0604020202020204" pitchFamily="34" charset="0"/>
              <a:cs typeface="Arial" panose="020B0604020202020204" pitchFamily="34" charset="0"/>
            </a:rPr>
            <a:t>Study preparation</a:t>
          </a:r>
        </a:p>
      </dsp:txBody>
      <dsp:txXfrm>
        <a:off x="147635" y="130973"/>
        <a:ext cx="977943" cy="519037"/>
      </dsp:txXfrm>
    </dsp:sp>
    <dsp:sp modelId="{E36654A2-8E17-4C3B-8149-C045DED0743B}">
      <dsp:nvSpPr>
        <dsp:cNvPr id="0" name=""/>
        <dsp:cNvSpPr/>
      </dsp:nvSpPr>
      <dsp:spPr>
        <a:xfrm>
          <a:off x="1122609" y="799292"/>
          <a:ext cx="3605163" cy="564249"/>
        </a:xfrm>
        <a:prstGeom prst="rightArrow">
          <a:avLst>
            <a:gd name="adj1" fmla="val 75000"/>
            <a:gd name="adj2" fmla="val 50000"/>
          </a:avLst>
        </a:prstGeom>
        <a:solidFill>
          <a:schemeClr val="bg2">
            <a:alpha val="9000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715" tIns="5715" rIns="5715" bIns="5715" numCol="1" spcCol="1270" anchor="t" anchorCtr="0">
          <a:noAutofit/>
        </a:bodyPr>
        <a:lstStyle/>
        <a:p>
          <a:pPr marL="112713" lvl="1" indent="0" algn="l" defTabSz="400050">
            <a:lnSpc>
              <a:spcPct val="100000"/>
            </a:lnSpc>
            <a:spcBef>
              <a:spcPts val="0"/>
            </a:spcBef>
            <a:spcAft>
              <a:spcPts val="0"/>
            </a:spcAft>
            <a:buClr>
              <a:schemeClr val="accent5">
                <a:lumMod val="75000"/>
              </a:schemeClr>
            </a:buClr>
            <a:buChar char="•"/>
          </a:pPr>
          <a:r>
            <a:rPr lang="en-GB" sz="900" kern="1200" dirty="0">
              <a:solidFill>
                <a:schemeClr val="accent1">
                  <a:lumMod val="50000"/>
                </a:schemeClr>
              </a:solidFill>
              <a:latin typeface="Arial" panose="020B0604020202020204" pitchFamily="34" charset="0"/>
              <a:cs typeface="Arial" panose="020B0604020202020204" pitchFamily="34" charset="0"/>
            </a:rPr>
            <a:t>Bill of quantities- Budget- Technical specifications- Terms of   Reference
Health and Safety Plan (H&amp;S File), Tender notice</a:t>
          </a:r>
          <a:endParaRPr lang="en-US" sz="900" kern="1200" dirty="0">
            <a:solidFill>
              <a:schemeClr val="accent1">
                <a:lumMod val="50000"/>
              </a:schemeClr>
            </a:solidFill>
            <a:latin typeface="Arial" panose="020B0604020202020204" pitchFamily="34" charset="0"/>
            <a:cs typeface="Arial" panose="020B0604020202020204" pitchFamily="34" charset="0"/>
          </a:endParaRPr>
        </a:p>
      </dsp:txBody>
      <dsp:txXfrm>
        <a:off x="1122609" y="869823"/>
        <a:ext cx="3393570" cy="423187"/>
      </dsp:txXfrm>
    </dsp:sp>
    <dsp:sp modelId="{105103AE-BBA8-4422-AF2E-AD209D4385AA}">
      <dsp:nvSpPr>
        <dsp:cNvPr id="0" name=""/>
        <dsp:cNvSpPr/>
      </dsp:nvSpPr>
      <dsp:spPr>
        <a:xfrm>
          <a:off x="135142" y="840070"/>
          <a:ext cx="1002928" cy="482410"/>
        </a:xfrm>
        <a:prstGeom prst="roundRect">
          <a:avLst/>
        </a:prstGeom>
        <a:solidFill>
          <a:schemeClr val="accent3"/>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17145" rIns="34290" bIns="17145" numCol="1" spcCol="1270" anchor="ctr" anchorCtr="0">
          <a:noAutofit/>
        </a:bodyPr>
        <a:lstStyle/>
        <a:p>
          <a:pPr marL="0" lvl="0" indent="0" algn="ctr" defTabSz="400050">
            <a:lnSpc>
              <a:spcPct val="90000"/>
            </a:lnSpc>
            <a:spcBef>
              <a:spcPct val="0"/>
            </a:spcBef>
            <a:spcAft>
              <a:spcPct val="35000"/>
            </a:spcAft>
            <a:buNone/>
          </a:pPr>
          <a:r>
            <a:rPr lang="el-GR" sz="900" kern="1200" dirty="0">
              <a:latin typeface="Arial" panose="020B0604020202020204" pitchFamily="34" charset="0"/>
              <a:cs typeface="Arial" panose="020B0604020202020204" pitchFamily="34" charset="0"/>
            </a:rPr>
            <a:t>2. </a:t>
          </a:r>
          <a:r>
            <a:rPr lang="en-GB" sz="900" kern="1200" dirty="0">
              <a:latin typeface="Arial" panose="020B0604020202020204" pitchFamily="34" charset="0"/>
              <a:cs typeface="Arial" panose="020B0604020202020204" pitchFamily="34" charset="0"/>
            </a:rPr>
            <a:t>Preparation of Tender Documents</a:t>
          </a:r>
          <a:endParaRPr lang="en-US" sz="900" kern="1200" dirty="0">
            <a:latin typeface="Arial" panose="020B0604020202020204" pitchFamily="34" charset="0"/>
            <a:cs typeface="Arial" panose="020B0604020202020204" pitchFamily="34" charset="0"/>
          </a:endParaRPr>
        </a:p>
      </dsp:txBody>
      <dsp:txXfrm>
        <a:off x="158691" y="863619"/>
        <a:ext cx="955830" cy="435312"/>
      </dsp:txXfrm>
    </dsp:sp>
    <dsp:sp modelId="{E0FDEA40-0278-401F-B76F-7AA1D30AF05C}">
      <dsp:nvSpPr>
        <dsp:cNvPr id="0" name=""/>
        <dsp:cNvSpPr/>
      </dsp:nvSpPr>
      <dsp:spPr>
        <a:xfrm>
          <a:off x="1119526" y="1371939"/>
          <a:ext cx="3603979" cy="694437"/>
        </a:xfrm>
        <a:prstGeom prst="rightArrow">
          <a:avLst>
            <a:gd name="adj1" fmla="val 75000"/>
            <a:gd name="adj2" fmla="val 50000"/>
          </a:avLst>
        </a:prstGeom>
        <a:solidFill>
          <a:srgbClr val="FFF2DC">
            <a:alpha val="90000"/>
          </a:srgb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715" tIns="5715" rIns="5715" bIns="5715" numCol="1" spcCol="1270" anchor="t" anchorCtr="0">
          <a:noAutofit/>
        </a:bodyPr>
        <a:lstStyle/>
        <a:p>
          <a:pPr marL="112713" lvl="1" indent="-1588" algn="l" defTabSz="622300">
            <a:lnSpc>
              <a:spcPct val="100000"/>
            </a:lnSpc>
            <a:spcBef>
              <a:spcPct val="0"/>
            </a:spcBef>
            <a:spcAft>
              <a:spcPts val="0"/>
            </a:spcAft>
            <a:buChar char="•"/>
          </a:pPr>
          <a:r>
            <a:rPr lang="en-US" sz="900" kern="1200" dirty="0">
              <a:solidFill>
                <a:srgbClr val="5B9BD5">
                  <a:lumMod val="50000"/>
                </a:srgbClr>
              </a:solidFill>
              <a:latin typeface="Arial" panose="020B0604020202020204" pitchFamily="34" charset="0"/>
              <a:ea typeface="+mn-ea"/>
              <a:cs typeface="Arial" panose="020B0604020202020204" pitchFamily="34" charset="0"/>
            </a:rPr>
            <a:t>Budget registration (exact timing depends on funding source) - Approval of budget commitment (AAU) -  approval of study and tender document - Appointment of Tender Committee</a:t>
          </a:r>
        </a:p>
      </dsp:txBody>
      <dsp:txXfrm>
        <a:off x="1119526" y="1458744"/>
        <a:ext cx="3343565" cy="520827"/>
      </dsp:txXfrm>
    </dsp:sp>
    <dsp:sp modelId="{B926A869-EB64-44F1-AEDE-54B0C5A749F6}">
      <dsp:nvSpPr>
        <dsp:cNvPr id="0" name=""/>
        <dsp:cNvSpPr/>
      </dsp:nvSpPr>
      <dsp:spPr>
        <a:xfrm>
          <a:off x="124150" y="1457552"/>
          <a:ext cx="1053458" cy="510509"/>
        </a:xfrm>
        <a:prstGeom prst="roundRect">
          <a:avLst/>
        </a:prstGeom>
        <a:solidFill>
          <a:schemeClr val="accent4"/>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17145" rIns="34290" bIns="17145" numCol="1" spcCol="1270" anchor="ctr" anchorCtr="0">
          <a:noAutofit/>
        </a:bodyPr>
        <a:lstStyle/>
        <a:p>
          <a:pPr marL="0" lvl="0" indent="0" algn="ctr" defTabSz="400050">
            <a:lnSpc>
              <a:spcPct val="90000"/>
            </a:lnSpc>
            <a:spcBef>
              <a:spcPct val="0"/>
            </a:spcBef>
            <a:spcAft>
              <a:spcPct val="35000"/>
            </a:spcAft>
            <a:buNone/>
          </a:pPr>
          <a:r>
            <a:rPr lang="el-GR" sz="900" kern="1200" dirty="0">
              <a:latin typeface="Arial" panose="020B0604020202020204" pitchFamily="34" charset="0"/>
              <a:cs typeface="Arial" panose="020B0604020202020204" pitchFamily="34" charset="0"/>
            </a:rPr>
            <a:t>3. </a:t>
          </a:r>
          <a:r>
            <a:rPr lang="en-US" sz="900" kern="1200" dirty="0">
              <a:latin typeface="Arial" panose="020B0604020202020204" pitchFamily="34" charset="0"/>
              <a:cs typeface="Arial" panose="020B0604020202020204" pitchFamily="34" charset="0"/>
            </a:rPr>
            <a:t>Decisions</a:t>
          </a:r>
        </a:p>
      </dsp:txBody>
      <dsp:txXfrm>
        <a:off x="149071" y="1482473"/>
        <a:ext cx="1003616" cy="460667"/>
      </dsp:txXfrm>
    </dsp:sp>
    <dsp:sp modelId="{0BD6063D-1794-4594-A7E9-7AB4A0C76598}">
      <dsp:nvSpPr>
        <dsp:cNvPr id="0" name=""/>
        <dsp:cNvSpPr/>
      </dsp:nvSpPr>
      <dsp:spPr>
        <a:xfrm>
          <a:off x="1161041" y="2063071"/>
          <a:ext cx="3603979" cy="578262"/>
        </a:xfrm>
        <a:prstGeom prst="rightArrow">
          <a:avLst>
            <a:gd name="adj1" fmla="val 75000"/>
            <a:gd name="adj2" fmla="val 50000"/>
          </a:avLst>
        </a:prstGeom>
        <a:solidFill>
          <a:schemeClr val="accent5">
            <a:lumMod val="20000"/>
            <a:lumOff val="80000"/>
            <a:alpha val="9000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715" tIns="5715" rIns="5715" bIns="5715" numCol="1" spcCol="1270" anchor="t" anchorCtr="0">
          <a:noAutofit/>
        </a:bodyPr>
        <a:lstStyle/>
        <a:p>
          <a:pPr marL="114300" lvl="1" indent="0" algn="l" defTabSz="622300">
            <a:lnSpc>
              <a:spcPct val="100000"/>
            </a:lnSpc>
            <a:spcBef>
              <a:spcPts val="0"/>
            </a:spcBef>
            <a:spcAft>
              <a:spcPts val="0"/>
            </a:spcAft>
            <a:buChar char="•"/>
          </a:pPr>
          <a:r>
            <a:rPr lang="en-GB" sz="900" kern="1200" dirty="0">
              <a:solidFill>
                <a:srgbClr val="5B9BD5">
                  <a:lumMod val="50000"/>
                </a:srgbClr>
              </a:solidFill>
              <a:latin typeface="Arial" panose="020B0604020202020204" pitchFamily="34" charset="0"/>
              <a:ea typeface="+mn-ea"/>
              <a:cs typeface="Arial" panose="020B0604020202020204" pitchFamily="34" charset="0"/>
            </a:rPr>
            <a:t>Posting on the National Public Procurement System (ESIDIS)
Posting in the Official Journal of the EU (for international tenders)</a:t>
          </a:r>
          <a:endParaRPr lang="en-US" sz="900" kern="1200" dirty="0">
            <a:solidFill>
              <a:srgbClr val="5B9BD5">
                <a:lumMod val="50000"/>
              </a:srgbClr>
            </a:solidFill>
            <a:latin typeface="Arial" panose="020B0604020202020204" pitchFamily="34" charset="0"/>
            <a:ea typeface="+mn-ea"/>
            <a:cs typeface="Arial" panose="020B0604020202020204" pitchFamily="34" charset="0"/>
          </a:endParaRPr>
        </a:p>
      </dsp:txBody>
      <dsp:txXfrm>
        <a:off x="1161041" y="2135354"/>
        <a:ext cx="3387131" cy="433696"/>
      </dsp:txXfrm>
    </dsp:sp>
    <dsp:sp modelId="{0687FD26-4F73-43B6-A7CE-46E5D3090C0C}">
      <dsp:nvSpPr>
        <dsp:cNvPr id="0" name=""/>
        <dsp:cNvSpPr/>
      </dsp:nvSpPr>
      <dsp:spPr>
        <a:xfrm>
          <a:off x="85569" y="2108700"/>
          <a:ext cx="1074105" cy="478238"/>
        </a:xfrm>
        <a:prstGeom prst="roundRect">
          <a:avLst/>
        </a:prstGeom>
        <a:solidFill>
          <a:schemeClr val="accent5"/>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17145" rIns="34290" bIns="17145" numCol="1" spcCol="1270" anchor="ctr" anchorCtr="0">
          <a:noAutofit/>
        </a:bodyPr>
        <a:lstStyle/>
        <a:p>
          <a:pPr marL="0" lvl="0" indent="0" algn="ctr" defTabSz="400050">
            <a:lnSpc>
              <a:spcPct val="90000"/>
            </a:lnSpc>
            <a:spcBef>
              <a:spcPct val="0"/>
            </a:spcBef>
            <a:spcAft>
              <a:spcPct val="35000"/>
            </a:spcAft>
            <a:buNone/>
          </a:pPr>
          <a:r>
            <a:rPr lang="el-GR" sz="900" kern="1200" dirty="0">
              <a:latin typeface="Arial" panose="020B0604020202020204" pitchFamily="34" charset="0"/>
              <a:cs typeface="Arial" panose="020B0604020202020204" pitchFamily="34" charset="0"/>
            </a:rPr>
            <a:t>4. </a:t>
          </a:r>
          <a:r>
            <a:rPr lang="en-GB" sz="900" kern="1200" dirty="0">
              <a:latin typeface="Arial" panose="020B0604020202020204" pitchFamily="34" charset="0"/>
              <a:cs typeface="Arial" panose="020B0604020202020204" pitchFamily="34" charset="0"/>
            </a:rPr>
            <a:t>Tender Publication</a:t>
          </a:r>
          <a:endParaRPr lang="en-US" sz="900" kern="1200" dirty="0">
            <a:latin typeface="Arial" panose="020B0604020202020204" pitchFamily="34" charset="0"/>
            <a:cs typeface="Arial" panose="020B0604020202020204" pitchFamily="34" charset="0"/>
          </a:endParaRPr>
        </a:p>
      </dsp:txBody>
      <dsp:txXfrm>
        <a:off x="108915" y="2132046"/>
        <a:ext cx="1027413" cy="431546"/>
      </dsp:txXfrm>
    </dsp:sp>
    <dsp:sp modelId="{1470180E-A47B-4D4D-8535-6257853402CE}">
      <dsp:nvSpPr>
        <dsp:cNvPr id="0" name=""/>
        <dsp:cNvSpPr/>
      </dsp:nvSpPr>
      <dsp:spPr>
        <a:xfrm>
          <a:off x="1152199" y="2665066"/>
          <a:ext cx="3603979" cy="574106"/>
        </a:xfrm>
        <a:prstGeom prst="rightArrow">
          <a:avLst>
            <a:gd name="adj1" fmla="val 75000"/>
            <a:gd name="adj2" fmla="val 50000"/>
          </a:avLst>
        </a:prstGeom>
        <a:solidFill>
          <a:schemeClr val="accent6">
            <a:lumMod val="20000"/>
            <a:lumOff val="80000"/>
            <a:alpha val="9000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715" tIns="5715" rIns="5715" bIns="5715" numCol="1" spcCol="1270" anchor="t" anchorCtr="0">
          <a:noAutofit/>
        </a:bodyPr>
        <a:lstStyle/>
        <a:p>
          <a:pPr marL="233363" lvl="1" indent="-120650" algn="l" defTabSz="622300">
            <a:lnSpc>
              <a:spcPct val="90000"/>
            </a:lnSpc>
            <a:spcBef>
              <a:spcPct val="0"/>
            </a:spcBef>
            <a:spcAft>
              <a:spcPct val="15000"/>
            </a:spcAft>
            <a:buClr>
              <a:srgbClr val="4472C4">
                <a:lumMod val="75000"/>
              </a:srgbClr>
            </a:buClr>
            <a:buChar char="•"/>
          </a:pPr>
          <a:r>
            <a:rPr lang="en-GB" sz="900" kern="1200" dirty="0">
              <a:solidFill>
                <a:srgbClr val="5B9BD5">
                  <a:lumMod val="50000"/>
                </a:srgbClr>
              </a:solidFill>
              <a:latin typeface="Arial" panose="020B0604020202020204" pitchFamily="34" charset="0"/>
              <a:ea typeface="+mn-ea"/>
              <a:cs typeface="Arial" panose="020B0604020202020204" pitchFamily="34" charset="0"/>
            </a:rPr>
            <a:t>Opening of bids - checking of supporting documents - minutes - management of any objections
Decisions by relevant boards - Contract award - Contract signing</a:t>
          </a:r>
          <a:endParaRPr lang="en-US" sz="900" kern="1200" dirty="0">
            <a:solidFill>
              <a:srgbClr val="5B9BD5">
                <a:lumMod val="50000"/>
              </a:srgbClr>
            </a:solidFill>
            <a:latin typeface="Arial" panose="020B0604020202020204" pitchFamily="34" charset="0"/>
            <a:ea typeface="+mn-ea"/>
            <a:cs typeface="Arial" panose="020B0604020202020204" pitchFamily="34" charset="0"/>
          </a:endParaRPr>
        </a:p>
      </dsp:txBody>
      <dsp:txXfrm>
        <a:off x="1152199" y="2736829"/>
        <a:ext cx="3388689" cy="430580"/>
      </dsp:txXfrm>
    </dsp:sp>
    <dsp:sp modelId="{3D6751AA-F77F-4974-9222-8B31EDF43D4D}">
      <dsp:nvSpPr>
        <dsp:cNvPr id="0" name=""/>
        <dsp:cNvSpPr/>
      </dsp:nvSpPr>
      <dsp:spPr>
        <a:xfrm>
          <a:off x="66577" y="2713043"/>
          <a:ext cx="1093098" cy="478152"/>
        </a:xfrm>
        <a:prstGeom prst="roundRect">
          <a:avLst/>
        </a:prstGeom>
        <a:solidFill>
          <a:schemeClr val="accent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17145" rIns="34290" bIns="17145" numCol="1" spcCol="1270" anchor="ctr" anchorCtr="0">
          <a:noAutofit/>
        </a:bodyPr>
        <a:lstStyle/>
        <a:p>
          <a:pPr marL="0" lvl="0" indent="0" algn="ctr" defTabSz="400050">
            <a:lnSpc>
              <a:spcPct val="90000"/>
            </a:lnSpc>
            <a:spcBef>
              <a:spcPct val="0"/>
            </a:spcBef>
            <a:spcAft>
              <a:spcPct val="35000"/>
            </a:spcAft>
            <a:buNone/>
          </a:pPr>
          <a:r>
            <a:rPr lang="el-GR" sz="900" kern="1200" dirty="0">
              <a:latin typeface="Arial" panose="020B0604020202020204" pitchFamily="34" charset="0"/>
              <a:cs typeface="Arial" panose="020B0604020202020204" pitchFamily="34" charset="0"/>
            </a:rPr>
            <a:t>5. </a:t>
          </a:r>
          <a:r>
            <a:rPr lang="en-GB" sz="900" kern="1200" dirty="0">
              <a:latin typeface="Arial" panose="020B0604020202020204" pitchFamily="34" charset="0"/>
              <a:cs typeface="Arial" panose="020B0604020202020204" pitchFamily="34" charset="0"/>
            </a:rPr>
            <a:t>Tender Pro-cess Execution</a:t>
          </a:r>
          <a:endParaRPr lang="en-US" sz="900" kern="1200" dirty="0">
            <a:latin typeface="Arial" panose="020B0604020202020204" pitchFamily="34" charset="0"/>
            <a:cs typeface="Arial" panose="020B0604020202020204" pitchFamily="34" charset="0"/>
          </a:endParaRPr>
        </a:p>
      </dsp:txBody>
      <dsp:txXfrm>
        <a:off x="89918" y="2736384"/>
        <a:ext cx="1046416" cy="431470"/>
      </dsp:txXfrm>
    </dsp:sp>
    <dsp:sp modelId="{337385FF-2688-46BA-B8AC-A63BBCCB803F}">
      <dsp:nvSpPr>
        <dsp:cNvPr id="0" name=""/>
        <dsp:cNvSpPr/>
      </dsp:nvSpPr>
      <dsp:spPr>
        <a:xfrm>
          <a:off x="1180957" y="3259165"/>
          <a:ext cx="3603979" cy="580679"/>
        </a:xfrm>
        <a:prstGeom prst="rightArrow">
          <a:avLst>
            <a:gd name="adj1" fmla="val 75000"/>
            <a:gd name="adj2" fmla="val 50000"/>
          </a:avLst>
        </a:prstGeom>
        <a:solidFill>
          <a:schemeClr val="accent2">
            <a:lumMod val="20000"/>
            <a:lumOff val="80000"/>
            <a:alpha val="9000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715" tIns="5715" rIns="5715" bIns="5715" numCol="1" spcCol="1270" anchor="t" anchorCtr="0">
          <a:noAutofit/>
        </a:bodyPr>
        <a:lstStyle/>
        <a:p>
          <a:pPr marL="233363" lvl="1" indent="-120650" algn="l" defTabSz="622300">
            <a:lnSpc>
              <a:spcPct val="90000"/>
            </a:lnSpc>
            <a:spcBef>
              <a:spcPct val="0"/>
            </a:spcBef>
            <a:spcAft>
              <a:spcPct val="15000"/>
            </a:spcAft>
            <a:buClr>
              <a:srgbClr val="4472C4">
                <a:lumMod val="75000"/>
              </a:srgbClr>
            </a:buClr>
            <a:buChar char="•"/>
          </a:pPr>
          <a:r>
            <a:rPr lang="en-GB" sz="900" kern="1200" dirty="0">
              <a:solidFill>
                <a:srgbClr val="5B9BD5">
                  <a:lumMod val="50000"/>
                </a:srgbClr>
              </a:solidFill>
              <a:latin typeface="Arial" panose="020B0604020202020204" pitchFamily="34" charset="0"/>
              <a:ea typeface="+mn-ea"/>
              <a:cs typeface="Arial" panose="020B0604020202020204" pitchFamily="34" charset="0"/>
            </a:rPr>
            <a:t>Appointment of supervising authority
Project monitoring - Certifications- Any addenda/extension approvals- Completion - Final acceptance</a:t>
          </a:r>
          <a:endParaRPr lang="en-US" sz="900" kern="1200" dirty="0">
            <a:solidFill>
              <a:srgbClr val="5B9BD5">
                <a:lumMod val="50000"/>
              </a:srgbClr>
            </a:solidFill>
            <a:latin typeface="Arial" panose="020B0604020202020204" pitchFamily="34" charset="0"/>
            <a:ea typeface="+mn-ea"/>
            <a:cs typeface="Arial" panose="020B0604020202020204" pitchFamily="34" charset="0"/>
          </a:endParaRPr>
        </a:p>
      </dsp:txBody>
      <dsp:txXfrm>
        <a:off x="1180957" y="3331750"/>
        <a:ext cx="3386224" cy="435509"/>
      </dsp:txXfrm>
    </dsp:sp>
    <dsp:sp modelId="{1DD5BC5C-F5CE-4485-9E53-B0D2A0B63865}">
      <dsp:nvSpPr>
        <dsp:cNvPr id="0" name=""/>
        <dsp:cNvSpPr/>
      </dsp:nvSpPr>
      <dsp:spPr>
        <a:xfrm>
          <a:off x="65672" y="3298087"/>
          <a:ext cx="1111936" cy="478152"/>
        </a:xfrm>
        <a:prstGeom prst="round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17145" rIns="34290" bIns="17145" numCol="1" spcCol="1270" anchor="ctr" anchorCtr="0">
          <a:noAutofit/>
        </a:bodyPr>
        <a:lstStyle/>
        <a:p>
          <a:pPr marL="0" lvl="0" indent="0" algn="ctr" defTabSz="400050">
            <a:lnSpc>
              <a:spcPct val="90000"/>
            </a:lnSpc>
            <a:spcBef>
              <a:spcPct val="0"/>
            </a:spcBef>
            <a:spcAft>
              <a:spcPct val="35000"/>
            </a:spcAft>
            <a:buNone/>
          </a:pPr>
          <a:r>
            <a:rPr lang="el-GR" sz="900" kern="1200" dirty="0">
              <a:latin typeface="Arial" panose="020B0604020202020204" pitchFamily="34" charset="0"/>
              <a:cs typeface="Arial" panose="020B0604020202020204" pitchFamily="34" charset="0"/>
            </a:rPr>
            <a:t>6. </a:t>
          </a:r>
          <a:r>
            <a:rPr lang="en-GB" sz="900" kern="1200" dirty="0">
              <a:latin typeface="Arial" panose="020B0604020202020204" pitchFamily="34" charset="0"/>
              <a:cs typeface="Arial" panose="020B0604020202020204" pitchFamily="34" charset="0"/>
            </a:rPr>
            <a:t>Project Implementation</a:t>
          </a:r>
          <a:endParaRPr lang="en-US" sz="900" kern="1200" dirty="0">
            <a:latin typeface="Arial" panose="020B0604020202020204" pitchFamily="34" charset="0"/>
            <a:cs typeface="Arial" panose="020B0604020202020204" pitchFamily="34" charset="0"/>
          </a:endParaRPr>
        </a:p>
      </dsp:txBody>
      <dsp:txXfrm>
        <a:off x="89013" y="3321428"/>
        <a:ext cx="1065254" cy="431470"/>
      </dsp:txXfrm>
    </dsp:sp>
  </dsp:spTree>
</dsp:drawing>
</file>

<file path=word/diagrams/layout1.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C Document" ma:contentTypeID="0x010100A8C0FE432B00E948BF17A18F874DA90A00D7277BFB522B774B92A9E609239131CC" ma:contentTypeVersion="34" ma:contentTypeDescription="Create a new document in this library." ma:contentTypeScope="" ma:versionID="cd263a25f00285ba3bb70935ed10e29c">
  <xsd:schema xmlns:xsd="http://www.w3.org/2001/XMLSchema" xmlns:xs="http://www.w3.org/2001/XMLSchema" xmlns:p="http://schemas.microsoft.com/office/2006/metadata/properties" xmlns:ns2="1e866f1f-0b21-41dc-b9cb-81167115ab19" xmlns:ns4="c1c27a6f-3295-4d53-88f7-dc2956bf7014" targetNamespace="http://schemas.microsoft.com/office/2006/metadata/properties" ma:root="true" ma:fieldsID="2f37c44bab351e702ab7551e922d8368" ns2:_="" ns4:_="">
    <xsd:import namespace="1e866f1f-0b21-41dc-b9cb-81167115ab19"/>
    <xsd:import namespace="c1c27a6f-3295-4d53-88f7-dc2956bf7014"/>
    <xsd:element name="properties">
      <xsd:complexType>
        <xsd:sequence>
          <xsd:element name="documentManagement">
            <xsd:complexType>
              <xsd:all>
                <xsd:element ref="ns2:ProgrGroup" minOccurs="0"/>
                <xsd:element ref="ns2:ProgrCategory" minOccurs="0"/>
                <xsd:element ref="ns2:Order1" minOccurs="0"/>
                <xsd:element ref="ns2:DocComments" minOccurs="0"/>
                <xsd:element ref="ns2:DocStatus" minOccurs="0"/>
                <xsd:element ref="ns2:DocPublProtocol" minOccurs="0"/>
                <xsd:element ref="ns2:DocInternalExternal" minOccurs="0"/>
                <xsd:element ref="ns2:ITcomments" minOccurs="0"/>
                <xsd:element ref="ns2:ITstatus" minOccurs="0"/>
                <xsd:element ref="ns2:SharedWithUsers" minOccurs="0"/>
                <xsd:element ref="ns2:SharedWithDetails" minOccurs="0"/>
                <xsd:element ref="ns4:MediaServiceMetadata" minOccurs="0"/>
                <xsd:element ref="ns4:MediaServiceFastMetadata"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866f1f-0b21-41dc-b9cb-81167115ab19" elementFormDefault="qualified">
    <xsd:import namespace="http://schemas.microsoft.com/office/2006/documentManagement/types"/>
    <xsd:import namespace="http://schemas.microsoft.com/office/infopath/2007/PartnerControls"/>
    <xsd:element name="ProgrGroup" ma:index="1" nillable="true" ma:displayName="Programme Docs Group" ma:description="Needed for MGAs &amp; Programme Documents (MFF 2021-2027)" ma:format="Dropdown" ma:internalName="ProgrGroup" ma:readOnly="false">
      <xsd:simpleType>
        <xsd:union memberTypes="dms:Text">
          <xsd:simpleType>
            <xsd:restriction base="dms:Choice">
              <xsd:enumeration value="00 CORPORATE MASTERFILES"/>
              <xsd:enumeration value="00 HEALTHCHECKS"/>
              <xsd:enumeration value="01 HORIZON and EURATOM"/>
              <xsd:enumeration value="02 RFCS"/>
              <xsd:enumeration value="03 DIGITAL EUROPE (DEP)"/>
              <xsd:enumeration value="04 DEFENCE (EDF, ASAP and EDIRPA)"/>
              <xsd:enumeration value="05 SPACE"/>
              <xsd:enumeration value="06 CEF"/>
              <xsd:enumeration value="07 I3"/>
              <xsd:enumeration value="07a ERDF-TA"/>
              <xsd:enumeration value="08 IMREG"/>
              <xsd:enumeration value="09 LIFE"/>
              <xsd:enumeration value="10 INNOVFUND"/>
              <xsd:enumeration value="11 RENEWFM"/>
              <xsd:enumeration value="11a JTM"/>
              <xsd:enumeration value="12 EMFAF"/>
              <xsd:enumeration value="13 AGRIP"/>
              <xsd:enumeration value="14 IMCAP"/>
              <xsd:enumeration value="15 SINGLE MARKET (SMP)"/>
              <xsd:enumeration value="15a BUSINESS CONSUMER SURVEYS (BCS)"/>
              <xsd:enumeration value="16 ERASMUS"/>
              <xsd:enumeration value="17 CREATIVE EUROPE"/>
              <xsd:enumeration value="18 EUROPEAN SOLIDARITY CORPS (ESC)"/>
              <xsd:enumeration value="19 CERV"/>
              <xsd:enumeration value="20 JUSTICE"/>
              <xsd:enumeration value="21 ESF and SOCPL"/>
              <xsd:enumeration value="22 EU4HEALTH"/>
              <xsd:enumeration value="23 AMIF, ISF and BMVI"/>
              <xsd:enumeration value="24 EU ANTI-FRAUD"/>
              <xsd:enumeration value="25 CUSTOMS and FISCALIS"/>
              <xsd:enumeration value="26 CCEI"/>
              <xsd:enumeration value="27 PERICLES"/>
              <xsd:enumeration value="28 TECHNICAL SUPPORT (TSI)"/>
              <xsd:enumeration value="29 UCPM"/>
              <xsd:enumeration value="30 HUMANITARIAN AID"/>
              <xsd:enumeration value="31 RELEX"/>
              <xsd:enumeration value="41 EUROPE DIRECT"/>
              <xsd:enumeration value="41 EUROPOL"/>
              <xsd:enumeration value="41 PPPA"/>
            </xsd:restriction>
          </xsd:simpleType>
        </xsd:union>
      </xsd:simpleType>
    </xsd:element>
    <xsd:element name="ProgrCategory" ma:index="2" nillable="true" ma:displayName="Programme Docs Category" ma:description="Needed for MGAs &amp; Programme Documents (MFF 2021-2027)" ma:format="Dropdown" ma:internalName="ProgrCategory" ma:readOnly="false">
      <xsd:simpleType>
        <xsd:union memberTypes="dms:Text">
          <xsd:simpleType>
            <xsd:restriction base="dms:Choice">
              <xsd:enumeration value="1. MGAs"/>
              <xsd:enumeration value="2. Programme guidance"/>
              <xsd:enumeration value="3. Customised reports &amp; forms"/>
              <xsd:enumeration value="5. Other"/>
              <xsd:enumeration value="6. xxx PUBLICATION FOLDERS"/>
              <xsd:enumeration value="7. xxxx DISCARDED DOCUMENTS"/>
              <xsd:enumeration value="7. xxxx DONE DOCUMENTS"/>
              <xsd:enumeration value="7. xxxx ORIGINAL DOCUMENTS"/>
              <xsd:enumeration value="1. PART C HEALTHCHECK"/>
              <xsd:enumeration value="2. MGA Annexes"/>
              <xsd:enumeration value="3. Customised reports &amp; forms (HE ERC)"/>
              <xsd:enumeration value="3. Customised reports &amp; forms (HE MSCA)"/>
              <xsd:enumeration value="3. Customised reports &amp; forms (HE EIC)"/>
              <xsd:enumeration value="3. Customised reports &amp; forms (HE EIT)"/>
              <xsd:enumeration value="3. Customised reports &amp; forms (ASAP)"/>
              <xsd:enumeration value="3. Customised reports &amp; forms (EDIRPA)"/>
              <xsd:enumeration value="3. Customised reports &amp; forms (aCEF-T)"/>
              <xsd:enumeration value="3. Customised reports &amp; forms (bCEF-E)"/>
              <xsd:enumeration value="3. Customised reports &amp; forms (cCEF-DIG)"/>
              <xsd:enumeration value="3. Customised reports &amp; forms (INNOVFUND AUCTIONS)"/>
              <xsd:enumeration value="3. Customised reports &amp; forms (SMP COSME)"/>
              <xsd:enumeration value="3. Customised reports &amp; forms (SMP CONS)"/>
              <xsd:enumeration value="3. Customised reports &amp; forms (SMP COMP)"/>
              <xsd:enumeration value="3. Customised reports &amp; forms (SMP FOOD)"/>
              <xsd:enumeration value="3. Customised reports &amp; forms (SMP STAND)"/>
              <xsd:enumeration value="3. Customised reports &amp; forms (SMP ESS)"/>
              <xsd:enumeration value="3. Customised reports &amp; forms (SMP SURV)"/>
              <xsd:enumeration value="3. Customised reports &amp; forms (ERASMUS JMO Schools Info Package)"/>
              <xsd:enumeration value="3. Customised reports &amp; forms (ECHE Certificate)"/>
              <xsd:enumeration value="3. Customised reports &amp; forms (ESC HUMAID Quality Label)"/>
              <xsd:enumeration value="3. Customised reports &amp; forms (ECHO Partnership Certificate)"/>
              <xsd:enumeration value="3. Customised reports &amp; forms (RELEX TWINNING)"/>
              <xsd:enumeration value="3. Customised reports &amp; forms (RELEX MOBAF)"/>
              <xsd:enumeration value="3. Customised reports &amp; forms (PPPA EACEA)"/>
            </xsd:restriction>
          </xsd:simpleType>
        </xsd:union>
      </xsd:simpleType>
    </xsd:element>
    <xsd:element name="Order1" ma:index="3" nillable="true" ma:displayName="Order" ma:indexed="true" ma:internalName="Order1" ma:readOnly="false" ma:percentage="FALSE">
      <xsd:simpleType>
        <xsd:restriction base="dms:Number"/>
      </xsd:simpleType>
    </xsd:element>
    <xsd:element name="DocComments" ma:index="4" nillable="true" ma:displayName="Doc Comments" ma:description="Needed for all Pages" ma:internalName="DocComments" ma:readOnly="false">
      <xsd:simpleType>
        <xsd:restriction base="dms:Note"/>
      </xsd:simpleType>
    </xsd:element>
    <xsd:element name="DocStatus" ma:index="5" nillable="true" ma:displayName="Doc Status" ma:description="Needed for all except GoFund Archive" ma:format="Dropdown" ma:internalName="DocStatus" ma:readOnly="false">
      <xsd:simpleType>
        <xsd:union memberTypes="dms:Text">
          <xsd:simpleType>
            <xsd:restriction base="dms:Choice">
              <xsd:enumeration value="͏New"/>
              <xsd:enumeration value="New version"/>
              <xsd:enumeration value="Under validation"/>
              <xsd:enumeration value="Ready"/>
              <xsd:enumeration value="Ready for publication"/>
              <xsd:enumeration value="Published"/>
              <xsd:enumeration value="Wait"/>
              <xsd:enumeration value="n/a (backoffice document)"/>
              <xsd:enumeration value="old document"/>
            </xsd:restriction>
          </xsd:simpleType>
        </xsd:union>
      </xsd:simpleType>
    </xsd:element>
    <xsd:element name="DocPublProtocol" ma:index="6" nillable="true" ma:displayName="Doc Publ. Protocol" ma:description="Needed for MGAs &amp; Programme Documents and Business Documents Management View" ma:format="Dropdown" ma:internalName="DocPublProtocol" ma:readOnly="false">
      <xsd:simpleType>
        <xsd:union memberTypes="dms:Text">
          <xsd:simpleType>
            <xsd:restriction base="dms:Choice">
              <xsd:enumeration value="MGA2-1 MGAs"/>
              <xsd:enumeration value="CONTR1-1 Expert contracts"/>
              <xsd:enumeration value="GUID1-1 Business - External guidance"/>
              <xsd:enumeration value="GUID1-2 Business - Internal guidance"/>
              <xsd:enumeration value="GUID2-1 Programme tpl - External guidance"/>
              <xsd:enumeration value="GUID2-2 Programme tpl - Internal guidance"/>
              <xsd:enumeration value="TPL1-1 Business - Decisions"/>
              <xsd:enumeration value="TPL1-2 Business - Reports"/>
              <xsd:enumeration value="TPL1-3 Business - Letters"/>
              <xsd:enumeration value="TPL1-4 Business - Special (Portal)"/>
              <xsd:enumeration value="TPL1-5 Business - Special (GoFund)"/>
              <xsd:enumeration value="TPL2-1 Programme tpl - Call documents"/>
              <xsd:enumeration value="TPL2-2 Programme tpl - Application forms, etc"/>
              <xsd:enumeration value="TPL2-3 Programme tpl - Evaluation forms, etc"/>
              <xsd:enumeration value="TPL2-4 Programme tpl - DoAs"/>
              <xsd:enumeration value="TPL2-5 Programme tpl - Reporting forms, etc"/>
              <xsd:enumeration value="TPL2-6 Programme tpl - Audit templates"/>
              <xsd:enumeration value="TPL2-7 Programme tpl - Other"/>
              <xsd:enumeration value="Portal1-1 Terms &amp; Conditions"/>
              <xsd:enumeration value="Portal1-2 Privacy Statement"/>
              <xsd:enumeration value="Portal1-3 Glossary"/>
              <xsd:enumeration value="Portal1-4 Lists of expert names"/>
            </xsd:restriction>
          </xsd:simpleType>
        </xsd:union>
      </xsd:simpleType>
    </xsd:element>
    <xsd:element name="DocInternalExternal" ma:index="7" nillable="true" ma:displayName="Doc Internal/External" ma:description="Needed for MGAs &amp; Programme Documents and Business Documentation Management View" ma:format="Dropdown" ma:internalName="DocInternalExternal" ma:readOnly="false">
      <xsd:simpleType>
        <xsd:union memberTypes="dms:Text">
          <xsd:simpleType>
            <xsd:restriction base="dms:Choice">
              <xsd:enumeration value="Internal"/>
              <xsd:enumeration value="External"/>
              <xsd:enumeration value="Internal &amp; external"/>
            </xsd:restriction>
          </xsd:simpleType>
        </xsd:union>
      </xsd:simpleType>
    </xsd:element>
    <xsd:element name="ITcomments" ma:index="8" nillable="true" ma:displayName="IT Comments" ma:description="Needed for MGAs &amp; Programme Documents and Business Documents Normal View" ma:internalName="ITcomments" ma:readOnly="false">
      <xsd:simpleType>
        <xsd:restriction base="dms:Note">
          <xsd:maxLength value="255"/>
        </xsd:restriction>
      </xsd:simpleType>
    </xsd:element>
    <xsd:element name="ITstatus" ma:index="9" nillable="true" ma:displayName="IT Status" ma:description="Needed for MGAs &amp; Programme Documents and Business Documents Normal View" ma:format="Dropdown" ma:internalName="ITstatus" ma:readOnly="false">
      <xsd:simpleType>
        <xsd:union memberTypes="dms:Text">
          <xsd:simpleType>
            <xsd:restriction base="dms:Choice">
              <xsd:enumeration value="͏Wait"/>
              <xsd:enumeration value="Ready for IT"/>
              <xsd:enumeration value="IT implementation started"/>
              <xsd:enumeration value="IT implementation finished"/>
              <xsd:enumeration value="New version ready for IT"/>
              <xsd:enumeration value="n/a (no IT implementation)"/>
            </xsd:restriction>
          </xsd:simpleType>
        </xsd:un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c27a6f-3295-4d53-88f7-dc2956bf7014"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7" ma:displayName="Author"/>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Order1 xmlns="1e866f1f-0b21-41dc-b9cb-81167115ab19">41</Order1>
    <DocComments xmlns="1e866f1f-0b21-41dc-b9cb-81167115ab19" xsi:nil="true"/>
    <DocInternalExternal xmlns="1e866f1f-0b21-41dc-b9cb-81167115ab19">Internal &amp; external</DocInternalExternal>
    <ProgrCategory xmlns="1e866f1f-0b21-41dc-b9cb-81167115ab19">3. Customised reports &amp; forms</ProgrCategory>
    <ProgrGroup xmlns="1e866f1f-0b21-41dc-b9cb-81167115ab19">09 LIFE</ProgrGroup>
    <DocStatus xmlns="1e866f1f-0b21-41dc-b9cb-81167115ab19">Ready</DocStatus>
    <DocPublProtocol xmlns="1e866f1f-0b21-41dc-b9cb-81167115ab19">TPL2-5 Programme tpl - Reporting forms, etc</DocPublProtocol>
    <ITcomments xmlns="1e866f1f-0b21-41dc-b9cb-81167115ab19" xsi:nil="true"/>
    <ITstatus xmlns="1e866f1f-0b21-41dc-b9cb-81167115ab19" xsi:nil="true"/>
  </documentManagement>
</p:properties>
</file>

<file path=customXml/itemProps1.xml><?xml version="1.0" encoding="utf-8"?>
<ds:datastoreItem xmlns:ds="http://schemas.openxmlformats.org/officeDocument/2006/customXml" ds:itemID="{D16BDAF7-ED7D-42AC-9343-3F71357175DA}">
  <ds:schemaRefs>
    <ds:schemaRef ds:uri="http://schemas.microsoft.com/sharepoint/v3/contenttype/forms"/>
  </ds:schemaRefs>
</ds:datastoreItem>
</file>

<file path=customXml/itemProps2.xml><?xml version="1.0" encoding="utf-8"?>
<ds:datastoreItem xmlns:ds="http://schemas.openxmlformats.org/officeDocument/2006/customXml" ds:itemID="{6825D9D6-A6C6-47C4-A3CB-64F580241EF9}">
  <ds:schemaRefs>
    <ds:schemaRef ds:uri="http://schemas.openxmlformats.org/officeDocument/2006/bibliography"/>
  </ds:schemaRefs>
</ds:datastoreItem>
</file>

<file path=customXml/itemProps3.xml><?xml version="1.0" encoding="utf-8"?>
<ds:datastoreItem xmlns:ds="http://schemas.openxmlformats.org/officeDocument/2006/customXml" ds:itemID="{C4E037CB-81FB-4EC2-B4ED-6655D35559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866f1f-0b21-41dc-b9cb-81167115ab19"/>
    <ds:schemaRef ds:uri="c1c27a6f-3295-4d53-88f7-dc2956bf70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C170F2-967F-4B8A-A826-3B508DA0D7DD}">
  <ds:schemaRefs>
    <ds:schemaRef ds:uri="http://schemas.microsoft.com/office/2006/metadata/properties"/>
    <ds:schemaRef ds:uri="http://schemas.microsoft.com/office/infopath/2007/PartnerControls"/>
    <ds:schemaRef ds:uri="1e866f1f-0b21-41dc-b9cb-81167115ab19"/>
  </ds:schemaRefs>
</ds:datastoreItem>
</file>

<file path=docProps/app.xml><?xml version="1.0" encoding="utf-8"?>
<Properties xmlns="http://schemas.openxmlformats.org/officeDocument/2006/extended-properties" xmlns:vt="http://schemas.openxmlformats.org/officeDocument/2006/docPropsVTypes">
  <Template>Normal</Template>
  <TotalTime>667</TotalTime>
  <Pages>101</Pages>
  <Words>45570</Words>
  <Characters>259753</Characters>
  <Application>Microsoft Office Word</Application>
  <DocSecurity>0</DocSecurity>
  <Lines>2164</Lines>
  <Paragraphs>609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304714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VERGARA OGANDO Isabel (INFSO)</dc:creator>
  <cp:keywords/>
  <dc:description>READY. Download &amp; create your Programme template.</dc:description>
  <cp:lastModifiedBy>Ino Katsiardi</cp:lastModifiedBy>
  <cp:revision>11</cp:revision>
  <cp:lastPrinted>2019-04-11T14:21:00Z</cp:lastPrinted>
  <dcterms:created xsi:type="dcterms:W3CDTF">2026-04-23T21:45:00Z</dcterms:created>
  <dcterms:modified xsi:type="dcterms:W3CDTF">2026-04-24T10:21:00Z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0x010100A8C0FE432B00E948BF17A18F874DA90A00D7277BFB522B774B92A9E609239131CC</vt:lpwstr>
  </property>
  <property fmtid="{D5CDD505-2E9C-101B-9397-08002B2CF9AE}" pid="3" name="EC_Collab_Status">
    <vt:lpwstr>Not Started</vt:lpwstr>
  </property>
  <property fmtid="{D5CDD505-2E9C-101B-9397-08002B2CF9AE}" pid="4" name="EC_Collab_DocumentLanguage">
    <vt:lpwstr>EN</vt:lpwstr>
  </property>
  <property fmtid="{D5CDD505-2E9C-101B-9397-08002B2CF9AE}" pid="5" name="MSIP_Label_6bd9ddd1-4d20-43f6-abfa-fc3c07406f94_Enabled">
    <vt:lpwstr>true</vt:lpwstr>
  </property>
  <property fmtid="{D5CDD505-2E9C-101B-9397-08002B2CF9AE}" pid="6" name="MSIP_Label_6bd9ddd1-4d20-43f6-abfa-fc3c07406f94_SetDate">
    <vt:lpwstr>2024-07-20T18:30:48Z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78bc3ab0-7cd5-4d25-8ad3-21030c2c49dc</vt:lpwstr>
  </property>
  <property fmtid="{D5CDD505-2E9C-101B-9397-08002B2CF9AE}" pid="11" name="MSIP_Label_6bd9ddd1-4d20-43f6-abfa-fc3c07406f94_ContentBits">
    <vt:lpwstr>0</vt:lpwstr>
  </property>
  <property fmtid="{D5CDD505-2E9C-101B-9397-08002B2CF9AE}" pid="12" name="GrammarlyDocumentId">
    <vt:lpwstr>ecfad8f4-05ed-45b6-a964-473761a1e31c</vt:lpwstr>
  </property>
</Properties>
</file>