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32C7F" w14:textId="244B95BC" w:rsidR="00936E36" w:rsidRPr="00936E36" w:rsidRDefault="00A5194F" w:rsidP="004A342A">
      <w:pPr>
        <w:spacing w:after="120"/>
        <w:ind w:right="-1228"/>
        <w:rPr>
          <w:rFonts w:ascii="Tahoma" w:hAnsi="Tahoma" w:cs="Tahoma"/>
          <w:sz w:val="20"/>
          <w:szCs w:val="20"/>
        </w:rPr>
      </w:pPr>
      <w:r>
        <w:rPr>
          <w:rFonts w:ascii="Tahoma" w:hAnsi="Tahoma" w:cs="Tahoma"/>
          <w:b/>
          <w:noProof/>
          <w:sz w:val="20"/>
          <w:szCs w:val="20"/>
        </w:rPr>
        <mc:AlternateContent>
          <mc:Choice Requires="wps">
            <w:drawing>
              <wp:anchor distT="0" distB="0" distL="114300" distR="114300" simplePos="0" relativeHeight="251657216" behindDoc="0" locked="0" layoutInCell="1" allowOverlap="1" wp14:anchorId="3D8C31C4" wp14:editId="215A67C4">
                <wp:simplePos x="0" y="0"/>
                <wp:positionH relativeFrom="column">
                  <wp:posOffset>-13335</wp:posOffset>
                </wp:positionH>
                <wp:positionV relativeFrom="paragraph">
                  <wp:posOffset>693420</wp:posOffset>
                </wp:positionV>
                <wp:extent cx="1588770" cy="0"/>
                <wp:effectExtent l="11430" t="14605" r="9525" b="13970"/>
                <wp:wrapNone/>
                <wp:docPr id="21097935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877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84F3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4.6pt" to="124.0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" strokecolor="navy" strokeweight="1pt"/>
            </w:pict>
          </mc:Fallback>
        </mc:AlternateContent>
      </w:r>
      <w:r w:rsidR="00F31F5D">
        <w:rPr>
          <w:rFonts w:ascii="Tahoma" w:hAnsi="Tahoma" w:cs="Tahoma"/>
          <w:noProof/>
          <w:lang w:eastAsia="el-GR"/>
        </w:rPr>
        <w:drawing>
          <wp:inline distT="0" distB="0" distL="0" distR="0" wp14:anchorId="465E0A03" wp14:editId="20B2FED1">
            <wp:extent cx="804545" cy="660400"/>
            <wp:effectExtent l="19050" t="0" r="0" b="0"/>
            <wp:docPr id="1" name="Εικόνα 1" descr="logo_KEDE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KEDE_2011"/>
                    <pic:cNvPicPr>
                      <a:picLocks noChangeAspect="1" noChangeArrowheads="1"/>
                    </pic:cNvPicPr>
                  </pic:nvPicPr>
                  <pic:blipFill>
                    <a:blip r:embed="rId7" cstate="print"/>
                    <a:srcRect/>
                    <a:stretch>
                      <a:fillRect/>
                    </a:stretch>
                  </pic:blipFill>
                  <pic:spPr bwMode="auto">
                    <a:xfrm>
                      <a:off x="0" y="0"/>
                      <a:ext cx="804545" cy="660400"/>
                    </a:xfrm>
                    <a:prstGeom prst="rect">
                      <a:avLst/>
                    </a:prstGeom>
                    <a:noFill/>
                    <a:ln w="9525">
                      <a:noFill/>
                      <a:miter lim="800000"/>
                      <a:headEnd/>
                      <a:tailEnd/>
                    </a:ln>
                  </pic:spPr>
                </pic:pic>
              </a:graphicData>
            </a:graphic>
          </wp:inline>
        </w:drawing>
      </w:r>
      <w:r w:rsidR="00936E36" w:rsidRPr="00936E36">
        <w:rPr>
          <w:rFonts w:ascii="Tahoma" w:hAnsi="Tahoma" w:cs="Tahoma"/>
          <w:sz w:val="20"/>
          <w:szCs w:val="20"/>
        </w:rPr>
        <w:tab/>
      </w:r>
      <w:r w:rsidR="00936E36" w:rsidRPr="00936E36">
        <w:rPr>
          <w:rFonts w:ascii="Tahoma" w:hAnsi="Tahoma" w:cs="Tahoma"/>
          <w:sz w:val="20"/>
          <w:szCs w:val="20"/>
        </w:rPr>
        <w:tab/>
      </w:r>
      <w:r w:rsidR="00936E36" w:rsidRPr="00936E36">
        <w:rPr>
          <w:rFonts w:ascii="Tahoma" w:hAnsi="Tahoma" w:cs="Tahoma"/>
          <w:sz w:val="20"/>
          <w:szCs w:val="20"/>
        </w:rPr>
        <w:tab/>
      </w:r>
      <w:r w:rsidR="00936E36" w:rsidRPr="00936E36">
        <w:rPr>
          <w:rFonts w:ascii="Tahoma" w:hAnsi="Tahoma" w:cs="Tahoma"/>
          <w:sz w:val="20"/>
          <w:szCs w:val="20"/>
        </w:rPr>
        <w:tab/>
      </w:r>
      <w:r w:rsidR="00936E36" w:rsidRPr="00936E36">
        <w:rPr>
          <w:rFonts w:ascii="Tahoma" w:hAnsi="Tahoma" w:cs="Tahoma"/>
          <w:sz w:val="20"/>
          <w:szCs w:val="20"/>
        </w:rPr>
        <w:tab/>
      </w:r>
      <w:r w:rsidR="00936E36" w:rsidRPr="002014E1">
        <w:rPr>
          <w:rFonts w:ascii="Tahoma" w:hAnsi="Tahoma" w:cs="Tahoma"/>
          <w:b/>
        </w:rPr>
        <w:tab/>
      </w:r>
      <w:r w:rsidR="00936E36" w:rsidRPr="002014E1">
        <w:rPr>
          <w:rFonts w:ascii="Tahoma" w:hAnsi="Tahoma" w:cs="Tahoma"/>
          <w:b/>
        </w:rPr>
        <w:tab/>
      </w:r>
      <w:r w:rsidR="00B24887">
        <w:rPr>
          <w:rFonts w:ascii="Tahoma" w:hAnsi="Tahoma" w:cs="Tahoma"/>
          <w:sz w:val="20"/>
          <w:szCs w:val="20"/>
        </w:rPr>
        <w:t xml:space="preserve"> </w:t>
      </w:r>
      <w:r w:rsidR="000A6123">
        <w:rPr>
          <w:rFonts w:ascii="Tahoma" w:hAnsi="Tahoma" w:cs="Tahoma"/>
          <w:sz w:val="20"/>
          <w:szCs w:val="20"/>
        </w:rPr>
        <w:tab/>
      </w:r>
      <w:r w:rsidR="000A6123">
        <w:rPr>
          <w:rFonts w:ascii="Tahoma" w:hAnsi="Tahoma" w:cs="Tahoma"/>
          <w:sz w:val="20"/>
          <w:szCs w:val="20"/>
        </w:rPr>
        <w:tab/>
      </w:r>
      <w:r w:rsidR="000A6123">
        <w:rPr>
          <w:rFonts w:ascii="Tahoma" w:hAnsi="Tahoma" w:cs="Tahoma"/>
          <w:sz w:val="20"/>
          <w:szCs w:val="20"/>
        </w:rPr>
        <w:tab/>
      </w:r>
    </w:p>
    <w:p w14:paraId="116EEE50" w14:textId="7149234D" w:rsidR="00936E36" w:rsidRPr="00936E36" w:rsidRDefault="00A5194F" w:rsidP="004A342A">
      <w:pPr>
        <w:rPr>
          <w:rFonts w:ascii="Tahoma" w:hAnsi="Tahoma" w:cs="Tahoma"/>
          <w:b/>
          <w:color w:val="000000"/>
        </w:rPr>
      </w:pPr>
      <w:r>
        <w:rPr>
          <w:rFonts w:ascii="Tahoma" w:hAnsi="Tahoma" w:cs="Tahoma"/>
          <w:b/>
          <w:noProof/>
          <w:color w:val="000000"/>
        </w:rPr>
        <mc:AlternateContent>
          <mc:Choice Requires="wps">
            <w:drawing>
              <wp:anchor distT="0" distB="0" distL="114300" distR="114300" simplePos="0" relativeHeight="251658240" behindDoc="0" locked="0" layoutInCell="1" allowOverlap="1" wp14:anchorId="0DE656B8" wp14:editId="578A576F">
                <wp:simplePos x="0" y="0"/>
                <wp:positionH relativeFrom="column">
                  <wp:posOffset>-685800</wp:posOffset>
                </wp:positionH>
                <wp:positionV relativeFrom="paragraph">
                  <wp:posOffset>0</wp:posOffset>
                </wp:positionV>
                <wp:extent cx="0" cy="0"/>
                <wp:effectExtent l="5715" t="10160" r="13335" b="8890"/>
                <wp:wrapNone/>
                <wp:docPr id="12421379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3FA41"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"/>
            </w:pict>
          </mc:Fallback>
        </mc:AlternateContent>
      </w:r>
      <w:r w:rsidR="00936E36" w:rsidRPr="00936E36">
        <w:rPr>
          <w:rFonts w:ascii="Tahoma" w:hAnsi="Tahoma" w:cs="Tahoma"/>
          <w:b/>
          <w:color w:val="000000"/>
          <w:sz w:val="20"/>
          <w:szCs w:val="20"/>
        </w:rPr>
        <w:t>ΚΕΝΤΡΙΚΗ ΕΝΩΣΗ</w:t>
      </w:r>
    </w:p>
    <w:p w14:paraId="67B9354C" w14:textId="77777777" w:rsidR="00936E36" w:rsidRDefault="00936E36" w:rsidP="004A342A">
      <w:pPr>
        <w:rPr>
          <w:rFonts w:ascii="Tahoma" w:hAnsi="Tahoma" w:cs="Tahoma"/>
          <w:b/>
          <w:color w:val="000000"/>
          <w:sz w:val="20"/>
          <w:szCs w:val="20"/>
        </w:rPr>
      </w:pPr>
      <w:r w:rsidRPr="00936E36">
        <w:rPr>
          <w:rFonts w:ascii="Tahoma" w:hAnsi="Tahoma" w:cs="Tahoma"/>
          <w:b/>
          <w:color w:val="000000"/>
          <w:sz w:val="20"/>
          <w:szCs w:val="20"/>
        </w:rPr>
        <w:t>ΔΗΜΩΝ ΕΛΛΑΔΑΣ</w:t>
      </w:r>
    </w:p>
    <w:p w14:paraId="473E9454" w14:textId="77777777" w:rsidR="00077D37" w:rsidRDefault="00077D37" w:rsidP="004A342A">
      <w:pPr>
        <w:spacing w:line="360" w:lineRule="auto"/>
        <w:rPr>
          <w:rFonts w:ascii="Tahoma" w:hAnsi="Tahoma" w:cs="Tahoma"/>
          <w:b/>
        </w:rPr>
      </w:pPr>
    </w:p>
    <w:p w14:paraId="6D04070D" w14:textId="4D6D9B21" w:rsidR="00F718E1" w:rsidRDefault="00A5194F" w:rsidP="00A5194F">
      <w:pPr>
        <w:pStyle w:val="Web"/>
        <w:spacing w:before="0" w:beforeAutospacing="0" w:after="0" w:afterAutospacing="0"/>
        <w:jc w:val="center"/>
        <w:rPr>
          <w:rFonts w:ascii="Tahoma" w:hAnsi="Tahoma" w:cs="Tahoma"/>
          <w:b/>
          <w:bCs/>
          <w:color w:val="000000"/>
          <w:sz w:val="32"/>
          <w:szCs w:val="32"/>
        </w:rPr>
      </w:pPr>
      <w:r w:rsidRPr="00A5194F">
        <w:rPr>
          <w:rFonts w:ascii="Tahoma" w:hAnsi="Tahoma" w:cs="Tahoma"/>
          <w:b/>
          <w:bCs/>
          <w:color w:val="000000"/>
          <w:sz w:val="32"/>
          <w:szCs w:val="32"/>
        </w:rPr>
        <w:t>Τα Οικονομικά των ΟΤΑ</w:t>
      </w:r>
    </w:p>
    <w:p w14:paraId="4EA6EDDD" w14:textId="77777777" w:rsidR="00F30015" w:rsidRPr="00A5194F" w:rsidRDefault="00F30015" w:rsidP="00A5194F">
      <w:pPr>
        <w:pStyle w:val="Web"/>
        <w:spacing w:before="0" w:beforeAutospacing="0" w:after="0" w:afterAutospacing="0"/>
        <w:jc w:val="center"/>
        <w:rPr>
          <w:rFonts w:ascii="Tahoma" w:hAnsi="Tahoma" w:cs="Tahoma"/>
          <w:b/>
          <w:bCs/>
          <w:color w:val="000000"/>
          <w:sz w:val="32"/>
          <w:szCs w:val="32"/>
        </w:rPr>
      </w:pPr>
    </w:p>
    <w:p w14:paraId="648C5DAD" w14:textId="77777777" w:rsidR="00A5194F" w:rsidRDefault="00A5194F" w:rsidP="00A5194F">
      <w:pPr>
        <w:pStyle w:val="Web"/>
        <w:spacing w:before="0" w:beforeAutospacing="0" w:after="0" w:afterAutospacing="0"/>
        <w:jc w:val="center"/>
        <w:rPr>
          <w:rFonts w:ascii="Tahoma" w:hAnsi="Tahoma" w:cs="Tahoma"/>
          <w:b/>
          <w:bCs/>
          <w:color w:val="000000"/>
          <w:sz w:val="32"/>
          <w:szCs w:val="32"/>
        </w:rPr>
      </w:pPr>
    </w:p>
    <w:p w14:paraId="7B1E88B1" w14:textId="77777777" w:rsidR="00A5194F" w:rsidRPr="00A5194F" w:rsidRDefault="00A5194F" w:rsidP="00A5194F">
      <w:pPr>
        <w:pStyle w:val="a3"/>
        <w:numPr>
          <w:ilvl w:val="0"/>
          <w:numId w:val="33"/>
        </w:numPr>
        <w:spacing w:before="120" w:after="120" w:line="312" w:lineRule="auto"/>
        <w:jc w:val="both"/>
        <w:rPr>
          <w:rFonts w:ascii="Tahoma" w:hAnsi="Tahoma" w:cs="Tahoma"/>
        </w:rPr>
      </w:pPr>
      <w:r w:rsidRPr="00A5194F">
        <w:rPr>
          <w:rFonts w:ascii="Tahoma" w:hAnsi="Tahoma" w:cs="Tahoma"/>
          <w:b/>
          <w:bCs/>
        </w:rPr>
        <w:t>Εφαρμογή του Συντάγματος και των Νόμων</w:t>
      </w:r>
    </w:p>
    <w:p w14:paraId="5D6EDD58" w14:textId="77777777" w:rsidR="00A5194F" w:rsidRPr="00A5194F" w:rsidRDefault="00A5194F" w:rsidP="00A5194F">
      <w:pPr>
        <w:spacing w:before="120" w:after="120" w:line="312" w:lineRule="auto"/>
        <w:jc w:val="both"/>
        <w:rPr>
          <w:rFonts w:ascii="Tahoma" w:hAnsi="Tahoma" w:cs="Tahoma"/>
        </w:rPr>
      </w:pPr>
      <w:r w:rsidRPr="00A5194F">
        <w:rPr>
          <w:rFonts w:ascii="Tahoma" w:hAnsi="Tahoma" w:cs="Tahoma"/>
        </w:rPr>
        <w:t xml:space="preserve">Κατά τη διάρκεια της κρίσης οι Δήμοι ανέλαβαν να υποστηρίξουν τους χειμαζόμενους πολίτες. Με τις κοινωνικές υπηρεσίες και πρωτοβουλίες τους, συνέβαλαν στη διατήρηση της κοινωνικής συνοχής. Παράλληλα με την αύξηση των δαπανών τους, λόγω της υπερβάλλουσας ζήτησης κοινωνικών υπηρεσιών, υπέστησαν και μείωση των εσόδων τους, ιδιαίτερα των Κεντρικών Αυτοτελών Πόρων (ΚΑΠ), κατά 60% περίπου. Σημειώνεται ότι παρά τη μείωση των εσόδων και την αύξηση των δαπανών, όλη την προηγούμενη δεκαετία, η πρωτοβάθμια ΤΑ προσέφερε στον Κρατικό Προϋπολογισμό </w:t>
      </w:r>
      <w:r w:rsidRPr="00A5194F">
        <w:rPr>
          <w:rFonts w:ascii="Tahoma" w:hAnsi="Tahoma" w:cs="Tahoma"/>
          <w:u w:val="single"/>
        </w:rPr>
        <w:t>πλεονάσματα,</w:t>
      </w:r>
      <w:r w:rsidRPr="00A5194F">
        <w:rPr>
          <w:rFonts w:ascii="Tahoma" w:hAnsi="Tahoma" w:cs="Tahoma"/>
        </w:rPr>
        <w:t xml:space="preserve"> αναδεικνύοντας την αποτελεσματικότητά της και στην οικονομική διαχείριση.  </w:t>
      </w:r>
    </w:p>
    <w:p w14:paraId="012E5A4E" w14:textId="77777777" w:rsidR="00A5194F" w:rsidRPr="00A5194F" w:rsidRDefault="00A5194F" w:rsidP="00A5194F">
      <w:pPr>
        <w:spacing w:before="120" w:after="120" w:line="312" w:lineRule="auto"/>
        <w:jc w:val="both"/>
        <w:rPr>
          <w:rFonts w:ascii="Tahoma" w:hAnsi="Tahoma" w:cs="Tahoma"/>
        </w:rPr>
      </w:pPr>
      <w:r w:rsidRPr="00A5194F">
        <w:rPr>
          <w:rFonts w:ascii="Tahoma" w:hAnsi="Tahoma" w:cs="Tahoma"/>
        </w:rPr>
        <w:t xml:space="preserve">Τη στιγμή που η δημοσιονομική κατάσταση έχει ομαλοποιηθεί και η χώρα έχει ενταχθεί σε αναπτυξιακή τροχιά, ο μοναδικός φορέας της Γενικής Κυβέρνησης που παραμένει δέσμιος </w:t>
      </w:r>
      <w:proofErr w:type="spellStart"/>
      <w:r w:rsidRPr="00A5194F">
        <w:rPr>
          <w:rFonts w:ascii="Tahoma" w:hAnsi="Tahoma" w:cs="Tahoma"/>
        </w:rPr>
        <w:t>μνημονιακών</w:t>
      </w:r>
      <w:proofErr w:type="spellEnd"/>
      <w:r w:rsidRPr="00A5194F">
        <w:rPr>
          <w:rFonts w:ascii="Tahoma" w:hAnsi="Tahoma" w:cs="Tahoma"/>
        </w:rPr>
        <w:t xml:space="preserve"> αγκυλώσεων είναι η ΤΑ. </w:t>
      </w:r>
    </w:p>
    <w:p w14:paraId="6A4B13F0" w14:textId="77777777" w:rsidR="00A5194F" w:rsidRPr="00A5194F" w:rsidRDefault="00A5194F" w:rsidP="00A5194F">
      <w:pPr>
        <w:spacing w:before="120" w:after="120" w:line="312" w:lineRule="auto"/>
        <w:jc w:val="both"/>
        <w:rPr>
          <w:rFonts w:ascii="Tahoma" w:hAnsi="Tahoma" w:cs="Tahoma"/>
          <w:b/>
          <w:bCs/>
        </w:rPr>
      </w:pPr>
      <w:r w:rsidRPr="00A5194F">
        <w:rPr>
          <w:rFonts w:ascii="Tahoma" w:hAnsi="Tahoma" w:cs="Tahoma"/>
          <w:b/>
          <w:bCs/>
        </w:rPr>
        <w:t>Οι Δήμοι δεν διεκδικούν τίποτα παραπάνω παρά μόνο την εφαρμογή του Συντάγματος και των Νόμων. Συγκεκριμένα με βάση την παρ. 5 του άρθρου 102 του Συντάγματος κάθε μεταφερόμενη αρμοδιότητα να συνοδεύεται από τους ανάλογους πόρους και την πλήρη και ανόθευτη εφαρμογή του Ν. 3852/2010 (άρθρο 259).</w:t>
      </w:r>
    </w:p>
    <w:p w14:paraId="5D48C178" w14:textId="77777777" w:rsidR="00A5194F" w:rsidRPr="00A5194F" w:rsidRDefault="00A5194F" w:rsidP="00A5194F">
      <w:pPr>
        <w:spacing w:before="120" w:after="120" w:line="312" w:lineRule="auto"/>
        <w:jc w:val="center"/>
        <w:rPr>
          <w:rFonts w:ascii="Tahoma" w:hAnsi="Tahoma" w:cs="Tahoma"/>
          <w:b/>
          <w:bCs/>
          <w:sz w:val="32"/>
          <w:szCs w:val="32"/>
        </w:rPr>
      </w:pPr>
      <w:r w:rsidRPr="00A5194F">
        <w:rPr>
          <w:rFonts w:ascii="Tahoma" w:hAnsi="Tahoma" w:cs="Tahoma"/>
          <w:b/>
          <w:bCs/>
          <w:sz w:val="32"/>
          <w:szCs w:val="32"/>
        </w:rPr>
        <w:t>Τα οικονομικά των Δήμων σε αριθμούς</w:t>
      </w:r>
    </w:p>
    <w:p w14:paraId="4B32F162" w14:textId="77777777" w:rsidR="00A5194F" w:rsidRPr="00A5194F" w:rsidRDefault="00A5194F" w:rsidP="00A5194F">
      <w:pPr>
        <w:spacing w:before="120" w:after="120" w:line="312" w:lineRule="auto"/>
        <w:rPr>
          <w:rFonts w:ascii="Tahoma" w:hAnsi="Tahoma" w:cs="Tahoma"/>
          <w:b/>
          <w:bCs/>
        </w:rPr>
      </w:pPr>
      <w:r w:rsidRPr="00A5194F">
        <w:rPr>
          <w:rFonts w:ascii="Tahoma" w:hAnsi="Tahoma" w:cs="Tahoma"/>
          <w:b/>
          <w:bCs/>
        </w:rPr>
        <w:t>Α) Υλοποίηση Κρατικού Προϋπολογισμού</w:t>
      </w:r>
    </w:p>
    <w:tbl>
      <w:tblPr>
        <w:tblW w:w="6140" w:type="dxa"/>
        <w:jc w:val="center"/>
        <w:tblLook w:val="04A0" w:firstRow="1" w:lastRow="0" w:firstColumn="1" w:lastColumn="0" w:noHBand="0" w:noVBand="1"/>
      </w:tblPr>
      <w:tblGrid>
        <w:gridCol w:w="2787"/>
        <w:gridCol w:w="1509"/>
        <w:gridCol w:w="1844"/>
      </w:tblGrid>
      <w:tr w:rsidR="00A5194F" w:rsidRPr="00A5194F" w14:paraId="150DFD07" w14:textId="77777777" w:rsidTr="00A5194F">
        <w:trPr>
          <w:trHeight w:val="288"/>
          <w:jc w:val="center"/>
        </w:trPr>
        <w:tc>
          <w:tcPr>
            <w:tcW w:w="2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31FCE" w14:textId="77777777" w:rsidR="00A5194F" w:rsidRPr="00A5194F" w:rsidRDefault="00A5194F" w:rsidP="007671A9">
            <w:pPr>
              <w:jc w:val="center"/>
              <w:rPr>
                <w:rFonts w:asciiTheme="minorHAnsi" w:hAnsiTheme="minorHAnsi" w:cstheme="minorHAnsi"/>
                <w:b/>
                <w:bCs/>
                <w:color w:val="000000"/>
                <w:lang w:eastAsia="el-GR"/>
              </w:rPr>
            </w:pPr>
            <w:r w:rsidRPr="00A5194F">
              <w:rPr>
                <w:rFonts w:asciiTheme="minorHAnsi" w:hAnsiTheme="minorHAnsi" w:cstheme="minorHAnsi"/>
                <w:b/>
                <w:bCs/>
                <w:color w:val="000000"/>
                <w:lang w:eastAsia="el-GR"/>
              </w:rPr>
              <w:t>ΕΤΗ</w:t>
            </w:r>
          </w:p>
        </w:tc>
        <w:tc>
          <w:tcPr>
            <w:tcW w:w="1509" w:type="dxa"/>
            <w:tcBorders>
              <w:top w:val="single" w:sz="4" w:space="0" w:color="auto"/>
              <w:left w:val="nil"/>
              <w:bottom w:val="single" w:sz="4" w:space="0" w:color="auto"/>
              <w:right w:val="single" w:sz="4" w:space="0" w:color="auto"/>
            </w:tcBorders>
            <w:shd w:val="clear" w:color="auto" w:fill="auto"/>
            <w:noWrap/>
            <w:vAlign w:val="bottom"/>
            <w:hideMark/>
          </w:tcPr>
          <w:p w14:paraId="01C80E90" w14:textId="77777777" w:rsidR="00A5194F" w:rsidRPr="00A5194F" w:rsidRDefault="00A5194F" w:rsidP="007671A9">
            <w:pPr>
              <w:jc w:val="center"/>
              <w:rPr>
                <w:rFonts w:asciiTheme="minorHAnsi" w:hAnsiTheme="minorHAnsi" w:cstheme="minorHAnsi"/>
                <w:b/>
                <w:bCs/>
                <w:color w:val="000000"/>
                <w:lang w:eastAsia="el-GR"/>
              </w:rPr>
            </w:pPr>
            <w:r w:rsidRPr="00A5194F">
              <w:rPr>
                <w:rFonts w:asciiTheme="minorHAnsi" w:hAnsiTheme="minorHAnsi" w:cstheme="minorHAnsi"/>
                <w:b/>
                <w:bCs/>
                <w:color w:val="000000"/>
                <w:lang w:eastAsia="el-GR"/>
              </w:rPr>
              <w:t>2022</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14:paraId="72E34D00" w14:textId="77777777" w:rsidR="00A5194F" w:rsidRPr="00A5194F" w:rsidRDefault="00A5194F" w:rsidP="007671A9">
            <w:pPr>
              <w:jc w:val="center"/>
              <w:rPr>
                <w:rFonts w:asciiTheme="minorHAnsi" w:hAnsiTheme="minorHAnsi" w:cstheme="minorHAnsi"/>
                <w:b/>
                <w:bCs/>
                <w:color w:val="000000"/>
                <w:lang w:eastAsia="el-GR"/>
              </w:rPr>
            </w:pPr>
            <w:r w:rsidRPr="00A5194F">
              <w:rPr>
                <w:rFonts w:asciiTheme="minorHAnsi" w:hAnsiTheme="minorHAnsi" w:cstheme="minorHAnsi"/>
                <w:b/>
                <w:bCs/>
                <w:color w:val="000000"/>
                <w:lang w:eastAsia="el-GR"/>
              </w:rPr>
              <w:t>2023</w:t>
            </w:r>
          </w:p>
        </w:tc>
      </w:tr>
      <w:tr w:rsidR="00A5194F" w:rsidRPr="00A5194F" w14:paraId="0E8A3223" w14:textId="77777777" w:rsidTr="00A5194F">
        <w:trPr>
          <w:trHeight w:val="576"/>
          <w:jc w:val="center"/>
        </w:trPr>
        <w:tc>
          <w:tcPr>
            <w:tcW w:w="2787" w:type="dxa"/>
            <w:tcBorders>
              <w:top w:val="nil"/>
              <w:left w:val="single" w:sz="4" w:space="0" w:color="auto"/>
              <w:bottom w:val="single" w:sz="4" w:space="0" w:color="auto"/>
              <w:right w:val="single" w:sz="4" w:space="0" w:color="auto"/>
            </w:tcBorders>
            <w:shd w:val="clear" w:color="auto" w:fill="auto"/>
            <w:vAlign w:val="bottom"/>
            <w:hideMark/>
          </w:tcPr>
          <w:p w14:paraId="19884C07" w14:textId="77777777" w:rsidR="00A5194F" w:rsidRPr="00A5194F" w:rsidRDefault="00A5194F" w:rsidP="007671A9">
            <w:pPr>
              <w:rPr>
                <w:rFonts w:asciiTheme="minorHAnsi" w:hAnsiTheme="minorHAnsi" w:cstheme="minorHAnsi"/>
                <w:b/>
                <w:bCs/>
                <w:color w:val="000000"/>
                <w:lang w:eastAsia="el-GR"/>
              </w:rPr>
            </w:pPr>
            <w:r w:rsidRPr="00A5194F">
              <w:rPr>
                <w:rFonts w:asciiTheme="minorHAnsi" w:hAnsiTheme="minorHAnsi" w:cstheme="minorHAnsi"/>
                <w:b/>
                <w:bCs/>
                <w:color w:val="000000"/>
                <w:lang w:eastAsia="el-GR"/>
              </w:rPr>
              <w:t>ΕΙΣΗΓΗΤΙΚΗ ΕΚΘΕΣΗ Π/Υ</w:t>
            </w:r>
          </w:p>
        </w:tc>
        <w:tc>
          <w:tcPr>
            <w:tcW w:w="1509" w:type="dxa"/>
            <w:tcBorders>
              <w:top w:val="nil"/>
              <w:left w:val="nil"/>
              <w:bottom w:val="single" w:sz="4" w:space="0" w:color="auto"/>
              <w:right w:val="single" w:sz="4" w:space="0" w:color="auto"/>
            </w:tcBorders>
            <w:shd w:val="clear" w:color="auto" w:fill="auto"/>
            <w:noWrap/>
            <w:vAlign w:val="bottom"/>
            <w:hideMark/>
          </w:tcPr>
          <w:p w14:paraId="1CD96563" w14:textId="77777777" w:rsidR="00A5194F" w:rsidRPr="00A5194F" w:rsidRDefault="00A5194F" w:rsidP="007671A9">
            <w:pPr>
              <w:jc w:val="center"/>
              <w:rPr>
                <w:rFonts w:asciiTheme="minorHAnsi" w:hAnsiTheme="minorHAnsi" w:cstheme="minorHAnsi"/>
                <w:b/>
                <w:bCs/>
                <w:color w:val="000000"/>
                <w:lang w:eastAsia="el-GR"/>
              </w:rPr>
            </w:pPr>
            <w:r w:rsidRPr="00A5194F">
              <w:rPr>
                <w:rFonts w:asciiTheme="minorHAnsi" w:hAnsiTheme="minorHAnsi" w:cstheme="minorHAnsi"/>
                <w:b/>
                <w:bCs/>
                <w:color w:val="000000"/>
                <w:lang w:eastAsia="el-GR"/>
              </w:rPr>
              <w:t>ΕΚΤΙΜΗΣΕΙΣ</w:t>
            </w:r>
          </w:p>
        </w:tc>
        <w:tc>
          <w:tcPr>
            <w:tcW w:w="1844" w:type="dxa"/>
            <w:tcBorders>
              <w:top w:val="nil"/>
              <w:left w:val="nil"/>
              <w:bottom w:val="single" w:sz="4" w:space="0" w:color="auto"/>
              <w:right w:val="single" w:sz="4" w:space="0" w:color="auto"/>
            </w:tcBorders>
            <w:shd w:val="clear" w:color="auto" w:fill="auto"/>
            <w:noWrap/>
            <w:vAlign w:val="bottom"/>
            <w:hideMark/>
          </w:tcPr>
          <w:p w14:paraId="5B134D52" w14:textId="77777777" w:rsidR="00A5194F" w:rsidRPr="00A5194F" w:rsidRDefault="00A5194F" w:rsidP="007671A9">
            <w:pPr>
              <w:jc w:val="center"/>
              <w:rPr>
                <w:rFonts w:asciiTheme="minorHAnsi" w:hAnsiTheme="minorHAnsi" w:cstheme="minorHAnsi"/>
                <w:b/>
                <w:bCs/>
                <w:color w:val="000000"/>
                <w:lang w:eastAsia="el-GR"/>
              </w:rPr>
            </w:pPr>
            <w:r w:rsidRPr="00A5194F">
              <w:rPr>
                <w:rFonts w:asciiTheme="minorHAnsi" w:hAnsiTheme="minorHAnsi" w:cstheme="minorHAnsi"/>
                <w:b/>
                <w:bCs/>
                <w:color w:val="000000"/>
                <w:lang w:eastAsia="el-GR"/>
              </w:rPr>
              <w:t>ΠΡΟΒΛΕΨΕΙΣ</w:t>
            </w:r>
          </w:p>
        </w:tc>
      </w:tr>
      <w:tr w:rsidR="00A5194F" w:rsidRPr="00A5194F" w14:paraId="7B8BE80A" w14:textId="77777777" w:rsidTr="00A5194F">
        <w:trPr>
          <w:trHeight w:val="288"/>
          <w:jc w:val="center"/>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14:paraId="66B2190B" w14:textId="77777777" w:rsidR="00A5194F" w:rsidRPr="00A5194F" w:rsidRDefault="00A5194F" w:rsidP="007671A9">
            <w:pPr>
              <w:rPr>
                <w:rFonts w:asciiTheme="minorHAnsi" w:hAnsiTheme="minorHAnsi" w:cstheme="minorHAnsi"/>
                <w:color w:val="000000"/>
                <w:lang w:eastAsia="el-GR"/>
              </w:rPr>
            </w:pPr>
            <w:r w:rsidRPr="00A5194F">
              <w:rPr>
                <w:rFonts w:asciiTheme="minorHAnsi" w:hAnsiTheme="minorHAnsi" w:cstheme="minorHAnsi"/>
                <w:color w:val="000000"/>
                <w:lang w:eastAsia="el-GR"/>
              </w:rPr>
              <w:t> </w:t>
            </w:r>
          </w:p>
        </w:tc>
        <w:tc>
          <w:tcPr>
            <w:tcW w:w="1509" w:type="dxa"/>
            <w:tcBorders>
              <w:top w:val="nil"/>
              <w:left w:val="nil"/>
              <w:bottom w:val="single" w:sz="4" w:space="0" w:color="auto"/>
              <w:right w:val="single" w:sz="4" w:space="0" w:color="auto"/>
            </w:tcBorders>
            <w:shd w:val="clear" w:color="auto" w:fill="auto"/>
            <w:noWrap/>
            <w:vAlign w:val="bottom"/>
            <w:hideMark/>
          </w:tcPr>
          <w:p w14:paraId="59779AE7" w14:textId="77777777" w:rsidR="00A5194F" w:rsidRPr="00A5194F" w:rsidRDefault="00A5194F" w:rsidP="007671A9">
            <w:pPr>
              <w:jc w:val="center"/>
              <w:rPr>
                <w:rFonts w:asciiTheme="minorHAnsi" w:hAnsiTheme="minorHAnsi" w:cstheme="minorHAnsi"/>
                <w:b/>
                <w:bCs/>
                <w:color w:val="000000"/>
                <w:lang w:eastAsia="el-GR"/>
              </w:rPr>
            </w:pPr>
            <w:r w:rsidRPr="00A5194F">
              <w:rPr>
                <w:rFonts w:asciiTheme="minorHAnsi" w:hAnsiTheme="minorHAnsi" w:cstheme="minorHAnsi"/>
                <w:b/>
                <w:bCs/>
                <w:color w:val="000000"/>
                <w:lang w:eastAsia="el-GR"/>
              </w:rPr>
              <w:t>2.258</w:t>
            </w:r>
          </w:p>
        </w:tc>
        <w:tc>
          <w:tcPr>
            <w:tcW w:w="1844" w:type="dxa"/>
            <w:tcBorders>
              <w:top w:val="nil"/>
              <w:left w:val="nil"/>
              <w:bottom w:val="single" w:sz="4" w:space="0" w:color="auto"/>
              <w:right w:val="single" w:sz="4" w:space="0" w:color="auto"/>
            </w:tcBorders>
            <w:shd w:val="clear" w:color="auto" w:fill="auto"/>
            <w:noWrap/>
            <w:vAlign w:val="bottom"/>
            <w:hideMark/>
          </w:tcPr>
          <w:p w14:paraId="5C7E7CF0" w14:textId="77777777" w:rsidR="00A5194F" w:rsidRPr="00A5194F" w:rsidRDefault="00A5194F" w:rsidP="007671A9">
            <w:pPr>
              <w:jc w:val="center"/>
              <w:rPr>
                <w:rFonts w:asciiTheme="minorHAnsi" w:hAnsiTheme="minorHAnsi" w:cstheme="minorHAnsi"/>
                <w:b/>
                <w:bCs/>
                <w:color w:val="000000"/>
                <w:lang w:eastAsia="el-GR"/>
              </w:rPr>
            </w:pPr>
            <w:r w:rsidRPr="00A5194F">
              <w:rPr>
                <w:rFonts w:asciiTheme="minorHAnsi" w:hAnsiTheme="minorHAnsi" w:cstheme="minorHAnsi"/>
                <w:b/>
                <w:bCs/>
                <w:color w:val="000000"/>
                <w:lang w:eastAsia="el-GR"/>
              </w:rPr>
              <w:t>2.253</w:t>
            </w:r>
          </w:p>
        </w:tc>
      </w:tr>
      <w:tr w:rsidR="00A5194F" w:rsidRPr="00A5194F" w14:paraId="4C73A78C" w14:textId="77777777" w:rsidTr="00A5194F">
        <w:trPr>
          <w:trHeight w:val="288"/>
          <w:jc w:val="center"/>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14:paraId="4151B434" w14:textId="77777777" w:rsidR="00A5194F" w:rsidRPr="00A5194F" w:rsidRDefault="00A5194F" w:rsidP="007671A9">
            <w:pPr>
              <w:rPr>
                <w:rFonts w:asciiTheme="minorHAnsi" w:hAnsiTheme="minorHAnsi" w:cstheme="minorHAnsi"/>
                <w:b/>
                <w:bCs/>
                <w:color w:val="000000"/>
                <w:lang w:eastAsia="el-GR"/>
              </w:rPr>
            </w:pPr>
            <w:r w:rsidRPr="00A5194F">
              <w:rPr>
                <w:rFonts w:asciiTheme="minorHAnsi" w:hAnsiTheme="minorHAnsi" w:cstheme="minorHAnsi"/>
                <w:b/>
                <w:bCs/>
                <w:color w:val="000000"/>
                <w:lang w:eastAsia="el-GR"/>
              </w:rPr>
              <w:t>ΕΚΤΑΜΙΕΥΣΕΙΣ</w:t>
            </w:r>
          </w:p>
        </w:tc>
        <w:tc>
          <w:tcPr>
            <w:tcW w:w="1509" w:type="dxa"/>
            <w:tcBorders>
              <w:top w:val="nil"/>
              <w:left w:val="nil"/>
              <w:bottom w:val="single" w:sz="4" w:space="0" w:color="auto"/>
              <w:right w:val="single" w:sz="4" w:space="0" w:color="auto"/>
            </w:tcBorders>
            <w:shd w:val="clear" w:color="auto" w:fill="auto"/>
            <w:noWrap/>
            <w:vAlign w:val="bottom"/>
            <w:hideMark/>
          </w:tcPr>
          <w:p w14:paraId="767B105F" w14:textId="77777777" w:rsidR="00A5194F" w:rsidRPr="00A5194F" w:rsidRDefault="00A5194F" w:rsidP="007671A9">
            <w:pPr>
              <w:jc w:val="center"/>
              <w:rPr>
                <w:rFonts w:asciiTheme="minorHAnsi" w:hAnsiTheme="minorHAnsi" w:cstheme="minorHAnsi"/>
                <w:color w:val="000000"/>
                <w:lang w:eastAsia="el-GR"/>
              </w:rPr>
            </w:pPr>
            <w:r w:rsidRPr="00A5194F">
              <w:rPr>
                <w:rFonts w:asciiTheme="minorHAnsi" w:hAnsiTheme="minorHAnsi" w:cstheme="minorHAnsi"/>
                <w:color w:val="000000"/>
                <w:lang w:eastAsia="el-GR"/>
              </w:rPr>
              <w:t> </w:t>
            </w:r>
          </w:p>
        </w:tc>
        <w:tc>
          <w:tcPr>
            <w:tcW w:w="1844" w:type="dxa"/>
            <w:tcBorders>
              <w:top w:val="nil"/>
              <w:left w:val="nil"/>
              <w:bottom w:val="single" w:sz="4" w:space="0" w:color="auto"/>
              <w:right w:val="single" w:sz="4" w:space="0" w:color="auto"/>
            </w:tcBorders>
            <w:shd w:val="clear" w:color="auto" w:fill="auto"/>
            <w:noWrap/>
            <w:vAlign w:val="bottom"/>
            <w:hideMark/>
          </w:tcPr>
          <w:p w14:paraId="6A2FF269" w14:textId="77777777" w:rsidR="00A5194F" w:rsidRPr="00A5194F" w:rsidRDefault="00A5194F" w:rsidP="007671A9">
            <w:pPr>
              <w:jc w:val="center"/>
              <w:rPr>
                <w:rFonts w:asciiTheme="minorHAnsi" w:hAnsiTheme="minorHAnsi" w:cstheme="minorHAnsi"/>
                <w:color w:val="000000"/>
                <w:lang w:eastAsia="el-GR"/>
              </w:rPr>
            </w:pPr>
            <w:r w:rsidRPr="00A5194F">
              <w:rPr>
                <w:rFonts w:asciiTheme="minorHAnsi" w:hAnsiTheme="minorHAnsi" w:cstheme="minorHAnsi"/>
                <w:color w:val="000000"/>
                <w:lang w:eastAsia="el-GR"/>
              </w:rPr>
              <w:t> </w:t>
            </w:r>
          </w:p>
        </w:tc>
      </w:tr>
      <w:tr w:rsidR="00A5194F" w:rsidRPr="00A5194F" w14:paraId="4C5A6243" w14:textId="77777777" w:rsidTr="00F30015">
        <w:trPr>
          <w:trHeight w:val="459"/>
          <w:jc w:val="center"/>
        </w:trPr>
        <w:tc>
          <w:tcPr>
            <w:tcW w:w="2787" w:type="dxa"/>
            <w:tcBorders>
              <w:top w:val="nil"/>
              <w:left w:val="single" w:sz="4" w:space="0" w:color="auto"/>
              <w:bottom w:val="single" w:sz="4" w:space="0" w:color="auto"/>
              <w:right w:val="single" w:sz="4" w:space="0" w:color="auto"/>
            </w:tcBorders>
            <w:shd w:val="clear" w:color="auto" w:fill="auto"/>
            <w:vAlign w:val="bottom"/>
            <w:hideMark/>
          </w:tcPr>
          <w:p w14:paraId="0BEF73F0" w14:textId="77777777" w:rsidR="00A5194F" w:rsidRPr="00A5194F" w:rsidRDefault="00A5194F" w:rsidP="007671A9">
            <w:pPr>
              <w:jc w:val="center"/>
              <w:rPr>
                <w:rFonts w:asciiTheme="minorHAnsi" w:hAnsiTheme="minorHAnsi" w:cstheme="minorHAnsi"/>
                <w:color w:val="000000"/>
                <w:lang w:eastAsia="el-GR"/>
              </w:rPr>
            </w:pPr>
            <w:r w:rsidRPr="00A5194F">
              <w:rPr>
                <w:rFonts w:asciiTheme="minorHAnsi" w:hAnsiTheme="minorHAnsi" w:cstheme="minorHAnsi"/>
                <w:color w:val="000000"/>
                <w:lang w:eastAsia="el-GR"/>
              </w:rPr>
              <w:t>ΛΕΙΤΟΥΡΓΙΚΕΣ ΔΑΠΑΝΕΣ</w:t>
            </w:r>
          </w:p>
        </w:tc>
        <w:tc>
          <w:tcPr>
            <w:tcW w:w="1509" w:type="dxa"/>
            <w:tcBorders>
              <w:top w:val="nil"/>
              <w:left w:val="nil"/>
              <w:bottom w:val="single" w:sz="4" w:space="0" w:color="auto"/>
              <w:right w:val="single" w:sz="4" w:space="0" w:color="auto"/>
            </w:tcBorders>
            <w:shd w:val="clear" w:color="auto" w:fill="auto"/>
            <w:noWrap/>
            <w:vAlign w:val="bottom"/>
            <w:hideMark/>
          </w:tcPr>
          <w:p w14:paraId="7C3F7C00" w14:textId="77777777" w:rsidR="00A5194F" w:rsidRPr="00A5194F" w:rsidRDefault="00A5194F" w:rsidP="007671A9">
            <w:pPr>
              <w:jc w:val="center"/>
              <w:rPr>
                <w:rFonts w:asciiTheme="minorHAnsi" w:hAnsiTheme="minorHAnsi" w:cstheme="minorHAnsi"/>
                <w:color w:val="000000"/>
                <w:lang w:eastAsia="el-GR"/>
              </w:rPr>
            </w:pPr>
            <w:r w:rsidRPr="00A5194F">
              <w:rPr>
                <w:rFonts w:asciiTheme="minorHAnsi" w:hAnsiTheme="minorHAnsi" w:cstheme="minorHAnsi"/>
                <w:color w:val="000000"/>
                <w:lang w:eastAsia="el-GR"/>
              </w:rPr>
              <w:t>1.967</w:t>
            </w:r>
          </w:p>
        </w:tc>
        <w:tc>
          <w:tcPr>
            <w:tcW w:w="1844" w:type="dxa"/>
            <w:tcBorders>
              <w:top w:val="nil"/>
              <w:left w:val="nil"/>
              <w:bottom w:val="single" w:sz="4" w:space="0" w:color="auto"/>
              <w:right w:val="single" w:sz="4" w:space="0" w:color="auto"/>
            </w:tcBorders>
            <w:shd w:val="clear" w:color="auto" w:fill="auto"/>
            <w:vAlign w:val="bottom"/>
            <w:hideMark/>
          </w:tcPr>
          <w:p w14:paraId="2A850696" w14:textId="77777777" w:rsidR="00A5194F" w:rsidRPr="00A5194F" w:rsidRDefault="00A5194F" w:rsidP="007671A9">
            <w:pPr>
              <w:jc w:val="center"/>
              <w:rPr>
                <w:rFonts w:asciiTheme="minorHAnsi" w:hAnsiTheme="minorHAnsi" w:cstheme="minorHAnsi"/>
                <w:color w:val="000000"/>
                <w:lang w:eastAsia="el-GR"/>
              </w:rPr>
            </w:pPr>
            <w:r w:rsidRPr="00A5194F">
              <w:rPr>
                <w:rFonts w:asciiTheme="minorHAnsi" w:hAnsiTheme="minorHAnsi" w:cstheme="minorHAnsi"/>
                <w:color w:val="000000"/>
                <w:lang w:eastAsia="el-GR"/>
              </w:rPr>
              <w:t>972</w:t>
            </w:r>
          </w:p>
        </w:tc>
      </w:tr>
      <w:tr w:rsidR="00A5194F" w:rsidRPr="00A5194F" w14:paraId="38E0D72A" w14:textId="77777777" w:rsidTr="00A5194F">
        <w:trPr>
          <w:trHeight w:val="288"/>
          <w:jc w:val="center"/>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14:paraId="42787FE7" w14:textId="77777777" w:rsidR="00A5194F" w:rsidRPr="00A5194F" w:rsidRDefault="00A5194F" w:rsidP="007671A9">
            <w:pPr>
              <w:jc w:val="right"/>
              <w:rPr>
                <w:rFonts w:asciiTheme="minorHAnsi" w:hAnsiTheme="minorHAnsi" w:cstheme="minorHAnsi"/>
                <w:color w:val="000000"/>
                <w:lang w:eastAsia="el-GR"/>
              </w:rPr>
            </w:pPr>
            <w:r w:rsidRPr="00A5194F">
              <w:rPr>
                <w:rFonts w:asciiTheme="minorHAnsi" w:hAnsiTheme="minorHAnsi" w:cstheme="minorHAnsi"/>
                <w:color w:val="000000"/>
                <w:lang w:eastAsia="el-GR"/>
              </w:rPr>
              <w:t>ΣΑΤΑ</w:t>
            </w:r>
          </w:p>
        </w:tc>
        <w:tc>
          <w:tcPr>
            <w:tcW w:w="1509" w:type="dxa"/>
            <w:tcBorders>
              <w:top w:val="nil"/>
              <w:left w:val="nil"/>
              <w:bottom w:val="single" w:sz="4" w:space="0" w:color="auto"/>
              <w:right w:val="single" w:sz="4" w:space="0" w:color="auto"/>
            </w:tcBorders>
            <w:shd w:val="clear" w:color="auto" w:fill="auto"/>
            <w:noWrap/>
            <w:vAlign w:val="bottom"/>
            <w:hideMark/>
          </w:tcPr>
          <w:p w14:paraId="23CF9969" w14:textId="77777777" w:rsidR="00A5194F" w:rsidRPr="00A5194F" w:rsidRDefault="00A5194F" w:rsidP="007671A9">
            <w:pPr>
              <w:jc w:val="center"/>
              <w:rPr>
                <w:rFonts w:asciiTheme="minorHAnsi" w:hAnsiTheme="minorHAnsi" w:cstheme="minorHAnsi"/>
                <w:color w:val="000000"/>
                <w:lang w:eastAsia="el-GR"/>
              </w:rPr>
            </w:pPr>
            <w:r w:rsidRPr="00A5194F">
              <w:rPr>
                <w:rFonts w:asciiTheme="minorHAnsi" w:hAnsiTheme="minorHAnsi" w:cstheme="minorHAnsi"/>
                <w:color w:val="000000"/>
                <w:lang w:eastAsia="el-GR"/>
              </w:rPr>
              <w:t>194</w:t>
            </w:r>
          </w:p>
        </w:tc>
        <w:tc>
          <w:tcPr>
            <w:tcW w:w="1844" w:type="dxa"/>
            <w:tcBorders>
              <w:top w:val="nil"/>
              <w:left w:val="nil"/>
              <w:bottom w:val="single" w:sz="4" w:space="0" w:color="auto"/>
              <w:right w:val="single" w:sz="4" w:space="0" w:color="auto"/>
            </w:tcBorders>
            <w:shd w:val="clear" w:color="auto" w:fill="auto"/>
            <w:noWrap/>
            <w:vAlign w:val="bottom"/>
            <w:hideMark/>
          </w:tcPr>
          <w:p w14:paraId="6E3D1879" w14:textId="77777777" w:rsidR="00A5194F" w:rsidRPr="00A5194F" w:rsidRDefault="00A5194F" w:rsidP="007671A9">
            <w:pPr>
              <w:jc w:val="center"/>
              <w:rPr>
                <w:rFonts w:asciiTheme="minorHAnsi" w:hAnsiTheme="minorHAnsi" w:cstheme="minorHAnsi"/>
                <w:color w:val="000000"/>
                <w:lang w:eastAsia="el-GR"/>
              </w:rPr>
            </w:pPr>
            <w:r w:rsidRPr="00A5194F">
              <w:rPr>
                <w:rFonts w:asciiTheme="minorHAnsi" w:hAnsiTheme="minorHAnsi" w:cstheme="minorHAnsi"/>
                <w:color w:val="000000"/>
                <w:lang w:eastAsia="el-GR"/>
              </w:rPr>
              <w:t>55</w:t>
            </w:r>
          </w:p>
        </w:tc>
      </w:tr>
      <w:tr w:rsidR="00A5194F" w:rsidRPr="00A5194F" w14:paraId="3377929D" w14:textId="77777777" w:rsidTr="00A5194F">
        <w:trPr>
          <w:trHeight w:val="288"/>
          <w:jc w:val="center"/>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14:paraId="24AB2DD1" w14:textId="77777777" w:rsidR="00A5194F" w:rsidRPr="00A5194F" w:rsidRDefault="00A5194F" w:rsidP="007671A9">
            <w:pPr>
              <w:jc w:val="right"/>
              <w:rPr>
                <w:rFonts w:asciiTheme="minorHAnsi" w:hAnsiTheme="minorHAnsi" w:cstheme="minorHAnsi"/>
                <w:color w:val="000000"/>
                <w:lang w:eastAsia="el-GR"/>
              </w:rPr>
            </w:pPr>
            <w:r w:rsidRPr="00A5194F">
              <w:rPr>
                <w:rFonts w:asciiTheme="minorHAnsi" w:hAnsiTheme="minorHAnsi" w:cstheme="minorHAnsi"/>
                <w:color w:val="000000"/>
                <w:lang w:eastAsia="el-GR"/>
              </w:rPr>
              <w:t>ΣΥΝΟΛΟ</w:t>
            </w:r>
          </w:p>
        </w:tc>
        <w:tc>
          <w:tcPr>
            <w:tcW w:w="1509" w:type="dxa"/>
            <w:tcBorders>
              <w:top w:val="nil"/>
              <w:left w:val="nil"/>
              <w:bottom w:val="single" w:sz="4" w:space="0" w:color="auto"/>
              <w:right w:val="single" w:sz="4" w:space="0" w:color="auto"/>
            </w:tcBorders>
            <w:shd w:val="clear" w:color="auto" w:fill="auto"/>
            <w:noWrap/>
            <w:vAlign w:val="bottom"/>
            <w:hideMark/>
          </w:tcPr>
          <w:p w14:paraId="5609704F" w14:textId="77777777" w:rsidR="00A5194F" w:rsidRPr="00A5194F" w:rsidRDefault="00A5194F" w:rsidP="007671A9">
            <w:pPr>
              <w:jc w:val="center"/>
              <w:rPr>
                <w:rFonts w:asciiTheme="minorHAnsi" w:hAnsiTheme="minorHAnsi" w:cstheme="minorHAnsi"/>
                <w:b/>
                <w:bCs/>
                <w:color w:val="000000"/>
                <w:lang w:eastAsia="el-GR"/>
              </w:rPr>
            </w:pPr>
            <w:r w:rsidRPr="00A5194F">
              <w:rPr>
                <w:rFonts w:asciiTheme="minorHAnsi" w:hAnsiTheme="minorHAnsi" w:cstheme="minorHAnsi"/>
                <w:b/>
                <w:bCs/>
                <w:color w:val="000000"/>
                <w:lang w:eastAsia="el-GR"/>
              </w:rPr>
              <w:t>2.161</w:t>
            </w:r>
          </w:p>
        </w:tc>
        <w:tc>
          <w:tcPr>
            <w:tcW w:w="1844" w:type="dxa"/>
            <w:tcBorders>
              <w:top w:val="nil"/>
              <w:left w:val="nil"/>
              <w:bottom w:val="single" w:sz="4" w:space="0" w:color="auto"/>
              <w:right w:val="single" w:sz="4" w:space="0" w:color="auto"/>
            </w:tcBorders>
            <w:shd w:val="clear" w:color="auto" w:fill="auto"/>
            <w:noWrap/>
            <w:vAlign w:val="bottom"/>
            <w:hideMark/>
          </w:tcPr>
          <w:p w14:paraId="4326682E" w14:textId="77777777" w:rsidR="00A5194F" w:rsidRPr="00A5194F" w:rsidRDefault="00A5194F" w:rsidP="007671A9">
            <w:pPr>
              <w:jc w:val="center"/>
              <w:rPr>
                <w:rFonts w:asciiTheme="minorHAnsi" w:hAnsiTheme="minorHAnsi" w:cstheme="minorHAnsi"/>
                <w:b/>
                <w:bCs/>
                <w:color w:val="000000"/>
                <w:lang w:eastAsia="el-GR"/>
              </w:rPr>
            </w:pPr>
            <w:r w:rsidRPr="00A5194F">
              <w:rPr>
                <w:rFonts w:asciiTheme="minorHAnsi" w:hAnsiTheme="minorHAnsi" w:cstheme="minorHAnsi"/>
                <w:b/>
                <w:bCs/>
                <w:color w:val="000000"/>
                <w:lang w:eastAsia="el-GR"/>
              </w:rPr>
              <w:t>1.027</w:t>
            </w:r>
          </w:p>
        </w:tc>
      </w:tr>
      <w:tr w:rsidR="00A5194F" w:rsidRPr="00A5194F" w14:paraId="3753554C" w14:textId="77777777" w:rsidTr="00A5194F">
        <w:trPr>
          <w:trHeight w:val="288"/>
          <w:jc w:val="center"/>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14:paraId="0D406C14" w14:textId="77777777" w:rsidR="00A5194F" w:rsidRPr="00A5194F" w:rsidRDefault="00A5194F" w:rsidP="007671A9">
            <w:pPr>
              <w:jc w:val="right"/>
              <w:rPr>
                <w:rFonts w:asciiTheme="minorHAnsi" w:hAnsiTheme="minorHAnsi" w:cstheme="minorHAnsi"/>
                <w:color w:val="000000"/>
                <w:lang w:eastAsia="el-GR"/>
              </w:rPr>
            </w:pPr>
            <w:r w:rsidRPr="00A5194F">
              <w:rPr>
                <w:rFonts w:asciiTheme="minorHAnsi" w:hAnsiTheme="minorHAnsi" w:cstheme="minorHAnsi"/>
                <w:color w:val="000000"/>
                <w:lang w:eastAsia="el-GR"/>
              </w:rPr>
              <w:t>ΔΙΑΦΟΡΑ</w:t>
            </w:r>
          </w:p>
        </w:tc>
        <w:tc>
          <w:tcPr>
            <w:tcW w:w="1509" w:type="dxa"/>
            <w:tcBorders>
              <w:top w:val="nil"/>
              <w:left w:val="nil"/>
              <w:bottom w:val="single" w:sz="4" w:space="0" w:color="auto"/>
              <w:right w:val="single" w:sz="4" w:space="0" w:color="auto"/>
            </w:tcBorders>
            <w:shd w:val="clear" w:color="auto" w:fill="auto"/>
            <w:noWrap/>
            <w:vAlign w:val="bottom"/>
            <w:hideMark/>
          </w:tcPr>
          <w:p w14:paraId="7B7EE2F9" w14:textId="77777777" w:rsidR="00A5194F" w:rsidRPr="00A5194F" w:rsidRDefault="00A5194F" w:rsidP="007671A9">
            <w:pPr>
              <w:jc w:val="right"/>
              <w:rPr>
                <w:rFonts w:asciiTheme="minorHAnsi" w:hAnsiTheme="minorHAnsi" w:cstheme="minorHAnsi"/>
                <w:b/>
                <w:bCs/>
                <w:color w:val="FF0000"/>
                <w:lang w:eastAsia="el-GR"/>
              </w:rPr>
            </w:pPr>
            <w:r w:rsidRPr="00A5194F">
              <w:rPr>
                <w:rFonts w:asciiTheme="minorHAnsi" w:hAnsiTheme="minorHAnsi" w:cstheme="minorHAnsi"/>
                <w:b/>
                <w:bCs/>
                <w:color w:val="FF0000"/>
                <w:lang w:eastAsia="el-GR"/>
              </w:rPr>
              <w:t>-97</w:t>
            </w:r>
          </w:p>
        </w:tc>
        <w:tc>
          <w:tcPr>
            <w:tcW w:w="1844" w:type="dxa"/>
            <w:tcBorders>
              <w:top w:val="nil"/>
              <w:left w:val="nil"/>
              <w:bottom w:val="single" w:sz="4" w:space="0" w:color="auto"/>
              <w:right w:val="single" w:sz="4" w:space="0" w:color="auto"/>
            </w:tcBorders>
            <w:shd w:val="clear" w:color="auto" w:fill="auto"/>
            <w:noWrap/>
            <w:vAlign w:val="bottom"/>
            <w:hideMark/>
          </w:tcPr>
          <w:p w14:paraId="4DD67500" w14:textId="77777777" w:rsidR="00A5194F" w:rsidRPr="00A5194F" w:rsidRDefault="00A5194F" w:rsidP="007671A9">
            <w:pPr>
              <w:jc w:val="right"/>
              <w:rPr>
                <w:rFonts w:asciiTheme="minorHAnsi" w:hAnsiTheme="minorHAnsi" w:cstheme="minorHAnsi"/>
                <w:b/>
                <w:bCs/>
                <w:color w:val="FF0000"/>
                <w:lang w:eastAsia="el-GR"/>
              </w:rPr>
            </w:pPr>
            <w:r w:rsidRPr="00A5194F">
              <w:rPr>
                <w:rFonts w:asciiTheme="minorHAnsi" w:hAnsiTheme="minorHAnsi" w:cstheme="minorHAnsi"/>
                <w:b/>
                <w:bCs/>
                <w:color w:val="FF0000"/>
                <w:lang w:eastAsia="el-GR"/>
              </w:rPr>
              <w:t>-1.226</w:t>
            </w:r>
          </w:p>
        </w:tc>
      </w:tr>
    </w:tbl>
    <w:p w14:paraId="08EBCACC" w14:textId="77777777" w:rsidR="00A5194F" w:rsidRPr="00A5194F" w:rsidRDefault="00A5194F" w:rsidP="00A5194F">
      <w:pPr>
        <w:spacing w:before="120" w:after="120" w:line="312" w:lineRule="auto"/>
        <w:jc w:val="both"/>
        <w:rPr>
          <w:rFonts w:ascii="Tahoma" w:hAnsi="Tahoma" w:cs="Tahoma"/>
          <w:b/>
          <w:bCs/>
        </w:rPr>
      </w:pPr>
      <w:r w:rsidRPr="00A5194F">
        <w:rPr>
          <w:rFonts w:ascii="Tahoma" w:hAnsi="Tahoma" w:cs="Tahoma"/>
          <w:b/>
          <w:bCs/>
        </w:rPr>
        <w:lastRenderedPageBreak/>
        <w:t>Β) Εφαρμογή Ν. 3852/2010</w:t>
      </w:r>
    </w:p>
    <w:tbl>
      <w:tblPr>
        <w:tblW w:w="4957" w:type="dxa"/>
        <w:jc w:val="center"/>
        <w:tblLook w:val="04A0" w:firstRow="1" w:lastRow="0" w:firstColumn="1" w:lastColumn="0" w:noHBand="0" w:noVBand="1"/>
      </w:tblPr>
      <w:tblGrid>
        <w:gridCol w:w="2263"/>
        <w:gridCol w:w="1134"/>
        <w:gridCol w:w="1560"/>
      </w:tblGrid>
      <w:tr w:rsidR="00A5194F" w:rsidRPr="00A5194F" w14:paraId="33CF9AF9" w14:textId="77777777" w:rsidTr="007671A9">
        <w:trPr>
          <w:trHeight w:val="312"/>
          <w:jc w:val="center"/>
        </w:trPr>
        <w:tc>
          <w:tcPr>
            <w:tcW w:w="495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CFB7EB" w14:textId="77777777" w:rsidR="00A5194F" w:rsidRPr="00A5194F" w:rsidRDefault="00A5194F" w:rsidP="007671A9">
            <w:pPr>
              <w:jc w:val="center"/>
              <w:rPr>
                <w:rFonts w:asciiTheme="minorHAnsi" w:hAnsiTheme="minorHAnsi" w:cstheme="minorHAnsi"/>
                <w:color w:val="000000"/>
                <w:lang w:eastAsia="el-GR"/>
              </w:rPr>
            </w:pPr>
            <w:r w:rsidRPr="00A5194F">
              <w:rPr>
                <w:rFonts w:asciiTheme="minorHAnsi" w:hAnsiTheme="minorHAnsi" w:cstheme="minorHAnsi"/>
                <w:color w:val="000000"/>
                <w:lang w:eastAsia="el-GR"/>
              </w:rPr>
              <w:t>ΚΑΠ 2021/ 2022 Εξέλιξη</w:t>
            </w:r>
          </w:p>
        </w:tc>
      </w:tr>
      <w:tr w:rsidR="00A5194F" w:rsidRPr="00A5194F" w14:paraId="39B53C7A" w14:textId="77777777" w:rsidTr="00A5194F">
        <w:trPr>
          <w:trHeight w:val="315"/>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E790BD0" w14:textId="77777777" w:rsidR="00A5194F" w:rsidRPr="00A5194F" w:rsidRDefault="00A5194F" w:rsidP="007671A9">
            <w:pPr>
              <w:rPr>
                <w:rFonts w:asciiTheme="minorHAnsi" w:hAnsiTheme="minorHAnsi" w:cstheme="minorHAnsi"/>
                <w:color w:val="000000"/>
                <w:lang w:eastAsia="el-GR"/>
              </w:rPr>
            </w:pPr>
            <w:r w:rsidRPr="00A5194F">
              <w:rPr>
                <w:rFonts w:asciiTheme="minorHAnsi" w:hAnsiTheme="minorHAnsi" w:cstheme="minorHAnsi"/>
                <w:color w:val="000000"/>
                <w:lang w:eastAsia="el-GR"/>
              </w:rPr>
              <w:t> </w:t>
            </w:r>
            <w:r w:rsidRPr="00A5194F">
              <w:rPr>
                <w:rFonts w:asciiTheme="minorHAnsi" w:hAnsiTheme="minorHAnsi" w:cstheme="minorHAnsi"/>
                <w:b/>
                <w:bCs/>
                <w:color w:val="000000"/>
                <w:lang w:eastAsia="el-GR"/>
              </w:rPr>
              <w:t>Φόροι</w:t>
            </w:r>
          </w:p>
        </w:tc>
        <w:tc>
          <w:tcPr>
            <w:tcW w:w="1134" w:type="dxa"/>
            <w:tcBorders>
              <w:top w:val="nil"/>
              <w:left w:val="nil"/>
              <w:bottom w:val="single" w:sz="4" w:space="0" w:color="auto"/>
              <w:right w:val="single" w:sz="4" w:space="0" w:color="auto"/>
            </w:tcBorders>
            <w:shd w:val="clear" w:color="auto" w:fill="auto"/>
            <w:noWrap/>
            <w:vAlign w:val="bottom"/>
            <w:hideMark/>
          </w:tcPr>
          <w:p w14:paraId="44C6FDBC" w14:textId="77777777" w:rsidR="00A5194F" w:rsidRPr="00A5194F" w:rsidRDefault="00A5194F" w:rsidP="007671A9">
            <w:pPr>
              <w:rPr>
                <w:rFonts w:asciiTheme="minorHAnsi" w:hAnsiTheme="minorHAnsi" w:cstheme="minorHAnsi"/>
                <w:b/>
                <w:bCs/>
                <w:color w:val="000000"/>
                <w:lang w:eastAsia="el-GR"/>
              </w:rPr>
            </w:pPr>
            <w:r w:rsidRPr="00A5194F">
              <w:rPr>
                <w:rFonts w:asciiTheme="minorHAnsi" w:hAnsiTheme="minorHAnsi" w:cstheme="minorHAnsi"/>
                <w:b/>
                <w:bCs/>
                <w:color w:val="000000"/>
                <w:lang w:eastAsia="el-GR"/>
              </w:rPr>
              <w:t>Ν. 3852</w:t>
            </w:r>
          </w:p>
        </w:tc>
        <w:tc>
          <w:tcPr>
            <w:tcW w:w="1560" w:type="dxa"/>
            <w:tcBorders>
              <w:top w:val="nil"/>
              <w:left w:val="nil"/>
              <w:bottom w:val="single" w:sz="4" w:space="0" w:color="auto"/>
              <w:right w:val="single" w:sz="4" w:space="0" w:color="auto"/>
            </w:tcBorders>
            <w:shd w:val="clear" w:color="auto" w:fill="auto"/>
            <w:noWrap/>
            <w:vAlign w:val="bottom"/>
            <w:hideMark/>
          </w:tcPr>
          <w:p w14:paraId="2100E09A" w14:textId="77777777" w:rsidR="00A5194F" w:rsidRPr="00A5194F" w:rsidRDefault="00A5194F" w:rsidP="007671A9">
            <w:pPr>
              <w:rPr>
                <w:rFonts w:asciiTheme="minorHAnsi" w:hAnsiTheme="minorHAnsi" w:cstheme="minorHAnsi"/>
                <w:b/>
                <w:bCs/>
                <w:color w:val="000000"/>
                <w:lang w:eastAsia="el-GR"/>
              </w:rPr>
            </w:pPr>
            <w:r w:rsidRPr="00A5194F">
              <w:rPr>
                <w:rFonts w:asciiTheme="minorHAnsi" w:hAnsiTheme="minorHAnsi" w:cstheme="minorHAnsi"/>
                <w:b/>
                <w:bCs/>
                <w:color w:val="000000"/>
                <w:lang w:eastAsia="el-GR"/>
              </w:rPr>
              <w:t>Κ.Π. 2023</w:t>
            </w:r>
          </w:p>
        </w:tc>
      </w:tr>
      <w:tr w:rsidR="00A5194F" w:rsidRPr="00A5194F" w14:paraId="2A281860" w14:textId="77777777" w:rsidTr="007671A9">
        <w:trPr>
          <w:trHeight w:val="288"/>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8DDE790" w14:textId="77777777" w:rsidR="00A5194F" w:rsidRPr="00A5194F" w:rsidRDefault="00A5194F" w:rsidP="007671A9">
            <w:pPr>
              <w:rPr>
                <w:rFonts w:asciiTheme="minorHAnsi" w:hAnsiTheme="minorHAnsi" w:cstheme="minorHAnsi"/>
                <w:b/>
                <w:bCs/>
                <w:color w:val="000000"/>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14:paraId="740977F2" w14:textId="77777777" w:rsidR="00A5194F" w:rsidRPr="00A5194F" w:rsidRDefault="00A5194F" w:rsidP="007671A9">
            <w:pPr>
              <w:rPr>
                <w:rFonts w:asciiTheme="minorHAnsi" w:hAnsiTheme="minorHAnsi" w:cstheme="minorHAnsi"/>
                <w:color w:val="000000"/>
                <w:lang w:eastAsia="el-GR"/>
              </w:rPr>
            </w:pPr>
            <w:r w:rsidRPr="00A5194F">
              <w:rPr>
                <w:rFonts w:asciiTheme="minorHAnsi" w:hAnsiTheme="minorHAnsi" w:cstheme="minorHAnsi"/>
                <w:color w:val="000000"/>
                <w:lang w:eastAsia="el-GR"/>
              </w:rPr>
              <w:t> </w:t>
            </w:r>
          </w:p>
        </w:tc>
        <w:tc>
          <w:tcPr>
            <w:tcW w:w="1560" w:type="dxa"/>
            <w:tcBorders>
              <w:top w:val="nil"/>
              <w:left w:val="nil"/>
              <w:bottom w:val="single" w:sz="4" w:space="0" w:color="auto"/>
              <w:right w:val="single" w:sz="4" w:space="0" w:color="auto"/>
            </w:tcBorders>
            <w:shd w:val="clear" w:color="auto" w:fill="auto"/>
            <w:noWrap/>
            <w:vAlign w:val="bottom"/>
            <w:hideMark/>
          </w:tcPr>
          <w:p w14:paraId="2A4B69D7" w14:textId="77777777" w:rsidR="00A5194F" w:rsidRPr="00A5194F" w:rsidRDefault="00A5194F" w:rsidP="007671A9">
            <w:pPr>
              <w:rPr>
                <w:rFonts w:asciiTheme="minorHAnsi" w:hAnsiTheme="minorHAnsi" w:cstheme="minorHAnsi"/>
                <w:color w:val="000000"/>
                <w:lang w:eastAsia="el-GR"/>
              </w:rPr>
            </w:pPr>
            <w:r w:rsidRPr="00A5194F">
              <w:rPr>
                <w:rFonts w:asciiTheme="minorHAnsi" w:hAnsiTheme="minorHAnsi" w:cstheme="minorHAnsi"/>
                <w:color w:val="000000"/>
                <w:lang w:eastAsia="el-GR"/>
              </w:rPr>
              <w:t> </w:t>
            </w:r>
          </w:p>
        </w:tc>
      </w:tr>
      <w:tr w:rsidR="00A5194F" w:rsidRPr="00A5194F" w14:paraId="302D49B8" w14:textId="77777777" w:rsidTr="007671A9">
        <w:trPr>
          <w:trHeight w:val="288"/>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F3BE859" w14:textId="77777777" w:rsidR="00A5194F" w:rsidRPr="00A5194F" w:rsidRDefault="00A5194F" w:rsidP="007671A9">
            <w:pPr>
              <w:rPr>
                <w:rFonts w:asciiTheme="minorHAnsi" w:hAnsiTheme="minorHAnsi" w:cstheme="minorHAnsi"/>
                <w:color w:val="000000"/>
                <w:lang w:eastAsia="el-GR"/>
              </w:rPr>
            </w:pPr>
            <w:r w:rsidRPr="00A5194F">
              <w:rPr>
                <w:rFonts w:asciiTheme="minorHAnsi" w:hAnsiTheme="minorHAnsi" w:cstheme="minorHAnsi"/>
                <w:color w:val="000000"/>
                <w:lang w:eastAsia="el-GR"/>
              </w:rPr>
              <w:t>ΦΠΑ</w:t>
            </w:r>
          </w:p>
        </w:tc>
        <w:tc>
          <w:tcPr>
            <w:tcW w:w="1134" w:type="dxa"/>
            <w:tcBorders>
              <w:top w:val="nil"/>
              <w:left w:val="nil"/>
              <w:bottom w:val="single" w:sz="4" w:space="0" w:color="auto"/>
              <w:right w:val="single" w:sz="4" w:space="0" w:color="auto"/>
            </w:tcBorders>
            <w:shd w:val="clear" w:color="auto" w:fill="auto"/>
            <w:noWrap/>
            <w:vAlign w:val="bottom"/>
            <w:hideMark/>
          </w:tcPr>
          <w:p w14:paraId="184D977E" w14:textId="77777777" w:rsidR="00A5194F" w:rsidRPr="00A5194F" w:rsidRDefault="00A5194F" w:rsidP="007671A9">
            <w:pPr>
              <w:jc w:val="right"/>
              <w:rPr>
                <w:rFonts w:asciiTheme="minorHAnsi" w:hAnsiTheme="minorHAnsi" w:cstheme="minorHAnsi"/>
                <w:color w:val="000000"/>
                <w:lang w:eastAsia="el-GR"/>
              </w:rPr>
            </w:pPr>
            <w:r w:rsidRPr="00A5194F">
              <w:rPr>
                <w:rFonts w:asciiTheme="minorHAnsi" w:hAnsiTheme="minorHAnsi" w:cstheme="minorHAnsi"/>
                <w:color w:val="000000"/>
                <w:lang w:eastAsia="el-GR"/>
              </w:rPr>
              <w:t>412</w:t>
            </w:r>
          </w:p>
        </w:tc>
        <w:tc>
          <w:tcPr>
            <w:tcW w:w="1560" w:type="dxa"/>
            <w:tcBorders>
              <w:top w:val="nil"/>
              <w:left w:val="nil"/>
              <w:bottom w:val="single" w:sz="4" w:space="0" w:color="auto"/>
              <w:right w:val="single" w:sz="4" w:space="0" w:color="auto"/>
            </w:tcBorders>
            <w:shd w:val="clear" w:color="auto" w:fill="auto"/>
            <w:noWrap/>
            <w:vAlign w:val="bottom"/>
            <w:hideMark/>
          </w:tcPr>
          <w:p w14:paraId="73B98B98" w14:textId="77777777" w:rsidR="00A5194F" w:rsidRPr="00A5194F" w:rsidRDefault="00A5194F" w:rsidP="007671A9">
            <w:pPr>
              <w:jc w:val="right"/>
              <w:rPr>
                <w:rFonts w:asciiTheme="minorHAnsi" w:hAnsiTheme="minorHAnsi" w:cstheme="minorHAnsi"/>
                <w:color w:val="000000"/>
                <w:lang w:eastAsia="el-GR"/>
              </w:rPr>
            </w:pPr>
            <w:r w:rsidRPr="00A5194F">
              <w:rPr>
                <w:rFonts w:asciiTheme="minorHAnsi" w:hAnsiTheme="minorHAnsi" w:cstheme="minorHAnsi"/>
                <w:color w:val="000000"/>
                <w:lang w:eastAsia="el-GR"/>
              </w:rPr>
              <w:t>98</w:t>
            </w:r>
          </w:p>
        </w:tc>
      </w:tr>
      <w:tr w:rsidR="00A5194F" w:rsidRPr="00A5194F" w14:paraId="7711954E" w14:textId="77777777" w:rsidTr="007671A9">
        <w:trPr>
          <w:trHeight w:val="387"/>
          <w:jc w:val="center"/>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5471E94A" w14:textId="77777777" w:rsidR="00A5194F" w:rsidRPr="00A5194F" w:rsidRDefault="00A5194F" w:rsidP="007671A9">
            <w:pPr>
              <w:rPr>
                <w:rFonts w:asciiTheme="minorHAnsi" w:hAnsiTheme="minorHAnsi" w:cstheme="minorHAnsi"/>
                <w:color w:val="000000"/>
                <w:lang w:eastAsia="el-GR"/>
              </w:rPr>
            </w:pPr>
            <w:r w:rsidRPr="00A5194F">
              <w:rPr>
                <w:rFonts w:asciiTheme="minorHAnsi" w:hAnsiTheme="minorHAnsi" w:cstheme="minorHAnsi"/>
                <w:color w:val="000000"/>
                <w:lang w:eastAsia="el-GR"/>
              </w:rPr>
              <w:t>Φόρος Εισοδήματος</w:t>
            </w:r>
          </w:p>
        </w:tc>
        <w:tc>
          <w:tcPr>
            <w:tcW w:w="1134" w:type="dxa"/>
            <w:tcBorders>
              <w:top w:val="nil"/>
              <w:left w:val="nil"/>
              <w:bottom w:val="single" w:sz="4" w:space="0" w:color="auto"/>
              <w:right w:val="single" w:sz="4" w:space="0" w:color="auto"/>
            </w:tcBorders>
            <w:shd w:val="clear" w:color="auto" w:fill="auto"/>
            <w:noWrap/>
            <w:vAlign w:val="bottom"/>
            <w:hideMark/>
          </w:tcPr>
          <w:p w14:paraId="310FA6BB" w14:textId="77777777" w:rsidR="00A5194F" w:rsidRPr="00A5194F" w:rsidRDefault="00A5194F" w:rsidP="007671A9">
            <w:pPr>
              <w:jc w:val="right"/>
              <w:rPr>
                <w:rFonts w:asciiTheme="minorHAnsi" w:hAnsiTheme="minorHAnsi" w:cstheme="minorHAnsi"/>
                <w:color w:val="000000"/>
                <w:lang w:eastAsia="el-GR"/>
              </w:rPr>
            </w:pPr>
            <w:r w:rsidRPr="00A5194F">
              <w:rPr>
                <w:rFonts w:asciiTheme="minorHAnsi" w:hAnsiTheme="minorHAnsi" w:cstheme="minorHAnsi"/>
                <w:color w:val="000000"/>
                <w:lang w:eastAsia="el-GR"/>
              </w:rPr>
              <w:t>485</w:t>
            </w:r>
          </w:p>
        </w:tc>
        <w:tc>
          <w:tcPr>
            <w:tcW w:w="1560" w:type="dxa"/>
            <w:tcBorders>
              <w:top w:val="nil"/>
              <w:left w:val="nil"/>
              <w:bottom w:val="single" w:sz="4" w:space="0" w:color="auto"/>
              <w:right w:val="single" w:sz="4" w:space="0" w:color="auto"/>
            </w:tcBorders>
            <w:shd w:val="clear" w:color="auto" w:fill="auto"/>
            <w:noWrap/>
            <w:vAlign w:val="bottom"/>
            <w:hideMark/>
          </w:tcPr>
          <w:p w14:paraId="407C2E86" w14:textId="77777777" w:rsidR="00A5194F" w:rsidRPr="00A5194F" w:rsidRDefault="00A5194F" w:rsidP="007671A9">
            <w:pPr>
              <w:jc w:val="right"/>
              <w:rPr>
                <w:rFonts w:asciiTheme="minorHAnsi" w:hAnsiTheme="minorHAnsi" w:cstheme="minorHAnsi"/>
                <w:color w:val="000000"/>
                <w:lang w:eastAsia="el-GR"/>
              </w:rPr>
            </w:pPr>
            <w:r w:rsidRPr="00A5194F">
              <w:rPr>
                <w:rFonts w:asciiTheme="minorHAnsi" w:hAnsiTheme="minorHAnsi" w:cstheme="minorHAnsi"/>
                <w:color w:val="000000"/>
                <w:lang w:eastAsia="el-GR"/>
              </w:rPr>
              <w:t>23</w:t>
            </w:r>
          </w:p>
        </w:tc>
      </w:tr>
      <w:tr w:rsidR="00A5194F" w:rsidRPr="00A5194F" w14:paraId="66CBA422" w14:textId="77777777" w:rsidTr="007671A9">
        <w:trPr>
          <w:trHeight w:val="288"/>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899CE3D" w14:textId="77777777" w:rsidR="00A5194F" w:rsidRPr="00A5194F" w:rsidRDefault="00A5194F" w:rsidP="007671A9">
            <w:pPr>
              <w:rPr>
                <w:rFonts w:asciiTheme="minorHAnsi" w:hAnsiTheme="minorHAnsi" w:cstheme="minorHAnsi"/>
                <w:color w:val="000000"/>
                <w:lang w:eastAsia="el-GR"/>
              </w:rPr>
            </w:pPr>
            <w:r w:rsidRPr="00A5194F">
              <w:rPr>
                <w:rFonts w:asciiTheme="minorHAnsi" w:hAnsiTheme="minorHAnsi" w:cstheme="minorHAnsi"/>
                <w:color w:val="000000"/>
                <w:lang w:eastAsia="el-GR"/>
              </w:rPr>
              <w:t>ΕΝΦΙΑ</w:t>
            </w:r>
          </w:p>
        </w:tc>
        <w:tc>
          <w:tcPr>
            <w:tcW w:w="1134" w:type="dxa"/>
            <w:tcBorders>
              <w:top w:val="nil"/>
              <w:left w:val="nil"/>
              <w:bottom w:val="single" w:sz="4" w:space="0" w:color="auto"/>
              <w:right w:val="single" w:sz="4" w:space="0" w:color="auto"/>
            </w:tcBorders>
            <w:shd w:val="clear" w:color="auto" w:fill="auto"/>
            <w:noWrap/>
            <w:vAlign w:val="bottom"/>
            <w:hideMark/>
          </w:tcPr>
          <w:p w14:paraId="3F89F292" w14:textId="77777777" w:rsidR="00A5194F" w:rsidRPr="00A5194F" w:rsidRDefault="00A5194F" w:rsidP="007671A9">
            <w:pPr>
              <w:jc w:val="right"/>
              <w:rPr>
                <w:rFonts w:asciiTheme="minorHAnsi" w:hAnsiTheme="minorHAnsi" w:cstheme="minorHAnsi"/>
                <w:color w:val="000000"/>
                <w:lang w:eastAsia="el-GR"/>
              </w:rPr>
            </w:pPr>
            <w:r w:rsidRPr="00A5194F">
              <w:rPr>
                <w:rFonts w:asciiTheme="minorHAnsi" w:hAnsiTheme="minorHAnsi" w:cstheme="minorHAnsi"/>
                <w:color w:val="000000"/>
                <w:lang w:eastAsia="el-GR"/>
              </w:rPr>
              <w:t>0</w:t>
            </w:r>
          </w:p>
        </w:tc>
        <w:tc>
          <w:tcPr>
            <w:tcW w:w="1560" w:type="dxa"/>
            <w:tcBorders>
              <w:top w:val="nil"/>
              <w:left w:val="nil"/>
              <w:bottom w:val="single" w:sz="4" w:space="0" w:color="auto"/>
              <w:right w:val="single" w:sz="4" w:space="0" w:color="auto"/>
            </w:tcBorders>
            <w:shd w:val="clear" w:color="auto" w:fill="auto"/>
            <w:noWrap/>
            <w:vAlign w:val="bottom"/>
            <w:hideMark/>
          </w:tcPr>
          <w:p w14:paraId="2A2BA0FC" w14:textId="77777777" w:rsidR="00A5194F" w:rsidRPr="00A5194F" w:rsidRDefault="00A5194F" w:rsidP="007671A9">
            <w:pPr>
              <w:jc w:val="right"/>
              <w:rPr>
                <w:rFonts w:asciiTheme="minorHAnsi" w:hAnsiTheme="minorHAnsi" w:cstheme="minorHAnsi"/>
                <w:color w:val="000000"/>
                <w:lang w:eastAsia="el-GR"/>
              </w:rPr>
            </w:pPr>
            <w:r w:rsidRPr="00A5194F">
              <w:rPr>
                <w:rFonts w:asciiTheme="minorHAnsi" w:hAnsiTheme="minorHAnsi" w:cstheme="minorHAnsi"/>
                <w:color w:val="000000"/>
                <w:lang w:eastAsia="el-GR"/>
              </w:rPr>
              <w:t>-2</w:t>
            </w:r>
          </w:p>
        </w:tc>
      </w:tr>
      <w:tr w:rsidR="00A5194F" w:rsidRPr="00A5194F" w14:paraId="72013E2B" w14:textId="77777777" w:rsidTr="007671A9">
        <w:trPr>
          <w:trHeight w:val="288"/>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D649C39" w14:textId="77777777" w:rsidR="00A5194F" w:rsidRPr="00A5194F" w:rsidRDefault="00A5194F" w:rsidP="007671A9">
            <w:pPr>
              <w:rPr>
                <w:rFonts w:asciiTheme="minorHAnsi" w:hAnsiTheme="minorHAnsi" w:cstheme="minorHAnsi"/>
                <w:color w:val="000000"/>
                <w:lang w:eastAsia="el-GR"/>
              </w:rPr>
            </w:pPr>
            <w:r w:rsidRPr="00A5194F">
              <w:rPr>
                <w:rFonts w:asciiTheme="minorHAnsi" w:hAnsiTheme="minorHAnsi" w:cstheme="minorHAnsi"/>
                <w:color w:val="000000"/>
                <w:lang w:eastAsia="el-GR"/>
              </w:rPr>
              <w:t>ΣΥΝΟΛΟ</w:t>
            </w:r>
          </w:p>
        </w:tc>
        <w:tc>
          <w:tcPr>
            <w:tcW w:w="1134" w:type="dxa"/>
            <w:tcBorders>
              <w:top w:val="nil"/>
              <w:left w:val="nil"/>
              <w:bottom w:val="single" w:sz="4" w:space="0" w:color="auto"/>
              <w:right w:val="single" w:sz="4" w:space="0" w:color="auto"/>
            </w:tcBorders>
            <w:shd w:val="clear" w:color="auto" w:fill="auto"/>
            <w:noWrap/>
            <w:vAlign w:val="bottom"/>
            <w:hideMark/>
          </w:tcPr>
          <w:p w14:paraId="07C9F174" w14:textId="77777777" w:rsidR="00A5194F" w:rsidRPr="00A5194F" w:rsidRDefault="00A5194F" w:rsidP="007671A9">
            <w:pPr>
              <w:jc w:val="right"/>
              <w:rPr>
                <w:rFonts w:asciiTheme="minorHAnsi" w:hAnsiTheme="minorHAnsi" w:cstheme="minorHAnsi"/>
                <w:color w:val="000000"/>
                <w:lang w:eastAsia="el-GR"/>
              </w:rPr>
            </w:pPr>
            <w:r w:rsidRPr="00A5194F">
              <w:rPr>
                <w:rFonts w:asciiTheme="minorHAnsi" w:hAnsiTheme="minorHAnsi" w:cstheme="minorHAnsi"/>
                <w:color w:val="000000"/>
                <w:lang w:eastAsia="el-GR"/>
              </w:rPr>
              <w:t>897</w:t>
            </w:r>
          </w:p>
        </w:tc>
        <w:tc>
          <w:tcPr>
            <w:tcW w:w="1560" w:type="dxa"/>
            <w:tcBorders>
              <w:top w:val="nil"/>
              <w:left w:val="nil"/>
              <w:bottom w:val="single" w:sz="4" w:space="0" w:color="auto"/>
              <w:right w:val="single" w:sz="4" w:space="0" w:color="auto"/>
            </w:tcBorders>
            <w:shd w:val="clear" w:color="auto" w:fill="auto"/>
            <w:noWrap/>
            <w:vAlign w:val="bottom"/>
            <w:hideMark/>
          </w:tcPr>
          <w:p w14:paraId="6940B233" w14:textId="77777777" w:rsidR="00A5194F" w:rsidRPr="00A5194F" w:rsidRDefault="00A5194F" w:rsidP="007671A9">
            <w:pPr>
              <w:jc w:val="right"/>
              <w:rPr>
                <w:rFonts w:asciiTheme="minorHAnsi" w:hAnsiTheme="minorHAnsi" w:cstheme="minorHAnsi"/>
                <w:color w:val="000000"/>
                <w:lang w:eastAsia="el-GR"/>
              </w:rPr>
            </w:pPr>
            <w:r w:rsidRPr="00A5194F">
              <w:rPr>
                <w:rFonts w:asciiTheme="minorHAnsi" w:hAnsiTheme="minorHAnsi" w:cstheme="minorHAnsi"/>
                <w:color w:val="000000"/>
                <w:lang w:eastAsia="el-GR"/>
              </w:rPr>
              <w:t>119</w:t>
            </w:r>
          </w:p>
        </w:tc>
      </w:tr>
      <w:tr w:rsidR="00A5194F" w:rsidRPr="00A5194F" w14:paraId="2C5F4FB6" w14:textId="77777777" w:rsidTr="007671A9">
        <w:trPr>
          <w:trHeight w:val="288"/>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4BAEA30" w14:textId="77777777" w:rsidR="00A5194F" w:rsidRPr="00A5194F" w:rsidRDefault="00A5194F" w:rsidP="007671A9">
            <w:pPr>
              <w:rPr>
                <w:rFonts w:asciiTheme="minorHAnsi" w:hAnsiTheme="minorHAnsi" w:cstheme="minorHAnsi"/>
                <w:color w:val="FF0000"/>
                <w:lang w:eastAsia="el-GR"/>
              </w:rPr>
            </w:pPr>
            <w:r w:rsidRPr="00A5194F">
              <w:rPr>
                <w:rFonts w:asciiTheme="minorHAnsi" w:hAnsiTheme="minorHAnsi" w:cstheme="minorHAnsi"/>
                <w:lang w:eastAsia="el-GR"/>
              </w:rPr>
              <w:t>ΔΙΑΦΟΡΑ</w:t>
            </w:r>
            <w:r w:rsidRPr="00A5194F">
              <w:rPr>
                <w:rFonts w:asciiTheme="minorHAnsi" w:hAnsiTheme="minorHAnsi" w:cstheme="minorHAnsi"/>
                <w:color w:val="FF0000"/>
                <w:lang w:eastAsia="el-GR"/>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01B702F1" w14:textId="77777777" w:rsidR="00A5194F" w:rsidRPr="00A5194F" w:rsidRDefault="00A5194F" w:rsidP="007671A9">
            <w:pPr>
              <w:rPr>
                <w:rFonts w:asciiTheme="minorHAnsi" w:hAnsiTheme="minorHAnsi" w:cstheme="minorHAnsi"/>
                <w:b/>
                <w:bCs/>
                <w:color w:val="FF0000"/>
                <w:lang w:eastAsia="el-GR"/>
              </w:rPr>
            </w:pPr>
            <w:r w:rsidRPr="00A5194F">
              <w:rPr>
                <w:rFonts w:asciiTheme="minorHAnsi" w:hAnsiTheme="minorHAnsi" w:cstheme="minorHAnsi"/>
                <w:b/>
                <w:bCs/>
                <w:color w:val="FF0000"/>
                <w:lang w:eastAsia="el-GR"/>
              </w:rPr>
              <w:t> </w:t>
            </w:r>
          </w:p>
        </w:tc>
        <w:tc>
          <w:tcPr>
            <w:tcW w:w="1560" w:type="dxa"/>
            <w:tcBorders>
              <w:top w:val="nil"/>
              <w:left w:val="nil"/>
              <w:bottom w:val="single" w:sz="4" w:space="0" w:color="auto"/>
              <w:right w:val="single" w:sz="4" w:space="0" w:color="auto"/>
            </w:tcBorders>
            <w:shd w:val="clear" w:color="auto" w:fill="auto"/>
            <w:noWrap/>
            <w:vAlign w:val="bottom"/>
            <w:hideMark/>
          </w:tcPr>
          <w:p w14:paraId="64F8804F" w14:textId="77777777" w:rsidR="00A5194F" w:rsidRPr="00A5194F" w:rsidRDefault="00A5194F" w:rsidP="007671A9">
            <w:pPr>
              <w:jc w:val="right"/>
              <w:rPr>
                <w:rFonts w:asciiTheme="minorHAnsi" w:hAnsiTheme="minorHAnsi" w:cstheme="minorHAnsi"/>
                <w:b/>
                <w:bCs/>
                <w:color w:val="FF0000"/>
                <w:lang w:eastAsia="el-GR"/>
              </w:rPr>
            </w:pPr>
            <w:r w:rsidRPr="00A5194F">
              <w:rPr>
                <w:rFonts w:asciiTheme="minorHAnsi" w:hAnsiTheme="minorHAnsi" w:cstheme="minorHAnsi"/>
                <w:b/>
                <w:bCs/>
                <w:color w:val="FF0000"/>
                <w:lang w:eastAsia="el-GR"/>
              </w:rPr>
              <w:t>-778</w:t>
            </w:r>
          </w:p>
        </w:tc>
      </w:tr>
    </w:tbl>
    <w:p w14:paraId="5F81D102" w14:textId="77777777" w:rsidR="00A5194F" w:rsidRPr="00A5194F" w:rsidRDefault="00A5194F" w:rsidP="00A5194F">
      <w:pPr>
        <w:spacing w:before="120" w:after="120" w:line="312" w:lineRule="auto"/>
        <w:jc w:val="both"/>
        <w:rPr>
          <w:rFonts w:ascii="Tahoma" w:hAnsi="Tahoma" w:cs="Tahoma"/>
        </w:rPr>
      </w:pPr>
      <w:r w:rsidRPr="00A5194F">
        <w:rPr>
          <w:rFonts w:ascii="Tahoma" w:hAnsi="Tahoma" w:cs="Tahoma"/>
        </w:rPr>
        <w:t xml:space="preserve">Θα πρέπει άμεσα να καταργηθεί  το άρθρο 44 του ν.5000/2022, που θεσπίζει ανώτατο πλαφόν 3,528 δις € στους Κεντρικούς Αυτοτελείς Πόρους (ΚΑΠ), ανεξάρτητα από τον Ν. 3852/2010 και την εξέλιξη των φορολογικών εσόδων (Φόρος Εισοδήματος, ΦΠΑ, ΕΝΦΙΑ), που χρηματοδοτούν το καλάθι των ΚΑΠ. </w:t>
      </w:r>
    </w:p>
    <w:p w14:paraId="123C160B" w14:textId="77777777" w:rsidR="00A5194F" w:rsidRPr="00A5194F" w:rsidRDefault="00A5194F" w:rsidP="00A5194F">
      <w:pPr>
        <w:spacing w:before="120" w:after="120" w:line="312" w:lineRule="auto"/>
        <w:jc w:val="both"/>
        <w:rPr>
          <w:rFonts w:ascii="Tahoma" w:hAnsi="Tahoma" w:cs="Tahoma"/>
          <w:b/>
          <w:bCs/>
        </w:rPr>
      </w:pPr>
    </w:p>
    <w:p w14:paraId="26264F15" w14:textId="77777777" w:rsidR="00A5194F" w:rsidRPr="00A5194F" w:rsidRDefault="00A5194F" w:rsidP="00A5194F">
      <w:pPr>
        <w:pStyle w:val="Web"/>
        <w:numPr>
          <w:ilvl w:val="0"/>
          <w:numId w:val="33"/>
        </w:numPr>
        <w:spacing w:before="120" w:beforeAutospacing="0" w:after="120" w:afterAutospacing="0" w:line="312" w:lineRule="auto"/>
        <w:jc w:val="both"/>
        <w:rPr>
          <w:rFonts w:ascii="Tahoma" w:hAnsi="Tahoma" w:cs="Tahoma"/>
          <w:b/>
          <w:bCs/>
        </w:rPr>
      </w:pPr>
      <w:r w:rsidRPr="00A5194F">
        <w:rPr>
          <w:rFonts w:ascii="Tahoma" w:hAnsi="Tahoma" w:cs="Tahoma"/>
          <w:b/>
          <w:bCs/>
        </w:rPr>
        <w:t>Νέος τρόπος κατανομής των ΚΑΠ. Υλοποίηση των δεσμεύσεων της κυβέρνησης</w:t>
      </w:r>
    </w:p>
    <w:p w14:paraId="26B49D1E" w14:textId="77777777" w:rsidR="00A5194F" w:rsidRPr="00A5194F" w:rsidRDefault="00A5194F" w:rsidP="00A5194F">
      <w:pPr>
        <w:pStyle w:val="Web"/>
        <w:spacing w:before="120" w:beforeAutospacing="0" w:after="120" w:afterAutospacing="0" w:line="312" w:lineRule="auto"/>
        <w:jc w:val="both"/>
        <w:rPr>
          <w:rFonts w:ascii="Tahoma" w:hAnsi="Tahoma" w:cs="Tahoma"/>
          <w:color w:val="000000"/>
        </w:rPr>
      </w:pPr>
      <w:r w:rsidRPr="00A5194F">
        <w:rPr>
          <w:rFonts w:ascii="Tahoma" w:hAnsi="Tahoma" w:cs="Tahoma"/>
        </w:rPr>
        <w:t xml:space="preserve">Στα δύο τελευταία τακτικά συνέδρια της ΚΕΔΕ συζητήθηκε διεξοδικά η αλλαγή του τρόπου κατανομής των ΚΑΠ. Το σύνολο του σώματος συμφώνησε ότι η  τρέχουσα κατανομή έχει κλείσει τον κύκλο της. Τα κύρια χαρακτηριστικά της νέας πρότασης κατανομής, που </w:t>
      </w:r>
      <w:r w:rsidRPr="00A5194F">
        <w:rPr>
          <w:rFonts w:ascii="Tahoma" w:hAnsi="Tahoma" w:cs="Tahoma"/>
          <w:u w:val="single"/>
        </w:rPr>
        <w:t>ψηφίστηκε από ευρεία πλειοψηφία</w:t>
      </w:r>
      <w:r w:rsidRPr="00A5194F">
        <w:rPr>
          <w:rFonts w:ascii="Tahoma" w:hAnsi="Tahoma" w:cs="Tahoma"/>
        </w:rPr>
        <w:t xml:space="preserve">, </w:t>
      </w:r>
      <w:r w:rsidRPr="00A5194F">
        <w:rPr>
          <w:rFonts w:ascii="Tahoma" w:hAnsi="Tahoma" w:cs="Tahoma"/>
          <w:color w:val="000000"/>
        </w:rPr>
        <w:t>είναι:</w:t>
      </w:r>
    </w:p>
    <w:p w14:paraId="79FC3C1F" w14:textId="77777777" w:rsidR="00A5194F" w:rsidRPr="00A5194F" w:rsidRDefault="00A5194F" w:rsidP="00A5194F">
      <w:pPr>
        <w:pStyle w:val="Web"/>
        <w:numPr>
          <w:ilvl w:val="0"/>
          <w:numId w:val="32"/>
        </w:numPr>
        <w:spacing w:before="120" w:beforeAutospacing="0" w:after="120" w:afterAutospacing="0" w:line="312" w:lineRule="auto"/>
        <w:jc w:val="both"/>
        <w:rPr>
          <w:rFonts w:ascii="Tahoma" w:hAnsi="Tahoma" w:cs="Tahoma"/>
          <w:color w:val="000000"/>
        </w:rPr>
      </w:pPr>
      <w:r w:rsidRPr="00A5194F">
        <w:rPr>
          <w:rFonts w:ascii="Tahoma" w:hAnsi="Tahoma" w:cs="Tahoma"/>
          <w:b/>
          <w:bCs/>
          <w:color w:val="000000"/>
        </w:rPr>
        <w:t>Ευέλικτη</w:t>
      </w:r>
    </w:p>
    <w:p w14:paraId="5C9B6241" w14:textId="77777777" w:rsidR="00A5194F" w:rsidRPr="00A5194F" w:rsidRDefault="00A5194F" w:rsidP="00A5194F">
      <w:pPr>
        <w:pStyle w:val="Web"/>
        <w:numPr>
          <w:ilvl w:val="0"/>
          <w:numId w:val="32"/>
        </w:numPr>
        <w:spacing w:before="120" w:beforeAutospacing="0" w:after="120" w:afterAutospacing="0" w:line="312" w:lineRule="auto"/>
        <w:jc w:val="both"/>
        <w:rPr>
          <w:rFonts w:ascii="Tahoma" w:hAnsi="Tahoma" w:cs="Tahoma"/>
          <w:color w:val="000000"/>
        </w:rPr>
      </w:pPr>
      <w:r w:rsidRPr="00A5194F">
        <w:rPr>
          <w:rFonts w:ascii="Tahoma" w:hAnsi="Tahoma" w:cs="Tahoma"/>
          <w:b/>
          <w:bCs/>
          <w:color w:val="000000"/>
        </w:rPr>
        <w:t>Αντικειμενική</w:t>
      </w:r>
      <w:r w:rsidRPr="00A5194F">
        <w:rPr>
          <w:rFonts w:ascii="Tahoma" w:hAnsi="Tahoma" w:cs="Tahoma"/>
          <w:color w:val="000000"/>
        </w:rPr>
        <w:t xml:space="preserve">  </w:t>
      </w:r>
    </w:p>
    <w:p w14:paraId="50152E28" w14:textId="77777777" w:rsidR="00A5194F" w:rsidRPr="00A5194F" w:rsidRDefault="00A5194F" w:rsidP="00A5194F">
      <w:pPr>
        <w:pStyle w:val="Web"/>
        <w:numPr>
          <w:ilvl w:val="0"/>
          <w:numId w:val="32"/>
        </w:numPr>
        <w:spacing w:before="120" w:beforeAutospacing="0" w:after="120" w:afterAutospacing="0" w:line="312" w:lineRule="auto"/>
        <w:jc w:val="both"/>
        <w:rPr>
          <w:rFonts w:ascii="Tahoma" w:hAnsi="Tahoma" w:cs="Tahoma"/>
          <w:color w:val="000000"/>
        </w:rPr>
      </w:pPr>
      <w:r w:rsidRPr="00A5194F">
        <w:rPr>
          <w:rFonts w:ascii="Tahoma" w:hAnsi="Tahoma" w:cs="Tahoma"/>
          <w:b/>
          <w:bCs/>
          <w:color w:val="000000"/>
        </w:rPr>
        <w:t>Διαυγής</w:t>
      </w:r>
    </w:p>
    <w:p w14:paraId="57988680" w14:textId="77777777" w:rsidR="00A5194F" w:rsidRPr="00A5194F" w:rsidRDefault="00A5194F" w:rsidP="00A5194F">
      <w:pPr>
        <w:pStyle w:val="Web"/>
        <w:numPr>
          <w:ilvl w:val="0"/>
          <w:numId w:val="32"/>
        </w:numPr>
        <w:spacing w:before="120" w:beforeAutospacing="0" w:after="120" w:afterAutospacing="0" w:line="312" w:lineRule="auto"/>
        <w:jc w:val="both"/>
        <w:rPr>
          <w:rFonts w:ascii="Tahoma" w:hAnsi="Tahoma" w:cs="Tahoma"/>
          <w:color w:val="000000"/>
        </w:rPr>
      </w:pPr>
      <w:r w:rsidRPr="00A5194F">
        <w:rPr>
          <w:rFonts w:ascii="Tahoma" w:hAnsi="Tahoma" w:cs="Tahoma"/>
          <w:color w:val="000000"/>
        </w:rPr>
        <w:t>Πιο</w:t>
      </w:r>
      <w:r w:rsidRPr="00A5194F">
        <w:rPr>
          <w:rFonts w:ascii="Tahoma" w:hAnsi="Tahoma" w:cs="Tahoma"/>
          <w:b/>
          <w:bCs/>
          <w:color w:val="000000"/>
        </w:rPr>
        <w:t xml:space="preserve"> Δίκαιη</w:t>
      </w:r>
      <w:r w:rsidRPr="00A5194F">
        <w:rPr>
          <w:rFonts w:ascii="Tahoma" w:hAnsi="Tahoma" w:cs="Tahoma"/>
          <w:color w:val="000000"/>
        </w:rPr>
        <w:t xml:space="preserve"> </w:t>
      </w:r>
    </w:p>
    <w:p w14:paraId="116CD1C4" w14:textId="77777777" w:rsidR="00A5194F" w:rsidRPr="00A5194F" w:rsidRDefault="00A5194F" w:rsidP="00A5194F">
      <w:pPr>
        <w:pStyle w:val="Web"/>
        <w:numPr>
          <w:ilvl w:val="0"/>
          <w:numId w:val="32"/>
        </w:numPr>
        <w:spacing w:before="120" w:beforeAutospacing="0" w:after="120" w:afterAutospacing="0" w:line="312" w:lineRule="auto"/>
        <w:jc w:val="both"/>
        <w:rPr>
          <w:rFonts w:ascii="Tahoma" w:hAnsi="Tahoma" w:cs="Tahoma"/>
        </w:rPr>
      </w:pPr>
      <w:r w:rsidRPr="00A5194F">
        <w:rPr>
          <w:rFonts w:ascii="Tahoma" w:hAnsi="Tahoma" w:cs="Tahoma"/>
          <w:color w:val="000000"/>
        </w:rPr>
        <w:t>Περισσότερο</w:t>
      </w:r>
      <w:r w:rsidRPr="00A5194F">
        <w:rPr>
          <w:rFonts w:ascii="Tahoma" w:hAnsi="Tahoma" w:cs="Tahoma"/>
          <w:b/>
          <w:bCs/>
          <w:color w:val="000000"/>
        </w:rPr>
        <w:t xml:space="preserve"> Συμπεριληπτική</w:t>
      </w:r>
    </w:p>
    <w:p w14:paraId="16B809F2" w14:textId="77777777" w:rsidR="00A5194F" w:rsidRPr="00A5194F" w:rsidRDefault="00A5194F" w:rsidP="00A5194F">
      <w:pPr>
        <w:pStyle w:val="Web"/>
        <w:numPr>
          <w:ilvl w:val="0"/>
          <w:numId w:val="32"/>
        </w:numPr>
        <w:spacing w:before="120" w:beforeAutospacing="0" w:after="120" w:afterAutospacing="0" w:line="312" w:lineRule="auto"/>
        <w:jc w:val="both"/>
        <w:rPr>
          <w:rFonts w:ascii="Tahoma" w:hAnsi="Tahoma" w:cs="Tahoma"/>
          <w:color w:val="000000"/>
        </w:rPr>
      </w:pPr>
      <w:r w:rsidRPr="00A5194F">
        <w:rPr>
          <w:rFonts w:ascii="Tahoma" w:hAnsi="Tahoma" w:cs="Tahoma"/>
          <w:b/>
          <w:bCs/>
          <w:color w:val="000000"/>
        </w:rPr>
        <w:t>Κανένας Δήμος να μη λάβει Τακτική Επιχορήγηση μικρότερη</w:t>
      </w:r>
      <w:r w:rsidRPr="00A5194F">
        <w:rPr>
          <w:rFonts w:ascii="Tahoma" w:hAnsi="Tahoma" w:cs="Tahoma"/>
          <w:color w:val="000000"/>
        </w:rPr>
        <w:t xml:space="preserve"> από αυτή που ελάμβανε </w:t>
      </w:r>
    </w:p>
    <w:p w14:paraId="2D62562B" w14:textId="77777777" w:rsidR="00A5194F" w:rsidRPr="00A5194F" w:rsidRDefault="00A5194F" w:rsidP="00A5194F">
      <w:pPr>
        <w:pStyle w:val="Web"/>
        <w:numPr>
          <w:ilvl w:val="0"/>
          <w:numId w:val="32"/>
        </w:numPr>
        <w:spacing w:before="120" w:beforeAutospacing="0" w:after="120" w:afterAutospacing="0" w:line="312" w:lineRule="auto"/>
        <w:jc w:val="both"/>
        <w:rPr>
          <w:rFonts w:ascii="Tahoma" w:hAnsi="Tahoma" w:cs="Tahoma"/>
        </w:rPr>
      </w:pPr>
      <w:r w:rsidRPr="00A5194F">
        <w:rPr>
          <w:rFonts w:ascii="Tahoma" w:hAnsi="Tahoma" w:cs="Tahoma"/>
          <w:color w:val="000000"/>
        </w:rPr>
        <w:t xml:space="preserve">Σε όλους τους Δήμους της χώρας η Τακτική Επιχορήγηση να χρηματοδοτεί τουλάχιστον ένα </w:t>
      </w:r>
      <w:r w:rsidRPr="00A5194F">
        <w:rPr>
          <w:rFonts w:ascii="Tahoma" w:hAnsi="Tahoma" w:cs="Tahoma"/>
          <w:b/>
          <w:bCs/>
          <w:color w:val="000000"/>
        </w:rPr>
        <w:t>ελάχιστο πρότυπο κόστος λειτουργίας</w:t>
      </w:r>
      <w:r w:rsidRPr="00A5194F">
        <w:rPr>
          <w:rFonts w:ascii="Tahoma" w:hAnsi="Tahoma" w:cs="Tahoma"/>
          <w:color w:val="000000"/>
        </w:rPr>
        <w:t xml:space="preserve"> τους</w:t>
      </w:r>
    </w:p>
    <w:p w14:paraId="30906D83" w14:textId="77777777" w:rsidR="00A5194F" w:rsidRPr="00A5194F" w:rsidRDefault="00A5194F" w:rsidP="00A5194F">
      <w:pPr>
        <w:spacing w:before="120" w:after="120" w:line="312" w:lineRule="auto"/>
        <w:jc w:val="both"/>
        <w:rPr>
          <w:rFonts w:ascii="Tahoma" w:hAnsi="Tahoma" w:cs="Tahoma"/>
        </w:rPr>
      </w:pPr>
      <w:r w:rsidRPr="00A5194F">
        <w:rPr>
          <w:rFonts w:ascii="Tahoma" w:hAnsi="Tahoma" w:cs="Tahoma"/>
        </w:rPr>
        <w:t xml:space="preserve"> Η πολιτική ηγεσία του Υπουργείου Εσωτερικών αναγνωρίζοντας τη σημαντικότητα της πρότασης και την αναγκαιότητα της άμεσης και αποτελεσματικής εφαρμογής της δεσμεύτηκε να την υποστηρίξει αυξάνοντας κατά 15% τους ΚΑΠ από το 2023. </w:t>
      </w:r>
    </w:p>
    <w:p w14:paraId="2FC615C7" w14:textId="77777777" w:rsidR="00A5194F" w:rsidRPr="00A5194F" w:rsidRDefault="00A5194F" w:rsidP="00A5194F">
      <w:pPr>
        <w:spacing w:before="120" w:after="120" w:line="312" w:lineRule="auto"/>
        <w:jc w:val="both"/>
        <w:rPr>
          <w:rFonts w:ascii="Tahoma" w:hAnsi="Tahoma" w:cs="Tahoma"/>
          <w:b/>
          <w:bCs/>
        </w:rPr>
      </w:pPr>
      <w:r w:rsidRPr="00A5194F">
        <w:rPr>
          <w:rFonts w:ascii="Tahoma" w:hAnsi="Tahoma" w:cs="Tahoma"/>
        </w:rPr>
        <w:t xml:space="preserve">Επιδιώκουμε την εφαρμογή του νέου τρόπου κατανομής των ΚΑΠ από την 1/1/2024. Με βάση την αρχή της συνέχειας της δημόσιας διοίκησης, </w:t>
      </w:r>
      <w:r w:rsidRPr="00A5194F">
        <w:rPr>
          <w:rFonts w:ascii="Tahoma" w:hAnsi="Tahoma" w:cs="Tahoma"/>
          <w:b/>
          <w:bCs/>
        </w:rPr>
        <w:t xml:space="preserve">αναμένουμε την υλοποίηση των δεσμεύσεων της κυβέρνησης. </w:t>
      </w:r>
    </w:p>
    <w:p w14:paraId="5D3E4F4E" w14:textId="77777777" w:rsidR="00A5194F" w:rsidRPr="00A5194F" w:rsidRDefault="00A5194F" w:rsidP="00A5194F">
      <w:pPr>
        <w:pStyle w:val="a3"/>
        <w:numPr>
          <w:ilvl w:val="0"/>
          <w:numId w:val="33"/>
        </w:numPr>
        <w:spacing w:before="120" w:after="120" w:line="312" w:lineRule="auto"/>
        <w:jc w:val="both"/>
        <w:rPr>
          <w:rFonts w:ascii="Tahoma" w:hAnsi="Tahoma" w:cs="Tahoma"/>
          <w:b/>
          <w:bCs/>
        </w:rPr>
      </w:pPr>
      <w:r w:rsidRPr="00A5194F">
        <w:rPr>
          <w:rFonts w:ascii="Tahoma" w:hAnsi="Tahoma" w:cs="Tahoma"/>
          <w:b/>
          <w:bCs/>
        </w:rPr>
        <w:lastRenderedPageBreak/>
        <w:t>Να μην υπάρχει Έλληνας πολίτης, που να λαμβάνει μικρότερης ποσότητας ή ποιότητας δημοτικές υπηρεσίας επειδή κατοικεί σε μικρό ΟΤΑ</w:t>
      </w:r>
    </w:p>
    <w:p w14:paraId="3A753F46" w14:textId="77777777" w:rsidR="00A5194F" w:rsidRPr="00A5194F" w:rsidRDefault="00A5194F" w:rsidP="00A5194F">
      <w:pPr>
        <w:spacing w:before="120" w:after="120" w:line="312" w:lineRule="auto"/>
        <w:jc w:val="both"/>
        <w:rPr>
          <w:rFonts w:ascii="Tahoma" w:hAnsi="Tahoma" w:cs="Tahoma"/>
        </w:rPr>
      </w:pPr>
      <w:r w:rsidRPr="00A5194F">
        <w:rPr>
          <w:rFonts w:ascii="Tahoma" w:hAnsi="Tahoma" w:cs="Tahoma"/>
        </w:rPr>
        <w:t xml:space="preserve">Οι μικροί πληθυσμιακά Δήμοι, κυρίως νησιώτικοι και ορεινοί, αντιμετωπίζουν πολύ σημαντικό πρόβλημα στην υλοποίηση των αρμοδιοτήτων τους, λόγω του μεγέθους τους αλλά και της έλλειψης τεχνικού και επιστημονικού προσωπικού. </w:t>
      </w:r>
    </w:p>
    <w:p w14:paraId="3F093566" w14:textId="77777777" w:rsidR="00A5194F" w:rsidRPr="00A5194F" w:rsidRDefault="00A5194F" w:rsidP="00A5194F">
      <w:pPr>
        <w:spacing w:before="120" w:after="120" w:line="312" w:lineRule="auto"/>
        <w:jc w:val="both"/>
        <w:rPr>
          <w:rFonts w:ascii="Tahoma" w:hAnsi="Tahoma" w:cs="Tahoma"/>
          <w:b/>
          <w:bCs/>
        </w:rPr>
      </w:pPr>
      <w:r w:rsidRPr="00A5194F">
        <w:rPr>
          <w:rFonts w:ascii="Tahoma" w:hAnsi="Tahoma" w:cs="Tahoma"/>
        </w:rPr>
        <w:t xml:space="preserve">Προτείνουμε τη δημιουργία ενός προγράμματος συνεργασίας και υποστήριξης των μικρών Δήμων που θα αξιοποιεί οικονομίες κλίμακας, θα βελτιώνει την αποτελεσματικότητα και θα παρέχει υπηρεσίες υψηλού επιπέδου. </w:t>
      </w:r>
      <w:r w:rsidRPr="00A5194F">
        <w:rPr>
          <w:rFonts w:ascii="Tahoma" w:hAnsi="Tahoma" w:cs="Tahoma"/>
          <w:b/>
          <w:bCs/>
        </w:rPr>
        <w:t xml:space="preserve">Το πρόγραμμα αυτό θα πρέπει να χρηματοδοτηθεί με μία αύξηση των ΚΑΠ κατά 5% ώστε να μην υπάρχει Έλληνας πολίτης, που να λαμβάνει μικρότερης ποσότητας ή ποιότητας δημοτικές υπηρεσίας με μοναδική αιτία το τόπο διαμονής ή εργασίας του. </w:t>
      </w:r>
    </w:p>
    <w:p w14:paraId="5F526325" w14:textId="77777777" w:rsidR="00A5194F" w:rsidRPr="00A5194F" w:rsidRDefault="00A5194F" w:rsidP="00A5194F">
      <w:pPr>
        <w:pStyle w:val="a3"/>
        <w:numPr>
          <w:ilvl w:val="0"/>
          <w:numId w:val="33"/>
        </w:numPr>
        <w:spacing w:before="120" w:after="120" w:line="312" w:lineRule="auto"/>
        <w:jc w:val="both"/>
        <w:rPr>
          <w:rFonts w:ascii="Tahoma" w:hAnsi="Tahoma" w:cs="Tahoma"/>
          <w:b/>
          <w:bCs/>
        </w:rPr>
      </w:pPr>
      <w:r w:rsidRPr="00A5194F">
        <w:rPr>
          <w:rFonts w:ascii="Tahoma" w:hAnsi="Tahoma" w:cs="Tahoma"/>
          <w:b/>
          <w:bCs/>
        </w:rPr>
        <w:t xml:space="preserve">Τουριστική ανάπτυξη από τα κάτω. Υποδομές και υποστηρικτικές λειτουργίες για μία νέα ποιότητα τουριστικών υπηρεσιών. </w:t>
      </w:r>
    </w:p>
    <w:p w14:paraId="76B25B27" w14:textId="77777777" w:rsidR="00A5194F" w:rsidRPr="00A5194F" w:rsidRDefault="00A5194F" w:rsidP="00A5194F">
      <w:pPr>
        <w:shd w:val="clear" w:color="auto" w:fill="FFFFFF"/>
        <w:spacing w:before="120" w:after="120" w:line="312" w:lineRule="auto"/>
        <w:jc w:val="both"/>
        <w:rPr>
          <w:rFonts w:ascii="Tahoma" w:hAnsi="Tahoma" w:cs="Tahoma"/>
          <w:color w:val="252525"/>
          <w:lang w:eastAsia="el-GR"/>
        </w:rPr>
      </w:pPr>
      <w:r w:rsidRPr="00A5194F">
        <w:rPr>
          <w:rFonts w:ascii="Tahoma" w:hAnsi="Tahoma" w:cs="Tahoma"/>
        </w:rPr>
        <w:t xml:space="preserve">Η τουριστική ανάπτυξη της χώρας βρίσκεται σε ένα κρίσιμο σταυροδρόμι. Απαιτούνται καλύτερης ποιότητας υποδομές και υπηρεσίες. Η ΤΑ βρίσκεται στην πρώτη γραμμή υποστήριξης της τουριστικής ανάπτυξης, που συνδέεται άρρηκτα με την τοπική ανάπτυξη. Για τους λόγους αυτούς προτείνουμε </w:t>
      </w:r>
      <w:r w:rsidRPr="00A5194F">
        <w:rPr>
          <w:rFonts w:ascii="Tahoma" w:hAnsi="Tahoma" w:cs="Tahoma"/>
          <w:b/>
          <w:bCs/>
          <w:color w:val="252525"/>
          <w:lang w:eastAsia="el-GR"/>
        </w:rPr>
        <w:t xml:space="preserve">την απόδοση του φόρου διαμονής από ξενοδοχεία και </w:t>
      </w:r>
      <w:proofErr w:type="spellStart"/>
      <w:r w:rsidRPr="00A5194F">
        <w:rPr>
          <w:rFonts w:ascii="Tahoma" w:hAnsi="Tahoma" w:cs="Tahoma"/>
          <w:b/>
          <w:bCs/>
          <w:color w:val="252525"/>
          <w:lang w:eastAsia="el-GR"/>
        </w:rPr>
        <w:t>AirBnb</w:t>
      </w:r>
      <w:proofErr w:type="spellEnd"/>
      <w:r w:rsidRPr="00A5194F">
        <w:rPr>
          <w:rFonts w:ascii="Tahoma" w:hAnsi="Tahoma" w:cs="Tahoma"/>
          <w:b/>
          <w:bCs/>
          <w:color w:val="252525"/>
          <w:lang w:eastAsia="el-GR"/>
        </w:rPr>
        <w:t xml:space="preserve"> (</w:t>
      </w:r>
      <w:proofErr w:type="spellStart"/>
      <w:r w:rsidRPr="00A5194F">
        <w:rPr>
          <w:rFonts w:ascii="Tahoma" w:hAnsi="Tahoma" w:cs="Tahoma"/>
          <w:b/>
          <w:bCs/>
          <w:color w:val="252525"/>
          <w:lang w:eastAsia="el-GR"/>
        </w:rPr>
        <w:t>city</w:t>
      </w:r>
      <w:proofErr w:type="spellEnd"/>
      <w:r w:rsidRPr="00A5194F">
        <w:rPr>
          <w:rFonts w:ascii="Tahoma" w:hAnsi="Tahoma" w:cs="Tahoma"/>
          <w:b/>
          <w:bCs/>
          <w:color w:val="252525"/>
          <w:lang w:eastAsia="el-GR"/>
        </w:rPr>
        <w:t xml:space="preserve"> </w:t>
      </w:r>
      <w:proofErr w:type="spellStart"/>
      <w:r w:rsidRPr="00A5194F">
        <w:rPr>
          <w:rFonts w:ascii="Tahoma" w:hAnsi="Tahoma" w:cs="Tahoma"/>
          <w:b/>
          <w:bCs/>
          <w:color w:val="252525"/>
          <w:lang w:eastAsia="el-GR"/>
        </w:rPr>
        <w:t>tax</w:t>
      </w:r>
      <w:proofErr w:type="spellEnd"/>
      <w:r w:rsidRPr="00A5194F">
        <w:rPr>
          <w:rFonts w:ascii="Tahoma" w:hAnsi="Tahoma" w:cs="Tahoma"/>
          <w:b/>
          <w:bCs/>
          <w:color w:val="252525"/>
          <w:lang w:eastAsia="el-GR"/>
        </w:rPr>
        <w:t>) στους Δήμους</w:t>
      </w:r>
      <w:r w:rsidRPr="00A5194F">
        <w:rPr>
          <w:rFonts w:ascii="Tahoma" w:hAnsi="Tahoma" w:cs="Tahoma"/>
          <w:color w:val="252525"/>
          <w:lang w:eastAsia="el-GR"/>
        </w:rPr>
        <w:t xml:space="preserve">, όπως συμβαίνει και στην Ευρώπη, ώστε οι πόροι αυτοί να κατευθυνθούν στην τουριστική ανάπτυξη και να μην διαχυθούν σε διάφορες κρατικές δραστηριότητες μεταξύ των οποίων και η «μαύρη τρύπα» του χρέους. </w:t>
      </w:r>
    </w:p>
    <w:p w14:paraId="335FE9C5" w14:textId="77777777" w:rsidR="00A5194F" w:rsidRPr="00A5194F" w:rsidRDefault="00A5194F" w:rsidP="00A5194F">
      <w:pPr>
        <w:pStyle w:val="a3"/>
        <w:numPr>
          <w:ilvl w:val="0"/>
          <w:numId w:val="33"/>
        </w:numPr>
        <w:shd w:val="clear" w:color="auto" w:fill="FFFFFF"/>
        <w:spacing w:before="120" w:after="120" w:line="312" w:lineRule="auto"/>
        <w:jc w:val="both"/>
        <w:rPr>
          <w:rFonts w:ascii="Tahoma" w:hAnsi="Tahoma" w:cs="Tahoma"/>
          <w:b/>
          <w:bCs/>
          <w:color w:val="252525"/>
          <w:lang w:eastAsia="el-GR"/>
        </w:rPr>
      </w:pPr>
      <w:r w:rsidRPr="00A5194F">
        <w:rPr>
          <w:rFonts w:ascii="Tahoma" w:hAnsi="Tahoma" w:cs="Tahoma"/>
          <w:b/>
          <w:bCs/>
          <w:color w:val="252525"/>
          <w:lang w:eastAsia="el-GR"/>
        </w:rPr>
        <w:t xml:space="preserve">Οι τοπικές επενδύσεις είναι περισσότερο αποτελεσματικές. </w:t>
      </w:r>
    </w:p>
    <w:p w14:paraId="0197F520" w14:textId="77777777" w:rsidR="00A5194F" w:rsidRPr="00A5194F" w:rsidRDefault="00A5194F" w:rsidP="00A5194F">
      <w:pPr>
        <w:shd w:val="clear" w:color="auto" w:fill="FFFFFF"/>
        <w:spacing w:before="120" w:after="120" w:line="312" w:lineRule="auto"/>
        <w:jc w:val="both"/>
        <w:rPr>
          <w:rFonts w:ascii="Tahoma" w:hAnsi="Tahoma" w:cs="Tahoma"/>
          <w:color w:val="252525"/>
          <w:lang w:eastAsia="el-GR"/>
        </w:rPr>
      </w:pPr>
      <w:r w:rsidRPr="00A5194F">
        <w:rPr>
          <w:rFonts w:ascii="Tahoma" w:hAnsi="Tahoma" w:cs="Tahoma"/>
          <w:color w:val="252525"/>
          <w:lang w:eastAsia="el-GR"/>
        </w:rPr>
        <w:t xml:space="preserve">Σύμφωνα με τη διεθνή εμπειρία και βιβλιογραφία, οι τοπικές επενδύσεις, δημιουργούν μεγαλύτερα πολλαπλασιαστικά αποτελέσματα, έχουν άμεση, καλύτερη και θετική επίπτωση στην απασχόληση και χρειάζονται μικρότερο χρόνο υλοποίησης. Ο στόχος της κυβέρνησης για περιορισμό της ανεργίας μπορεί να υλοποιηθεί αποτελεσματικά με τη στήριξη στις τοπικές επενδύσεις. Για το λόγο αυτό προτείνεται: </w:t>
      </w:r>
    </w:p>
    <w:p w14:paraId="3DA375D6" w14:textId="77777777" w:rsidR="00A5194F" w:rsidRPr="00A5194F" w:rsidRDefault="00A5194F" w:rsidP="00A5194F">
      <w:pPr>
        <w:shd w:val="clear" w:color="auto" w:fill="FFFFFF"/>
        <w:spacing w:before="120" w:after="120" w:line="312" w:lineRule="auto"/>
        <w:jc w:val="both"/>
        <w:rPr>
          <w:rFonts w:ascii="Tahoma" w:hAnsi="Tahoma" w:cs="Tahoma"/>
          <w:color w:val="252525"/>
          <w:lang w:eastAsia="el-GR"/>
        </w:rPr>
      </w:pPr>
      <w:r w:rsidRPr="00A5194F">
        <w:rPr>
          <w:rFonts w:ascii="Tahoma" w:hAnsi="Tahoma" w:cs="Tahoma"/>
          <w:color w:val="252525"/>
          <w:lang w:eastAsia="el-GR"/>
        </w:rPr>
        <w:t xml:space="preserve">Η κρατική επιχορήγηση για δημοτικές επενδύσεις, συντηρήσεις και επισκευές ήταν το 2009 1.107 εκατ. € και σήμερα έχει συρρικνωθεί στα 180 εκατ. €. Αποτέλεσμα αυτής της μείωσης είναι τοπικές πολεοδομικές υποδομές να απαξιώνονται. Στην προσπάθεια σύγκλισης με το Ευρωπαϊκό κεκτημένο προτείνουμε </w:t>
      </w:r>
      <w:r w:rsidRPr="00A5194F">
        <w:rPr>
          <w:rFonts w:ascii="Tahoma" w:hAnsi="Tahoma" w:cs="Tahoma"/>
          <w:b/>
          <w:bCs/>
          <w:color w:val="252525"/>
          <w:lang w:eastAsia="el-GR"/>
        </w:rPr>
        <w:t>το 30% του εθνικού σκέλους Προγράμματος Δημοσίων Επενδύσεων να εντάσσεται στη ΣΑΤΑ</w:t>
      </w:r>
      <w:r w:rsidRPr="00A5194F">
        <w:rPr>
          <w:rFonts w:ascii="Tahoma" w:hAnsi="Tahoma" w:cs="Tahoma"/>
          <w:color w:val="252525"/>
          <w:lang w:eastAsia="el-GR"/>
        </w:rPr>
        <w:t xml:space="preserve">. </w:t>
      </w:r>
    </w:p>
    <w:p w14:paraId="42EC68D6" w14:textId="77777777" w:rsidR="00A5194F" w:rsidRPr="00A5194F" w:rsidRDefault="00A5194F" w:rsidP="00A5194F">
      <w:pPr>
        <w:shd w:val="clear" w:color="auto" w:fill="FFFFFF"/>
        <w:spacing w:before="120" w:after="120" w:line="312" w:lineRule="auto"/>
        <w:jc w:val="both"/>
        <w:rPr>
          <w:rFonts w:ascii="Tahoma" w:hAnsi="Tahoma" w:cs="Tahoma"/>
          <w:b/>
          <w:bCs/>
          <w:color w:val="252525"/>
          <w:lang w:eastAsia="el-GR"/>
        </w:rPr>
      </w:pPr>
      <w:r w:rsidRPr="00A5194F">
        <w:rPr>
          <w:rFonts w:ascii="Tahoma" w:hAnsi="Tahoma" w:cs="Tahoma"/>
          <w:b/>
          <w:bCs/>
          <w:color w:val="252525"/>
          <w:lang w:eastAsia="el-GR"/>
        </w:rPr>
        <w:t xml:space="preserve">Θωράκιση με νέους πόρους και επιτάχυνση των διαδικασιών του τοπικού αναπτυξιακού προγράμματος «Α. Τρίτσης». </w:t>
      </w:r>
    </w:p>
    <w:p w14:paraId="027EB3BC" w14:textId="77777777" w:rsidR="00A5194F" w:rsidRPr="00A5194F" w:rsidRDefault="00A5194F" w:rsidP="00A5194F">
      <w:pPr>
        <w:shd w:val="clear" w:color="auto" w:fill="FFFFFF"/>
        <w:spacing w:before="120" w:after="120" w:line="312" w:lineRule="auto"/>
        <w:jc w:val="both"/>
        <w:rPr>
          <w:rFonts w:ascii="Tahoma" w:hAnsi="Tahoma" w:cs="Tahoma"/>
          <w:color w:val="252525"/>
          <w:lang w:eastAsia="el-GR"/>
        </w:rPr>
      </w:pPr>
      <w:r w:rsidRPr="00A5194F">
        <w:rPr>
          <w:rFonts w:ascii="Tahoma" w:hAnsi="Tahoma" w:cs="Tahoma"/>
          <w:color w:val="252525"/>
          <w:lang w:eastAsia="el-GR"/>
        </w:rPr>
        <w:t xml:space="preserve">Επισημαίνεται ότι τα έργα που εντάσσονται στο πρόγραμμα «Α. Τρίτσης» είναι δημοτικές επενδύσεις, μεγάλου μεγέθους σε σχέση με τις λειτουργικές δαπάνες των Δήμων, με </w:t>
      </w:r>
      <w:r w:rsidRPr="00A5194F">
        <w:rPr>
          <w:rFonts w:ascii="Tahoma" w:hAnsi="Tahoma" w:cs="Tahoma"/>
          <w:color w:val="252525"/>
          <w:lang w:eastAsia="el-GR"/>
        </w:rPr>
        <w:lastRenderedPageBreak/>
        <w:t xml:space="preserve">αποτέλεσμα ο συμψηφισμός του πιστωτικού υπολοίπου του ΦΠΑ να μην καλύπτεται σε εύλογο χρονικό διάστημα. Αντίθετα, δημιουργεί ισχυρές πιέσεις στην οικονομική διαχείριση, τη ρευστότητα και την εκτέλεση των δημοτικών προϋπολογισμών. </w:t>
      </w:r>
    </w:p>
    <w:p w14:paraId="51C1EC8B" w14:textId="77777777" w:rsidR="00A5194F" w:rsidRPr="00A5194F" w:rsidRDefault="00A5194F" w:rsidP="00A5194F">
      <w:pPr>
        <w:shd w:val="clear" w:color="auto" w:fill="FFFFFF"/>
        <w:spacing w:before="120" w:after="120" w:line="312" w:lineRule="auto"/>
        <w:jc w:val="both"/>
        <w:rPr>
          <w:rFonts w:ascii="Tahoma" w:hAnsi="Tahoma" w:cs="Tahoma"/>
          <w:b/>
          <w:bCs/>
          <w:i/>
          <w:iCs/>
          <w:color w:val="252525"/>
          <w:lang w:eastAsia="el-GR"/>
        </w:rPr>
      </w:pPr>
      <w:r w:rsidRPr="00A5194F">
        <w:rPr>
          <w:rFonts w:ascii="Tahoma" w:hAnsi="Tahoma" w:cs="Tahoma"/>
          <w:b/>
          <w:bCs/>
          <w:i/>
          <w:iCs/>
          <w:color w:val="252525"/>
          <w:lang w:eastAsia="el-GR"/>
        </w:rPr>
        <w:t>Προτείνεται η επέκταση της απαλλαγής από τον ΦΠΑ, στο σύνολο των έργων, υπηρεσιών, προμηθειών που εντάσσονται στο τοπικό αναπτυξιακό πρόγραμμα «Α. Τρίτσης»</w:t>
      </w:r>
    </w:p>
    <w:p w14:paraId="179C61A6" w14:textId="77777777" w:rsidR="00A5194F" w:rsidRPr="00A5194F" w:rsidRDefault="00A5194F" w:rsidP="00A5194F">
      <w:pPr>
        <w:shd w:val="clear" w:color="auto" w:fill="FFFFFF"/>
        <w:spacing w:before="120" w:after="120" w:line="312" w:lineRule="auto"/>
        <w:jc w:val="both"/>
        <w:rPr>
          <w:rFonts w:ascii="Tahoma" w:hAnsi="Tahoma" w:cs="Tahoma"/>
          <w:b/>
          <w:bCs/>
          <w:color w:val="252525"/>
          <w:lang w:eastAsia="el-GR"/>
        </w:rPr>
      </w:pPr>
    </w:p>
    <w:p w14:paraId="655ADCEB" w14:textId="77777777" w:rsidR="00A5194F" w:rsidRPr="00A5194F" w:rsidRDefault="00A5194F" w:rsidP="00A5194F">
      <w:pPr>
        <w:shd w:val="clear" w:color="auto" w:fill="FFFFFF"/>
        <w:spacing w:before="120" w:after="120" w:line="312" w:lineRule="auto"/>
        <w:jc w:val="both"/>
        <w:rPr>
          <w:rFonts w:ascii="Tahoma" w:hAnsi="Tahoma" w:cs="Tahoma"/>
          <w:b/>
          <w:bCs/>
          <w:color w:val="252525"/>
          <w:lang w:eastAsia="el-GR"/>
        </w:rPr>
      </w:pPr>
      <w:r w:rsidRPr="00A5194F">
        <w:rPr>
          <w:rFonts w:ascii="Tahoma" w:hAnsi="Tahoma" w:cs="Tahoma"/>
          <w:b/>
          <w:bCs/>
          <w:color w:val="252525"/>
          <w:lang w:eastAsia="el-GR"/>
        </w:rPr>
        <w:t xml:space="preserve">Η συμμετοχή των Δήμων στο Ταμείο Ανάκαμψης να ενισχυθεί και να γίνει διακριτή.  </w:t>
      </w:r>
    </w:p>
    <w:p w14:paraId="69DA0560" w14:textId="77777777" w:rsidR="00A5194F" w:rsidRPr="00A5194F" w:rsidRDefault="00A5194F" w:rsidP="00A5194F">
      <w:pPr>
        <w:shd w:val="clear" w:color="auto" w:fill="FFFFFF"/>
        <w:spacing w:before="120" w:after="120" w:line="312" w:lineRule="auto"/>
        <w:jc w:val="both"/>
        <w:rPr>
          <w:rFonts w:ascii="Tahoma" w:hAnsi="Tahoma" w:cs="Tahoma"/>
          <w:color w:val="252525"/>
          <w:lang w:eastAsia="el-GR"/>
        </w:rPr>
      </w:pPr>
      <w:r w:rsidRPr="00A5194F">
        <w:rPr>
          <w:rFonts w:ascii="Tahoma" w:hAnsi="Tahoma" w:cs="Tahoma"/>
          <w:color w:val="252525"/>
          <w:lang w:eastAsia="el-GR"/>
        </w:rPr>
        <w:t>Επιτρέψτε μας Κ. Υπουργέ να σας επισημάνουμε και ορισμένα οικονομικά αιτήματα που μας απασχολούν και αποτέλεσαν αποφάσεις του τελευταίου τακτικού μας συνεδρίου.</w:t>
      </w:r>
    </w:p>
    <w:p w14:paraId="6C0D2431" w14:textId="77777777" w:rsidR="00A5194F" w:rsidRPr="00A5194F" w:rsidRDefault="00A5194F" w:rsidP="00A5194F">
      <w:pPr>
        <w:pStyle w:val="a3"/>
        <w:numPr>
          <w:ilvl w:val="0"/>
          <w:numId w:val="34"/>
        </w:numPr>
        <w:shd w:val="clear" w:color="auto" w:fill="FFFFFF"/>
        <w:spacing w:before="120" w:after="120" w:line="312" w:lineRule="auto"/>
        <w:jc w:val="both"/>
        <w:rPr>
          <w:rFonts w:ascii="Tahoma" w:hAnsi="Tahoma" w:cs="Tahoma"/>
          <w:b/>
          <w:bCs/>
        </w:rPr>
      </w:pPr>
      <w:r w:rsidRPr="00A5194F">
        <w:rPr>
          <w:rFonts w:ascii="Tahoma" w:hAnsi="Tahoma" w:cs="Tahoma"/>
          <w:b/>
          <w:bCs/>
        </w:rPr>
        <w:t>Τη θέσπιση ειδικού καθεστώτος ενίσχυσης για τη χρηματοδότηση των ΔΕΥΑ από τον κρατικό προϋπολογισμό, με σκοπό την κάλυψη του επιπλέον ενεργειακού κόστους ύψους περίπου 100 εκ. ευρώ που επιβαρύνει τη λειτουργία τους, με βάση τα πραγματικά στοιχεία κατανάλωσης. Οι ΔΕΥΑ εκπέμπουν SOS. Δε θα αντέξουν άλλο.</w:t>
      </w:r>
    </w:p>
    <w:p w14:paraId="4F32505B" w14:textId="77777777" w:rsidR="00A5194F" w:rsidRPr="00A5194F" w:rsidRDefault="00A5194F" w:rsidP="00A5194F">
      <w:pPr>
        <w:pStyle w:val="a3"/>
        <w:numPr>
          <w:ilvl w:val="0"/>
          <w:numId w:val="34"/>
        </w:numPr>
        <w:shd w:val="clear" w:color="auto" w:fill="FFFFFF"/>
        <w:spacing w:before="120" w:after="120" w:line="312" w:lineRule="auto"/>
        <w:jc w:val="both"/>
        <w:rPr>
          <w:rFonts w:ascii="Tahoma" w:hAnsi="Tahoma" w:cs="Tahoma"/>
          <w:b/>
          <w:bCs/>
        </w:rPr>
      </w:pPr>
      <w:r w:rsidRPr="00A5194F">
        <w:rPr>
          <w:rFonts w:ascii="Tahoma" w:hAnsi="Tahoma" w:cs="Tahoma"/>
          <w:b/>
          <w:bCs/>
        </w:rPr>
        <w:t xml:space="preserve">Τη σταδιακή απόδοση στους Δήμους, την ΚΕΔΕ και τις ΠΕΔ, των </w:t>
      </w:r>
      <w:proofErr w:type="spellStart"/>
      <w:r w:rsidRPr="00A5194F">
        <w:rPr>
          <w:rFonts w:ascii="Tahoma" w:hAnsi="Tahoma" w:cs="Tahoma"/>
          <w:b/>
          <w:bCs/>
        </w:rPr>
        <w:t>παρακρατηθέντων</w:t>
      </w:r>
      <w:proofErr w:type="spellEnd"/>
      <w:r w:rsidRPr="00A5194F">
        <w:rPr>
          <w:rFonts w:ascii="Tahoma" w:hAnsi="Tahoma" w:cs="Tahoma"/>
          <w:b/>
          <w:bCs/>
        </w:rPr>
        <w:t xml:space="preserve"> πόρων από προηγούμενα έτη. Δεν θα σταματήσουμε να τα διεκδικούμε, είναι χρήματα των Δήμων και δεν τα απεμπολούμε.</w:t>
      </w:r>
    </w:p>
    <w:p w14:paraId="584183E8" w14:textId="77777777" w:rsidR="00A5194F" w:rsidRPr="00A5194F" w:rsidRDefault="00A5194F" w:rsidP="00A5194F">
      <w:pPr>
        <w:pStyle w:val="a3"/>
        <w:numPr>
          <w:ilvl w:val="0"/>
          <w:numId w:val="34"/>
        </w:numPr>
        <w:shd w:val="clear" w:color="auto" w:fill="FFFFFF"/>
        <w:spacing w:before="120" w:after="120" w:line="312" w:lineRule="auto"/>
        <w:jc w:val="both"/>
        <w:rPr>
          <w:rFonts w:ascii="Tahoma" w:hAnsi="Tahoma" w:cs="Tahoma"/>
          <w:b/>
          <w:bCs/>
        </w:rPr>
      </w:pPr>
      <w:r w:rsidRPr="00A5194F">
        <w:rPr>
          <w:rFonts w:ascii="Tahoma" w:hAnsi="Tahoma" w:cs="Tahoma"/>
          <w:b/>
          <w:bCs/>
        </w:rPr>
        <w:t xml:space="preserve">Την αλλαγή του υφιστάμενου νομοθετικού πλαισίου που απαλλάσσει σήμερα τους </w:t>
      </w:r>
      <w:proofErr w:type="spellStart"/>
      <w:r w:rsidRPr="00A5194F">
        <w:rPr>
          <w:rFonts w:ascii="Tahoma" w:hAnsi="Tahoma" w:cs="Tahoma"/>
          <w:b/>
          <w:bCs/>
        </w:rPr>
        <w:t>παραχωρησιούχους</w:t>
      </w:r>
      <w:proofErr w:type="spellEnd"/>
      <w:r w:rsidRPr="00A5194F">
        <w:rPr>
          <w:rFonts w:ascii="Tahoma" w:hAnsi="Tahoma" w:cs="Tahoma"/>
          <w:b/>
          <w:bCs/>
        </w:rPr>
        <w:t xml:space="preserve"> από την καταβολή ανταποδοτικών τελών.</w:t>
      </w:r>
    </w:p>
    <w:p w14:paraId="646E34BE" w14:textId="77777777" w:rsidR="00A5194F" w:rsidRPr="00A5194F" w:rsidRDefault="00A5194F" w:rsidP="00A5194F">
      <w:pPr>
        <w:pStyle w:val="a3"/>
        <w:numPr>
          <w:ilvl w:val="0"/>
          <w:numId w:val="34"/>
        </w:numPr>
        <w:shd w:val="clear" w:color="auto" w:fill="FFFFFF"/>
        <w:spacing w:before="120" w:after="120" w:line="312" w:lineRule="auto"/>
        <w:jc w:val="both"/>
        <w:rPr>
          <w:rFonts w:ascii="Tahoma" w:hAnsi="Tahoma" w:cs="Tahoma"/>
          <w:b/>
          <w:bCs/>
        </w:rPr>
      </w:pPr>
      <w:r w:rsidRPr="00A5194F">
        <w:rPr>
          <w:rFonts w:ascii="Tahoma" w:hAnsi="Tahoma" w:cs="Tahoma"/>
          <w:b/>
          <w:bCs/>
        </w:rPr>
        <w:t>Την επαναφορά του ανταποδοτικού τέλους των πετρελαιοειδών, του φόρου ζύθου καθώς και την τροποποίηση του νομοθετικού πλαισίου για τα τέλη υπεδάφους.</w:t>
      </w:r>
    </w:p>
    <w:p w14:paraId="72EA5894" w14:textId="77777777" w:rsidR="00A5194F" w:rsidRPr="00A5194F" w:rsidRDefault="00A5194F" w:rsidP="00A5194F">
      <w:pPr>
        <w:pStyle w:val="a3"/>
        <w:numPr>
          <w:ilvl w:val="0"/>
          <w:numId w:val="34"/>
        </w:numPr>
        <w:shd w:val="clear" w:color="auto" w:fill="FFFFFF"/>
        <w:spacing w:before="120" w:beforeAutospacing="1" w:after="120" w:afterAutospacing="1" w:line="312" w:lineRule="auto"/>
        <w:jc w:val="both"/>
        <w:rPr>
          <w:rFonts w:ascii="Tahoma" w:hAnsi="Tahoma" w:cs="Tahoma"/>
        </w:rPr>
      </w:pPr>
      <w:r w:rsidRPr="00A5194F">
        <w:rPr>
          <w:rFonts w:ascii="Tahoma" w:hAnsi="Tahoma" w:cs="Tahoma"/>
          <w:b/>
          <w:bCs/>
        </w:rPr>
        <w:t>Την κάλυψη του συνολικού κόστους που προκάλεσε η πανδημία και η αλματώδης αύξηση των ενεργειακών προϊόντων</w:t>
      </w:r>
      <w:r w:rsidRPr="00A5194F">
        <w:rPr>
          <w:rFonts w:ascii="Tahoma" w:hAnsi="Tahoma" w:cs="Tahoma"/>
        </w:rPr>
        <w:t xml:space="preserve"> </w:t>
      </w:r>
    </w:p>
    <w:p w14:paraId="43D24A7F" w14:textId="77777777" w:rsidR="00A5194F" w:rsidRDefault="00A5194F" w:rsidP="00F718E1">
      <w:pPr>
        <w:pStyle w:val="Web"/>
        <w:spacing w:before="240" w:beforeAutospacing="0" w:after="240" w:afterAutospacing="0" w:line="360" w:lineRule="auto"/>
        <w:jc w:val="center"/>
        <w:rPr>
          <w:rFonts w:ascii="Tahoma" w:hAnsi="Tahoma" w:cs="Tahoma"/>
          <w:b/>
          <w:bCs/>
          <w:color w:val="000000"/>
          <w:sz w:val="32"/>
          <w:szCs w:val="32"/>
        </w:rPr>
      </w:pPr>
    </w:p>
    <w:p w14:paraId="68B17691" w14:textId="14C23C60" w:rsidR="00F30015" w:rsidRDefault="00F30015">
      <w:pPr>
        <w:rPr>
          <w:rFonts w:ascii="Tahoma" w:hAnsi="Tahoma" w:cs="Tahoma"/>
          <w:b/>
          <w:bCs/>
          <w:color w:val="000000"/>
          <w:sz w:val="32"/>
          <w:szCs w:val="32"/>
          <w:lang w:eastAsia="el-GR"/>
        </w:rPr>
      </w:pPr>
      <w:r>
        <w:rPr>
          <w:rFonts w:ascii="Tahoma" w:hAnsi="Tahoma" w:cs="Tahoma"/>
          <w:b/>
          <w:bCs/>
          <w:color w:val="000000"/>
          <w:sz w:val="32"/>
          <w:szCs w:val="32"/>
        </w:rPr>
        <w:br w:type="page"/>
      </w:r>
    </w:p>
    <w:p w14:paraId="70C5DF92" w14:textId="7D480BD3" w:rsidR="00F30015" w:rsidRPr="00F30015" w:rsidRDefault="00F30015" w:rsidP="00F30015">
      <w:pPr>
        <w:spacing w:before="120" w:after="120" w:line="312" w:lineRule="auto"/>
        <w:jc w:val="center"/>
        <w:rPr>
          <w:rFonts w:ascii="Tahoma" w:hAnsi="Tahoma" w:cs="Tahoma"/>
          <w:b/>
          <w:bCs/>
          <w:color w:val="000000"/>
          <w:sz w:val="28"/>
          <w:szCs w:val="28"/>
          <w:lang w:eastAsia="el-GR"/>
        </w:rPr>
      </w:pPr>
      <w:r w:rsidRPr="00F30015">
        <w:rPr>
          <w:rFonts w:ascii="Tahoma" w:hAnsi="Tahoma" w:cs="Tahoma"/>
          <w:b/>
          <w:bCs/>
          <w:color w:val="000000"/>
          <w:sz w:val="28"/>
          <w:szCs w:val="28"/>
          <w:lang w:eastAsia="el-GR"/>
        </w:rPr>
        <w:lastRenderedPageBreak/>
        <w:t>Τι προβλέπει για τους Δήμους ο Κρατικός Προϋπολογισμός 2023</w:t>
      </w:r>
    </w:p>
    <w:p w14:paraId="721ED840" w14:textId="77777777" w:rsidR="00F30015" w:rsidRPr="002A478C" w:rsidRDefault="00F30015" w:rsidP="00F30015">
      <w:pPr>
        <w:spacing w:before="120" w:after="120" w:line="312" w:lineRule="auto"/>
        <w:jc w:val="both"/>
        <w:rPr>
          <w:rFonts w:cstheme="minorHAnsi"/>
          <w:color w:val="000000"/>
          <w:lang w:eastAsia="el-GR"/>
        </w:rPr>
      </w:pPr>
      <w:r w:rsidRPr="002A478C">
        <w:rPr>
          <w:rFonts w:cstheme="minorHAnsi"/>
          <w:noProof/>
          <w:color w:val="000000"/>
          <w:lang w:eastAsia="el-GR"/>
        </w:rPr>
        <w:drawing>
          <wp:inline distT="0" distB="0" distL="0" distR="0" wp14:anchorId="5B09C068" wp14:editId="2C8B04B3">
            <wp:extent cx="5972175" cy="3524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4701" cy="3531642"/>
                    </a:xfrm>
                    <a:prstGeom prst="rect">
                      <a:avLst/>
                    </a:prstGeom>
                    <a:noFill/>
                    <a:ln>
                      <a:noFill/>
                    </a:ln>
                  </pic:spPr>
                </pic:pic>
              </a:graphicData>
            </a:graphic>
          </wp:inline>
        </w:drawing>
      </w:r>
    </w:p>
    <w:p w14:paraId="245B04F7" w14:textId="77777777" w:rsidR="00F30015" w:rsidRPr="00F30015" w:rsidRDefault="00F30015" w:rsidP="00F30015">
      <w:pPr>
        <w:spacing w:before="120" w:after="120" w:line="312" w:lineRule="auto"/>
        <w:ind w:firstLine="567"/>
        <w:jc w:val="both"/>
        <w:rPr>
          <w:rFonts w:ascii="Tahoma" w:hAnsi="Tahoma" w:cs="Tahoma"/>
          <w:color w:val="000000"/>
          <w:lang w:eastAsia="el-GR"/>
        </w:rPr>
      </w:pPr>
      <w:r w:rsidRPr="00F30015">
        <w:rPr>
          <w:rFonts w:ascii="Tahoma" w:hAnsi="Tahoma" w:cs="Tahoma"/>
          <w:color w:val="000000"/>
          <w:lang w:val="en-US" w:eastAsia="el-GR"/>
        </w:rPr>
        <w:t>O</w:t>
      </w:r>
      <w:r w:rsidRPr="00F30015">
        <w:rPr>
          <w:rFonts w:ascii="Tahoma" w:hAnsi="Tahoma" w:cs="Tahoma"/>
          <w:color w:val="000000"/>
          <w:lang w:eastAsia="el-GR"/>
        </w:rPr>
        <w:t xml:space="preserve">ι συνολικές μεταβιβάσεις του Τακτικού Προϋπολογισμού για τους Δήμους, ήταν το 2022, 2.258 </w:t>
      </w:r>
      <w:proofErr w:type="gramStart"/>
      <w:r w:rsidRPr="00F30015">
        <w:rPr>
          <w:rFonts w:ascii="Tahoma" w:hAnsi="Tahoma" w:cs="Tahoma"/>
          <w:color w:val="000000"/>
          <w:lang w:eastAsia="el-GR"/>
        </w:rPr>
        <w:t>εκ.€</w:t>
      </w:r>
      <w:proofErr w:type="gramEnd"/>
      <w:r w:rsidRPr="00F30015">
        <w:rPr>
          <w:rFonts w:ascii="Tahoma" w:hAnsi="Tahoma" w:cs="Tahoma"/>
          <w:color w:val="000000"/>
          <w:lang w:eastAsia="el-GR"/>
        </w:rPr>
        <w:t xml:space="preserve"> και το 2023 προβλέπεται να είναι 2.253 εκ.€. </w:t>
      </w:r>
    </w:p>
    <w:p w14:paraId="52DA38FE" w14:textId="77777777" w:rsidR="00F30015" w:rsidRPr="00F30015" w:rsidRDefault="00F30015" w:rsidP="00F30015">
      <w:pPr>
        <w:spacing w:before="120" w:after="120" w:line="312" w:lineRule="auto"/>
        <w:ind w:firstLine="567"/>
        <w:jc w:val="both"/>
        <w:rPr>
          <w:rFonts w:ascii="Tahoma" w:hAnsi="Tahoma" w:cs="Tahoma"/>
        </w:rPr>
      </w:pPr>
      <w:r w:rsidRPr="00F30015">
        <w:rPr>
          <w:rFonts w:ascii="Tahoma" w:hAnsi="Tahoma" w:cs="Tahoma"/>
          <w:color w:val="000000"/>
          <w:lang w:val="en-US" w:eastAsia="el-GR"/>
        </w:rPr>
        <w:t>To</w:t>
      </w:r>
      <w:r w:rsidRPr="00F30015">
        <w:rPr>
          <w:rFonts w:ascii="Tahoma" w:hAnsi="Tahoma" w:cs="Tahoma"/>
          <w:color w:val="000000"/>
          <w:lang w:eastAsia="el-GR"/>
        </w:rPr>
        <w:t xml:space="preserve"> 2023 μεταφέρθηκαν στους ΚΑΠ οι έκτακτες επιχορηγήσεις για το ενεργειακό κόστος και οι λοιπές επιχορηγήσεις. Για του λόγου το αληθές στην εισηγητική έκθεση του Κρατικού Προϋπολογισμού 2023 αναφέρεται ότι</w:t>
      </w:r>
      <w:r w:rsidRPr="00F30015">
        <w:rPr>
          <w:rFonts w:ascii="Tahoma" w:hAnsi="Tahoma" w:cs="Tahoma"/>
          <w:i/>
          <w:iCs/>
          <w:color w:val="000000"/>
          <w:lang w:eastAsia="el-GR"/>
        </w:rPr>
        <w:t>: «</w:t>
      </w:r>
      <w:r w:rsidRPr="00F30015">
        <w:rPr>
          <w:rFonts w:ascii="Tahoma" w:hAnsi="Tahoma" w:cs="Tahoma"/>
          <w:i/>
          <w:iCs/>
        </w:rPr>
        <w:t>Το μεγαλύτερο μέρος της αύξησης (των ΚΑΠ) ποσού ύψους 128 εκατ. ευρώ, έναντι του 2022, οφείλεται στις συνέπειες της ενεργειακής κρίσης και στις αυξημένες πληθωριστικές πιέσεις».</w:t>
      </w:r>
      <w:r w:rsidRPr="00F30015">
        <w:rPr>
          <w:rFonts w:ascii="Tahoma" w:hAnsi="Tahoma" w:cs="Tahoma"/>
        </w:rPr>
        <w:t xml:space="preserve"> </w:t>
      </w:r>
    </w:p>
    <w:p w14:paraId="18C94A22" w14:textId="77777777" w:rsidR="00F30015" w:rsidRPr="00F30015" w:rsidRDefault="00F30015" w:rsidP="00F30015">
      <w:pPr>
        <w:spacing w:before="120" w:after="120" w:line="312" w:lineRule="auto"/>
        <w:ind w:firstLine="567"/>
        <w:jc w:val="both"/>
        <w:rPr>
          <w:rFonts w:ascii="Tahoma" w:hAnsi="Tahoma" w:cs="Tahoma"/>
          <w:color w:val="000000"/>
          <w:lang w:eastAsia="el-GR"/>
        </w:rPr>
      </w:pPr>
      <w:r w:rsidRPr="00F30015">
        <w:rPr>
          <w:rFonts w:ascii="Tahoma" w:hAnsi="Tahoma" w:cs="Tahoma"/>
          <w:color w:val="000000"/>
          <w:lang w:eastAsia="el-GR"/>
        </w:rPr>
        <w:t xml:space="preserve">Ανεξάρτητα από τις ασκήσεις δημιουργικής λογιστικής το τελικό συμπέρασμα είναι ότι προβλέπεται οι Δήμοι το 2023 να μην λάβουν, ούτε ένα € αύξηση, από τον Τακτικό Προϋπολογισμό.   </w:t>
      </w:r>
    </w:p>
    <w:p w14:paraId="7D2DB65E" w14:textId="77777777" w:rsidR="00F30015" w:rsidRPr="00F30015" w:rsidRDefault="00F30015" w:rsidP="00F30015">
      <w:pPr>
        <w:spacing w:before="120" w:after="120" w:line="312" w:lineRule="auto"/>
        <w:ind w:firstLine="567"/>
        <w:jc w:val="both"/>
        <w:rPr>
          <w:rFonts w:ascii="Tahoma" w:hAnsi="Tahoma" w:cs="Tahoma"/>
          <w:color w:val="000000"/>
          <w:lang w:eastAsia="el-GR"/>
        </w:rPr>
      </w:pPr>
    </w:p>
    <w:p w14:paraId="5DBA20F1" w14:textId="77777777" w:rsidR="00F30015" w:rsidRPr="00F30015" w:rsidRDefault="00F30015" w:rsidP="00F30015">
      <w:pPr>
        <w:spacing w:before="120" w:after="120" w:line="312" w:lineRule="auto"/>
        <w:ind w:firstLine="567"/>
        <w:jc w:val="both"/>
        <w:rPr>
          <w:rFonts w:ascii="Tahoma" w:hAnsi="Tahoma" w:cs="Tahoma"/>
          <w:b/>
          <w:bCs/>
          <w:color w:val="000000"/>
          <w:lang w:eastAsia="el-GR"/>
        </w:rPr>
      </w:pPr>
      <w:r w:rsidRPr="00F30015">
        <w:rPr>
          <w:rFonts w:ascii="Tahoma" w:hAnsi="Tahoma" w:cs="Tahoma"/>
          <w:b/>
          <w:bCs/>
          <w:color w:val="000000"/>
          <w:lang w:eastAsia="el-GR"/>
        </w:rPr>
        <w:t xml:space="preserve">Η εφαρμογή του Ν. 3852/2010. </w:t>
      </w:r>
    </w:p>
    <w:p w14:paraId="488EB3DD" w14:textId="77777777" w:rsidR="00F30015" w:rsidRPr="00F30015" w:rsidRDefault="00F30015" w:rsidP="00F30015">
      <w:pPr>
        <w:spacing w:before="120" w:after="120" w:line="312" w:lineRule="auto"/>
        <w:ind w:firstLine="567"/>
        <w:jc w:val="both"/>
        <w:rPr>
          <w:rFonts w:ascii="Tahoma" w:hAnsi="Tahoma" w:cs="Tahoma"/>
        </w:rPr>
      </w:pPr>
      <w:r w:rsidRPr="00F30015">
        <w:rPr>
          <w:rFonts w:ascii="Tahoma" w:hAnsi="Tahoma" w:cs="Tahoma"/>
        </w:rPr>
        <w:t xml:space="preserve">Η κυβέρνηση πανηγυρίζει και σωστά, για το τέλος των μνημονίων και την επικείμενη επανάκτηση της επενδυτικής βαθμίδας.  Αφού τελείωσαν τα μνημόνια λογικό είναι να θεωρήσουμε ότι τελείωσαν και οι έκτακτοι </w:t>
      </w:r>
      <w:proofErr w:type="spellStart"/>
      <w:r w:rsidRPr="00F30015">
        <w:rPr>
          <w:rFonts w:ascii="Tahoma" w:hAnsi="Tahoma" w:cs="Tahoma"/>
        </w:rPr>
        <w:t>μνημονιακοί</w:t>
      </w:r>
      <w:proofErr w:type="spellEnd"/>
      <w:r w:rsidRPr="00F30015">
        <w:rPr>
          <w:rFonts w:ascii="Tahoma" w:hAnsi="Tahoma" w:cs="Tahoma"/>
        </w:rPr>
        <w:t xml:space="preserve"> νόμοι.  Ξαναγυρίζουμε στην κανονικότητα και το μόνο που ζητάμε, ως Τοπική Αυτοδιοίκηση, είναι να εφαρμοστούν οι νόμοι του Κράτους. </w:t>
      </w:r>
    </w:p>
    <w:p w14:paraId="2596F7DC" w14:textId="1FFEF7FC" w:rsidR="00F30015" w:rsidRPr="00F30015" w:rsidRDefault="00F30015" w:rsidP="00F30015">
      <w:pPr>
        <w:spacing w:before="120" w:after="120" w:line="312" w:lineRule="auto"/>
        <w:ind w:firstLine="567"/>
        <w:jc w:val="both"/>
        <w:rPr>
          <w:rFonts w:ascii="Tahoma" w:hAnsi="Tahoma" w:cs="Tahoma"/>
        </w:rPr>
      </w:pPr>
      <w:r w:rsidRPr="00F30015">
        <w:rPr>
          <w:rFonts w:ascii="Tahoma" w:hAnsi="Tahoma" w:cs="Tahoma"/>
        </w:rPr>
        <w:t xml:space="preserve">Σύμφωνα με τις προβλέψεις του Κρατικού Προϋπολογισμού 2023, τα φορολογικά έσοδα από τον ΦΠΑ αναμένεται να αυξηθούν κατά 3.433 εκατομμύρια ευρώ, ενώ τα </w:t>
      </w:r>
      <w:r w:rsidRPr="00F30015">
        <w:rPr>
          <w:rFonts w:ascii="Tahoma" w:hAnsi="Tahoma" w:cs="Tahoma"/>
        </w:rPr>
        <w:lastRenderedPageBreak/>
        <w:t xml:space="preserve">φορολογικά έσοδα από τους Φόρους Εισοδήματος αναμένεται να αυξηθούν κατά 2.424 εκατομμύρια </w:t>
      </w:r>
      <w:r w:rsidRPr="00F30015">
        <w:rPr>
          <w:rFonts w:ascii="Tahoma" w:hAnsi="Tahoma" w:cs="Tahoma"/>
        </w:rPr>
        <w:t>ευρώ</w:t>
      </w:r>
      <w:r w:rsidRPr="00F30015">
        <w:rPr>
          <w:rFonts w:ascii="Tahoma" w:hAnsi="Tahoma" w:cs="Tahoma"/>
        </w:rPr>
        <w:t>.  Η θεσμοθετημένη, από το νόμο 3852/2010, συμμετοχή της Τοπικής Αυτοδιοίκησης στην αύξηση των εσόδων του ΦΠΑ θα έπρεπε να ήταν 412 εκατ.€ και στο Φόρο Εισοδήματος 485 εκ.€.  Αντ’</w:t>
      </w:r>
      <w:r>
        <w:rPr>
          <w:rFonts w:ascii="Tahoma" w:hAnsi="Tahoma" w:cs="Tahoma"/>
        </w:rPr>
        <w:t xml:space="preserve"> </w:t>
      </w:r>
      <w:r w:rsidRPr="00F30015">
        <w:rPr>
          <w:rFonts w:ascii="Tahoma" w:hAnsi="Tahoma" w:cs="Tahoma"/>
        </w:rPr>
        <w:t xml:space="preserve">αυτού στον Κρατικό Προϋπολογισμό 2023 έχουν εγγραφεί 98 εκ.€ για τον ΦΠΑ και 23 εκ.€ για τους Φόρους Εισοδήματος. </w:t>
      </w:r>
    </w:p>
    <w:p w14:paraId="2BAF6CD8" w14:textId="77777777" w:rsidR="00F30015" w:rsidRPr="00F30015" w:rsidRDefault="00F30015" w:rsidP="00F30015">
      <w:pPr>
        <w:spacing w:before="120" w:after="120" w:line="312" w:lineRule="auto"/>
        <w:ind w:firstLine="567"/>
        <w:jc w:val="both"/>
        <w:rPr>
          <w:rFonts w:ascii="Tahoma" w:hAnsi="Tahoma" w:cs="Tahoma"/>
        </w:rPr>
      </w:pPr>
      <w:r w:rsidRPr="00F30015">
        <w:rPr>
          <w:rFonts w:ascii="Tahoma" w:hAnsi="Tahoma" w:cs="Tahoma"/>
        </w:rPr>
        <w:t xml:space="preserve">Το ερώτημα παραμένει: </w:t>
      </w:r>
    </w:p>
    <w:p w14:paraId="03EF5D9C" w14:textId="77777777" w:rsidR="00F30015" w:rsidRPr="00F30015" w:rsidRDefault="00F30015" w:rsidP="00F30015">
      <w:pPr>
        <w:spacing w:before="120" w:after="120" w:line="312" w:lineRule="auto"/>
        <w:ind w:firstLine="567"/>
        <w:jc w:val="both"/>
        <w:rPr>
          <w:rFonts w:ascii="Tahoma" w:hAnsi="Tahoma" w:cs="Tahoma"/>
        </w:rPr>
      </w:pPr>
      <w:r w:rsidRPr="00F30015">
        <w:rPr>
          <w:rFonts w:ascii="Tahoma" w:hAnsi="Tahoma" w:cs="Tahoma"/>
        </w:rPr>
        <w:t xml:space="preserve">Το τέλος των μνημονίων γιατί δεν ισχύει και για την ΤΑ; </w:t>
      </w:r>
    </w:p>
    <w:p w14:paraId="10E6D38F" w14:textId="77777777" w:rsidR="00F30015" w:rsidRPr="00F30015" w:rsidRDefault="00F30015" w:rsidP="00F30015">
      <w:pPr>
        <w:spacing w:before="120" w:after="120" w:line="312" w:lineRule="auto"/>
        <w:ind w:firstLine="567"/>
        <w:jc w:val="both"/>
        <w:rPr>
          <w:rFonts w:ascii="Tahoma" w:hAnsi="Tahoma" w:cs="Tahoma"/>
        </w:rPr>
      </w:pPr>
      <w:r w:rsidRPr="00F30015">
        <w:rPr>
          <w:rFonts w:ascii="Tahoma" w:hAnsi="Tahoma" w:cs="Tahoma"/>
        </w:rPr>
        <w:t xml:space="preserve">Θα πρέπει άμεσα να καταργηθεί  το άρθρο 44 του ν.5000/2022, που θεσπίζει ανώτατο πλαφόν 3,528 δις € στους Κεντρικούς Αυτοτελείς Πόρους (ΚΑΠ), ανεξάρτητα από τον Ν. 3852 και την εξέλιξη των φορολογικών εσόδων (Φόρος Εισοδήματος, ΦΠΑ, ΕΝΦΙΑ), που χρηματοδοτούν το καλάθι των ΚΑΠ. </w:t>
      </w:r>
    </w:p>
    <w:p w14:paraId="20D1083F" w14:textId="77777777" w:rsidR="00F30015" w:rsidRDefault="00F30015" w:rsidP="00F30015">
      <w:pPr>
        <w:spacing w:before="120" w:after="120" w:line="312" w:lineRule="auto"/>
        <w:ind w:firstLine="567"/>
        <w:jc w:val="both"/>
        <w:rPr>
          <w:rFonts w:ascii="Tahoma" w:hAnsi="Tahoma" w:cs="Tahoma"/>
          <w:b/>
          <w:bCs/>
        </w:rPr>
      </w:pPr>
    </w:p>
    <w:p w14:paraId="024EDD09" w14:textId="137C40DD" w:rsidR="00F30015" w:rsidRPr="00F30015" w:rsidRDefault="00F30015" w:rsidP="00F30015">
      <w:pPr>
        <w:spacing w:before="120" w:after="120" w:line="312" w:lineRule="auto"/>
        <w:ind w:firstLine="567"/>
        <w:jc w:val="both"/>
        <w:rPr>
          <w:rFonts w:ascii="Tahoma" w:hAnsi="Tahoma" w:cs="Tahoma"/>
          <w:b/>
          <w:bCs/>
        </w:rPr>
      </w:pPr>
      <w:r w:rsidRPr="00F30015">
        <w:rPr>
          <w:rFonts w:ascii="Tahoma" w:hAnsi="Tahoma" w:cs="Tahoma"/>
          <w:b/>
          <w:bCs/>
        </w:rPr>
        <w:t>Οι δημόσιες δεσμεύσεις της κυβέρνησης</w:t>
      </w:r>
    </w:p>
    <w:p w14:paraId="26824BB5" w14:textId="77777777" w:rsidR="00F30015" w:rsidRPr="00F30015" w:rsidRDefault="00F30015" w:rsidP="00F30015">
      <w:pPr>
        <w:spacing w:before="120" w:after="120" w:line="312" w:lineRule="auto"/>
        <w:ind w:firstLine="567"/>
        <w:jc w:val="both"/>
        <w:rPr>
          <w:rFonts w:ascii="Tahoma" w:hAnsi="Tahoma" w:cs="Tahoma"/>
        </w:rPr>
      </w:pPr>
      <w:r w:rsidRPr="00F30015">
        <w:rPr>
          <w:rFonts w:ascii="Tahoma" w:hAnsi="Tahoma" w:cs="Tahoma"/>
        </w:rPr>
        <w:t>Στο Τακτικό Συνέδριο της ΚΕΔΕ, 14-16 Οκτωβρίου 2021 στη Θεσσαλονίκη, ο τότε Αναπληρωτής Υπουργός Εσωτερικών ανέφερε:</w:t>
      </w:r>
    </w:p>
    <w:p w14:paraId="6F9F2363" w14:textId="77777777" w:rsidR="00F30015" w:rsidRPr="00F30015" w:rsidRDefault="00F30015" w:rsidP="00F30015">
      <w:pPr>
        <w:spacing w:before="120" w:after="120" w:line="312" w:lineRule="auto"/>
        <w:ind w:firstLine="567"/>
        <w:jc w:val="both"/>
        <w:rPr>
          <w:rFonts w:ascii="Tahoma" w:hAnsi="Tahoma" w:cs="Tahoma"/>
          <w:i/>
          <w:iCs/>
        </w:rPr>
      </w:pPr>
      <w:r w:rsidRPr="00F30015">
        <w:rPr>
          <w:rFonts w:ascii="Tahoma" w:hAnsi="Tahoma" w:cs="Tahoma"/>
          <w:i/>
          <w:iCs/>
        </w:rPr>
        <w:t>«..πιστεύω ότι μπορούμε να έχουμε μια αύξηση που θα φτάνει τους ΚΑΠ συνολικά και για τους Δήμους και για τις Περιφέρειες, θα πω ένα νούμερο εδώ, κοντά στα 3,2 δισεκατομμύρια ευρώ, από 2,85 περίπου που είναι σήμερα. Μιλάμε για μια αύξηση 300 – 350 εκατομμυρίων, η οποία θα είναι διαθέσιμη από 1/1/2023, μια αύξηση που εγώ υπολογίζω ότι θα είναι της τάξης περίπου του 15%, ίσως και λίγο παραπάνω.»</w:t>
      </w:r>
    </w:p>
    <w:p w14:paraId="471D8C7E" w14:textId="77777777" w:rsidR="00F30015" w:rsidRPr="00F30015" w:rsidRDefault="00F30015" w:rsidP="00F30015">
      <w:pPr>
        <w:spacing w:before="120" w:after="120" w:line="312" w:lineRule="auto"/>
        <w:ind w:firstLine="567"/>
        <w:jc w:val="both"/>
        <w:rPr>
          <w:rFonts w:ascii="Tahoma" w:hAnsi="Tahoma" w:cs="Tahoma"/>
        </w:rPr>
      </w:pPr>
      <w:r w:rsidRPr="00F30015">
        <w:rPr>
          <w:rFonts w:ascii="Tahoma" w:hAnsi="Tahoma" w:cs="Tahoma"/>
          <w:color w:val="000000"/>
          <w:lang w:eastAsia="el-GR"/>
        </w:rPr>
        <w:t xml:space="preserve">Δεσμεύτηκε μάλιστα ότι οι αποκλίσεις από το Μεσοπρόθεσμο Πλαίσιο Δημοσιονομικής Στρατηγικής θα διευθετηθούν με νομοθετική παρέμβαση.  </w:t>
      </w:r>
    </w:p>
    <w:p w14:paraId="53A39D9B" w14:textId="77777777" w:rsidR="00F30015" w:rsidRPr="00F30015" w:rsidRDefault="00F30015" w:rsidP="00F30015">
      <w:pPr>
        <w:spacing w:before="120" w:after="120" w:line="312" w:lineRule="auto"/>
        <w:ind w:firstLine="567"/>
        <w:jc w:val="both"/>
        <w:rPr>
          <w:rFonts w:ascii="Tahoma" w:hAnsi="Tahoma" w:cs="Tahoma"/>
          <w:color w:val="000000"/>
          <w:lang w:eastAsia="el-GR"/>
        </w:rPr>
      </w:pPr>
      <w:r w:rsidRPr="00F30015">
        <w:rPr>
          <w:rFonts w:ascii="Tahoma" w:hAnsi="Tahoma" w:cs="Tahoma"/>
          <w:color w:val="000000"/>
          <w:lang w:eastAsia="el-GR"/>
        </w:rPr>
        <w:t xml:space="preserve">Στην Διεθνή Έκθεση Θεσσαλονίκης ο πρωθυπουργός της χώρας κ. Μητσοτάκης αναφερόμενος στην Τοπική Αυτοδιοίκηση μίλησε για αύξηση  το 2023, ύψους 120 εκατομμυρίων ευρώ. </w:t>
      </w:r>
    </w:p>
    <w:p w14:paraId="4E8F7755" w14:textId="77777777" w:rsidR="00F718E1" w:rsidRDefault="00F718E1" w:rsidP="00F718E1">
      <w:pPr>
        <w:pStyle w:val="Web"/>
        <w:spacing w:before="120" w:beforeAutospacing="0" w:after="120" w:afterAutospacing="0" w:line="312" w:lineRule="auto"/>
        <w:jc w:val="right"/>
        <w:rPr>
          <w:rFonts w:ascii="Tahoma" w:hAnsi="Tahoma" w:cs="Tahoma"/>
          <w:i/>
          <w:iCs/>
          <w:color w:val="000000"/>
        </w:rPr>
      </w:pPr>
    </w:p>
    <w:p w14:paraId="70E1CA39" w14:textId="21591EF5" w:rsidR="00F718E1" w:rsidRPr="00F718E1" w:rsidRDefault="00A5194F" w:rsidP="00F718E1">
      <w:pPr>
        <w:pStyle w:val="Web"/>
        <w:spacing w:before="120" w:beforeAutospacing="0" w:after="120" w:afterAutospacing="0" w:line="312" w:lineRule="auto"/>
        <w:jc w:val="right"/>
        <w:rPr>
          <w:rFonts w:ascii="Tahoma" w:hAnsi="Tahoma" w:cs="Tahoma"/>
          <w:i/>
          <w:iCs/>
          <w:color w:val="000000"/>
        </w:rPr>
      </w:pPr>
      <w:r>
        <w:rPr>
          <w:rFonts w:ascii="Tahoma" w:hAnsi="Tahoma" w:cs="Tahoma"/>
          <w:i/>
          <w:iCs/>
          <w:color w:val="000000"/>
        </w:rPr>
        <w:t>Αθήνα</w:t>
      </w:r>
      <w:r w:rsidR="00F718E1" w:rsidRPr="00F718E1">
        <w:rPr>
          <w:rFonts w:ascii="Tahoma" w:hAnsi="Tahoma" w:cs="Tahoma"/>
          <w:i/>
          <w:iCs/>
          <w:color w:val="000000"/>
        </w:rPr>
        <w:t>, 1</w:t>
      </w:r>
      <w:r>
        <w:rPr>
          <w:rFonts w:ascii="Tahoma" w:hAnsi="Tahoma" w:cs="Tahoma"/>
          <w:i/>
          <w:iCs/>
          <w:color w:val="000000"/>
        </w:rPr>
        <w:t>2</w:t>
      </w:r>
      <w:r w:rsidR="00F718E1" w:rsidRPr="00F718E1">
        <w:rPr>
          <w:rFonts w:ascii="Tahoma" w:hAnsi="Tahoma" w:cs="Tahoma"/>
          <w:i/>
          <w:iCs/>
          <w:color w:val="000000"/>
        </w:rPr>
        <w:t xml:space="preserve"> </w:t>
      </w:r>
      <w:r>
        <w:rPr>
          <w:rFonts w:ascii="Tahoma" w:hAnsi="Tahoma" w:cs="Tahoma"/>
          <w:i/>
          <w:iCs/>
          <w:color w:val="000000"/>
        </w:rPr>
        <w:t xml:space="preserve">Ιουλίου </w:t>
      </w:r>
      <w:r w:rsidR="00F718E1" w:rsidRPr="00F718E1">
        <w:rPr>
          <w:rFonts w:ascii="Tahoma" w:hAnsi="Tahoma" w:cs="Tahoma"/>
          <w:i/>
          <w:iCs/>
          <w:color w:val="000000"/>
        </w:rPr>
        <w:t>202</w:t>
      </w:r>
      <w:r>
        <w:rPr>
          <w:rFonts w:ascii="Tahoma" w:hAnsi="Tahoma" w:cs="Tahoma"/>
          <w:i/>
          <w:iCs/>
          <w:color w:val="000000"/>
        </w:rPr>
        <w:t>3</w:t>
      </w:r>
      <w:r w:rsidR="00F718E1" w:rsidRPr="00F718E1">
        <w:rPr>
          <w:rFonts w:ascii="Tahoma" w:hAnsi="Tahoma" w:cs="Tahoma"/>
          <w:i/>
          <w:iCs/>
          <w:color w:val="000000"/>
        </w:rPr>
        <w:t xml:space="preserve"> </w:t>
      </w:r>
    </w:p>
    <w:p w14:paraId="2117DE73" w14:textId="77777777" w:rsidR="00F718E1" w:rsidRPr="00F718E1" w:rsidRDefault="00F718E1" w:rsidP="00F718E1">
      <w:pPr>
        <w:pStyle w:val="Web"/>
        <w:spacing w:before="120" w:beforeAutospacing="0" w:after="120" w:afterAutospacing="0" w:line="312" w:lineRule="auto"/>
        <w:jc w:val="both"/>
        <w:rPr>
          <w:rFonts w:ascii="Tahoma" w:hAnsi="Tahoma" w:cs="Tahoma"/>
          <w:color w:val="000000"/>
        </w:rPr>
      </w:pPr>
    </w:p>
    <w:sectPr w:rsidR="00F718E1" w:rsidRPr="00F718E1" w:rsidSect="000A6123">
      <w:footerReference w:type="even" r:id="rId9"/>
      <w:footerReference w:type="default" r:id="rId10"/>
      <w:footerReference w:type="first" r:id="rId11"/>
      <w:pgSz w:w="11900" w:h="16840"/>
      <w:pgMar w:top="851" w:right="1127" w:bottom="1135"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C640B" w14:textId="77777777" w:rsidR="00200B1B" w:rsidRDefault="00200B1B" w:rsidP="00A56C3F">
      <w:r>
        <w:separator/>
      </w:r>
    </w:p>
  </w:endnote>
  <w:endnote w:type="continuationSeparator" w:id="0">
    <w:p w14:paraId="0664DE64" w14:textId="77777777" w:rsidR="00200B1B" w:rsidRDefault="00200B1B" w:rsidP="00A5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Wide Lati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D6BF0" w14:textId="77777777" w:rsidR="004056D2" w:rsidRDefault="00DD75D7" w:rsidP="00A72488">
    <w:pPr>
      <w:pStyle w:val="a5"/>
      <w:framePr w:wrap="around" w:vAnchor="text" w:hAnchor="margin" w:xAlign="right" w:y="1"/>
      <w:rPr>
        <w:rStyle w:val="a8"/>
      </w:rPr>
    </w:pPr>
    <w:r>
      <w:rPr>
        <w:rStyle w:val="a8"/>
      </w:rPr>
      <w:fldChar w:fldCharType="begin"/>
    </w:r>
    <w:r w:rsidR="004056D2">
      <w:rPr>
        <w:rStyle w:val="a8"/>
      </w:rPr>
      <w:instrText xml:space="preserve">PAGE  </w:instrText>
    </w:r>
    <w:r>
      <w:rPr>
        <w:rStyle w:val="a8"/>
      </w:rPr>
      <w:fldChar w:fldCharType="end"/>
    </w:r>
  </w:p>
  <w:p w14:paraId="57B28EFB" w14:textId="77777777" w:rsidR="004056D2" w:rsidRDefault="004056D2" w:rsidP="004056D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8397" w14:textId="77777777" w:rsidR="002F5F1D" w:rsidRPr="002F5F1D" w:rsidRDefault="002F5F1D" w:rsidP="002F5F1D">
    <w:pPr>
      <w:pBdr>
        <w:bottom w:val="single" w:sz="4" w:space="1" w:color="auto"/>
      </w:pBdr>
      <w:spacing w:after="120"/>
      <w:ind w:right="-688"/>
      <w:rPr>
        <w:rFonts w:ascii="Trebuchet MS" w:hAnsi="Trebuchet MS"/>
        <w:lang w:val="en-US"/>
      </w:rPr>
    </w:pPr>
  </w:p>
  <w:p w14:paraId="617EFA51" w14:textId="77777777" w:rsidR="004056D2" w:rsidRPr="002F5F1D" w:rsidRDefault="002F5F1D" w:rsidP="002F5F1D">
    <w:pPr>
      <w:ind w:left="-720" w:right="-868"/>
      <w:jc w:val="center"/>
      <w:rPr>
        <w:rFonts w:ascii="Tahoma" w:hAnsi="Tahoma" w:cs="Tahoma"/>
      </w:rPr>
    </w:pPr>
    <w:r w:rsidRPr="00750A00">
      <w:rPr>
        <w:rFonts w:ascii="Trebuchet MS" w:hAnsi="Trebuchet MS" w:cs="Arial"/>
        <w:color w:val="000000"/>
        <w:sz w:val="16"/>
        <w:szCs w:val="16"/>
      </w:rPr>
      <w:t xml:space="preserve">ΓΕΝΝΑΔΙΟΥ 8 &amp; ΑΚΑΔΗΜΙΑΣ 106 78 ΑΘΗΝΑ – ΤΗΛ: 2132147500, </w:t>
    </w:r>
    <w:r w:rsidRPr="00750A00">
      <w:rPr>
        <w:rFonts w:ascii="Trebuchet MS" w:hAnsi="Trebuchet MS" w:cs="Arial"/>
        <w:color w:val="000000"/>
        <w:sz w:val="16"/>
        <w:szCs w:val="16"/>
        <w:lang w:val="en-US"/>
      </w:rPr>
      <w:t>FAX</w:t>
    </w:r>
    <w:r w:rsidRPr="00BE20BD">
      <w:rPr>
        <w:rFonts w:ascii="Trebuchet MS" w:hAnsi="Trebuchet MS" w:cs="Arial"/>
        <w:color w:val="000000"/>
        <w:sz w:val="16"/>
        <w:szCs w:val="16"/>
      </w:rPr>
      <w:t xml:space="preserve">: </w:t>
    </w:r>
    <w:r w:rsidRPr="00750A00">
      <w:rPr>
        <w:rFonts w:ascii="Trebuchet MS" w:hAnsi="Trebuchet MS" w:cs="Arial"/>
        <w:color w:val="000000"/>
        <w:sz w:val="16"/>
        <w:szCs w:val="16"/>
      </w:rPr>
      <w:t>210 3820807</w:t>
    </w:r>
    <w:r w:rsidR="00F96E84">
      <w:rPr>
        <w:rFonts w:ascii="Trebuchet MS" w:hAnsi="Trebuchet MS" w:cs="Arial"/>
        <w:color w:val="000000"/>
        <w:sz w:val="16"/>
        <w:szCs w:val="16"/>
      </w:rPr>
      <w:t xml:space="preserve"> </w:t>
    </w:r>
    <w:r w:rsidRPr="00750A00">
      <w:rPr>
        <w:rFonts w:ascii="Trebuchet MS" w:hAnsi="Trebuchet MS" w:cs="Arial"/>
        <w:color w:val="000000"/>
        <w:sz w:val="16"/>
        <w:szCs w:val="16"/>
        <w:lang w:val="en-US"/>
      </w:rPr>
      <w:t>Web</w:t>
    </w:r>
    <w:r w:rsidRPr="00BE20BD">
      <w:rPr>
        <w:rFonts w:ascii="Trebuchet MS" w:hAnsi="Trebuchet MS" w:cs="Arial"/>
        <w:color w:val="000000"/>
        <w:sz w:val="16"/>
        <w:szCs w:val="16"/>
      </w:rPr>
      <w:t xml:space="preserve">: </w:t>
    </w:r>
    <w:r w:rsidRPr="002F5F1D">
      <w:rPr>
        <w:rFonts w:ascii="Trebuchet MS" w:hAnsi="Trebuchet MS" w:cs="Arial"/>
        <w:sz w:val="16"/>
        <w:szCs w:val="16"/>
        <w:lang w:val="en-US"/>
      </w:rPr>
      <w:t>www</w:t>
    </w:r>
    <w:r w:rsidRPr="002F5F1D">
      <w:rPr>
        <w:rFonts w:ascii="Trebuchet MS" w:hAnsi="Trebuchet MS" w:cs="Arial"/>
        <w:sz w:val="16"/>
        <w:szCs w:val="16"/>
      </w:rPr>
      <w:t>.</w:t>
    </w:r>
    <w:proofErr w:type="spellStart"/>
    <w:r w:rsidRPr="002F5F1D">
      <w:rPr>
        <w:rFonts w:ascii="Trebuchet MS" w:hAnsi="Trebuchet MS" w:cs="Arial"/>
        <w:sz w:val="16"/>
        <w:szCs w:val="16"/>
        <w:lang w:val="en-US"/>
      </w:rPr>
      <w:t>kedke</w:t>
    </w:r>
    <w:proofErr w:type="spellEnd"/>
    <w:r w:rsidRPr="002F5F1D">
      <w:rPr>
        <w:rFonts w:ascii="Trebuchet MS" w:hAnsi="Trebuchet MS" w:cs="Arial"/>
        <w:sz w:val="16"/>
        <w:szCs w:val="16"/>
      </w:rPr>
      <w:t>.</w:t>
    </w:r>
    <w:r w:rsidRPr="002F5F1D">
      <w:rPr>
        <w:rFonts w:ascii="Trebuchet MS" w:hAnsi="Trebuchet MS" w:cs="Arial"/>
        <w:sz w:val="16"/>
        <w:szCs w:val="16"/>
        <w:lang w:val="en-US"/>
      </w:rPr>
      <w:t>gr</w:t>
    </w:r>
    <w:r w:rsidR="00F96E84">
      <w:rPr>
        <w:rFonts w:ascii="Trebuchet MS" w:hAnsi="Trebuchet MS" w:cs="Arial"/>
        <w:color w:val="000000"/>
        <w:sz w:val="16"/>
        <w:szCs w:val="16"/>
      </w:rPr>
      <w:t xml:space="preserve"> </w:t>
    </w:r>
    <w:r w:rsidRPr="00750A00">
      <w:rPr>
        <w:rFonts w:ascii="Trebuchet MS" w:hAnsi="Trebuchet MS" w:cs="Arial"/>
        <w:color w:val="000000"/>
        <w:sz w:val="16"/>
        <w:szCs w:val="16"/>
        <w:lang w:val="en-US"/>
      </w:rPr>
      <w:t>E</w:t>
    </w:r>
    <w:r w:rsidRPr="00BE20BD">
      <w:rPr>
        <w:rFonts w:ascii="Trebuchet MS" w:hAnsi="Trebuchet MS" w:cs="Arial"/>
        <w:color w:val="000000"/>
        <w:sz w:val="16"/>
        <w:szCs w:val="16"/>
      </w:rPr>
      <w:t>-</w:t>
    </w:r>
    <w:r w:rsidRPr="00750A00">
      <w:rPr>
        <w:rFonts w:ascii="Trebuchet MS" w:hAnsi="Trebuchet MS" w:cs="Arial"/>
        <w:color w:val="000000"/>
        <w:sz w:val="16"/>
        <w:szCs w:val="16"/>
        <w:lang w:val="en-US"/>
      </w:rPr>
      <w:t>mail</w:t>
    </w:r>
    <w:r w:rsidRPr="00BE20BD">
      <w:rPr>
        <w:rFonts w:ascii="Trebuchet MS" w:hAnsi="Trebuchet MS" w:cs="Arial"/>
        <w:color w:val="000000"/>
        <w:sz w:val="16"/>
        <w:szCs w:val="16"/>
      </w:rPr>
      <w:t xml:space="preserve">: </w:t>
    </w:r>
    <w:r w:rsidRPr="002F5F1D">
      <w:rPr>
        <w:rFonts w:ascii="Trebuchet MS" w:hAnsi="Trebuchet MS" w:cs="Arial"/>
        <w:sz w:val="16"/>
        <w:szCs w:val="16"/>
        <w:lang w:val="en-US"/>
      </w:rPr>
      <w:t>info</w:t>
    </w:r>
    <w:r w:rsidRPr="002F5F1D">
      <w:rPr>
        <w:rFonts w:ascii="Trebuchet MS" w:hAnsi="Trebuchet MS" w:cs="Arial"/>
        <w:sz w:val="16"/>
        <w:szCs w:val="16"/>
      </w:rPr>
      <w:t>@</w:t>
    </w:r>
    <w:proofErr w:type="spellStart"/>
    <w:r w:rsidRPr="002F5F1D">
      <w:rPr>
        <w:rFonts w:ascii="Trebuchet MS" w:hAnsi="Trebuchet MS" w:cs="Arial"/>
        <w:sz w:val="16"/>
        <w:szCs w:val="16"/>
        <w:lang w:val="en-US"/>
      </w:rPr>
      <w:t>kedke</w:t>
    </w:r>
    <w:proofErr w:type="spellEnd"/>
    <w:r w:rsidRPr="002F5F1D">
      <w:rPr>
        <w:rFonts w:ascii="Trebuchet MS" w:hAnsi="Trebuchet MS" w:cs="Arial"/>
        <w:sz w:val="16"/>
        <w:szCs w:val="16"/>
      </w:rPr>
      <w:t>.</w:t>
    </w:r>
    <w:r w:rsidRPr="002F5F1D">
      <w:rPr>
        <w:rFonts w:ascii="Trebuchet MS" w:hAnsi="Trebuchet MS" w:cs="Arial"/>
        <w:sz w:val="16"/>
        <w:szCs w:val="16"/>
        <w:lang w:val="en-US"/>
      </w:rPr>
      <w:t>gr</w:t>
    </w:r>
  </w:p>
  <w:p w14:paraId="5F55D3AF" w14:textId="77777777" w:rsidR="004056D2" w:rsidRDefault="004056D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E4D0" w14:textId="77777777" w:rsidR="002F5F1D" w:rsidRPr="002F5F1D" w:rsidRDefault="002F5F1D" w:rsidP="002F5F1D">
    <w:pPr>
      <w:pBdr>
        <w:bottom w:val="single" w:sz="4" w:space="1" w:color="auto"/>
      </w:pBdr>
      <w:spacing w:after="120"/>
      <w:ind w:right="-688"/>
      <w:rPr>
        <w:rFonts w:ascii="Trebuchet MS" w:hAnsi="Trebuchet MS"/>
        <w:lang w:val="en-US"/>
      </w:rPr>
    </w:pPr>
  </w:p>
  <w:p w14:paraId="0469E3E5" w14:textId="77777777" w:rsidR="002F5F1D" w:rsidRPr="00077D37" w:rsidRDefault="002F5F1D" w:rsidP="002F5F1D">
    <w:pPr>
      <w:ind w:left="-720" w:right="-868"/>
      <w:jc w:val="center"/>
      <w:rPr>
        <w:rFonts w:ascii="Calibri" w:hAnsi="Calibri" w:cs="Calibri"/>
      </w:rPr>
    </w:pPr>
    <w:r w:rsidRPr="00077D37">
      <w:rPr>
        <w:rFonts w:ascii="Calibri" w:hAnsi="Calibri" w:cs="Calibri"/>
        <w:color w:val="000000"/>
        <w:sz w:val="16"/>
        <w:szCs w:val="16"/>
      </w:rPr>
      <w:t xml:space="preserve">ΓΕΝΝΑΔΙΟΥ 8 &amp; ΑΚΑΔΗΜΙΑΣ 106 78 ΑΘΗΝΑ – ΤΗΛ: 2132147500, </w:t>
    </w:r>
    <w:r w:rsidRPr="00077D37">
      <w:rPr>
        <w:rFonts w:ascii="Calibri" w:hAnsi="Calibri" w:cs="Calibri"/>
        <w:color w:val="000000"/>
        <w:sz w:val="16"/>
        <w:szCs w:val="16"/>
        <w:lang w:val="en-US"/>
      </w:rPr>
      <w:t>FAX</w:t>
    </w:r>
    <w:r w:rsidRPr="00077D37">
      <w:rPr>
        <w:rFonts w:ascii="Calibri" w:hAnsi="Calibri" w:cs="Calibri"/>
        <w:color w:val="000000"/>
        <w:sz w:val="16"/>
        <w:szCs w:val="16"/>
      </w:rPr>
      <w:t>: 210 3820807</w:t>
    </w:r>
    <w:r w:rsidR="00F96E84">
      <w:rPr>
        <w:rFonts w:ascii="Calibri" w:hAnsi="Calibri" w:cs="Calibri"/>
        <w:color w:val="000000"/>
        <w:sz w:val="16"/>
        <w:szCs w:val="16"/>
      </w:rPr>
      <w:t xml:space="preserve"> </w:t>
    </w:r>
    <w:r w:rsidRPr="00077D37">
      <w:rPr>
        <w:rFonts w:ascii="Calibri" w:hAnsi="Calibri" w:cs="Calibri"/>
        <w:color w:val="000000"/>
        <w:sz w:val="16"/>
        <w:szCs w:val="16"/>
        <w:lang w:val="en-US"/>
      </w:rPr>
      <w:t>Web</w:t>
    </w:r>
    <w:r w:rsidRPr="00077D37">
      <w:rPr>
        <w:rFonts w:ascii="Calibri" w:hAnsi="Calibri" w:cs="Calibri"/>
        <w:color w:val="000000"/>
        <w:sz w:val="16"/>
        <w:szCs w:val="16"/>
      </w:rPr>
      <w:t xml:space="preserve">: </w:t>
    </w:r>
    <w:r w:rsidRPr="00077D37">
      <w:rPr>
        <w:rFonts w:ascii="Calibri" w:hAnsi="Calibri" w:cs="Calibri"/>
        <w:sz w:val="16"/>
        <w:szCs w:val="16"/>
        <w:lang w:val="en-US"/>
      </w:rPr>
      <w:t>www</w:t>
    </w:r>
    <w:r w:rsidRPr="00077D37">
      <w:rPr>
        <w:rFonts w:ascii="Calibri" w:hAnsi="Calibri" w:cs="Calibri"/>
        <w:sz w:val="16"/>
        <w:szCs w:val="16"/>
      </w:rPr>
      <w:t>.</w:t>
    </w:r>
    <w:proofErr w:type="spellStart"/>
    <w:r w:rsidRPr="00077D37">
      <w:rPr>
        <w:rFonts w:ascii="Calibri" w:hAnsi="Calibri" w:cs="Calibri"/>
        <w:sz w:val="16"/>
        <w:szCs w:val="16"/>
        <w:lang w:val="en-US"/>
      </w:rPr>
      <w:t>kedke</w:t>
    </w:r>
    <w:proofErr w:type="spellEnd"/>
    <w:r w:rsidRPr="00077D37">
      <w:rPr>
        <w:rFonts w:ascii="Calibri" w:hAnsi="Calibri" w:cs="Calibri"/>
        <w:sz w:val="16"/>
        <w:szCs w:val="16"/>
      </w:rPr>
      <w:t>.</w:t>
    </w:r>
    <w:r w:rsidRPr="00077D37">
      <w:rPr>
        <w:rFonts w:ascii="Calibri" w:hAnsi="Calibri" w:cs="Calibri"/>
        <w:sz w:val="16"/>
        <w:szCs w:val="16"/>
        <w:lang w:val="en-US"/>
      </w:rPr>
      <w:t>gr</w:t>
    </w:r>
    <w:r w:rsidR="00F96E84">
      <w:rPr>
        <w:rFonts w:ascii="Calibri" w:hAnsi="Calibri" w:cs="Calibri"/>
        <w:color w:val="000000"/>
        <w:sz w:val="16"/>
        <w:szCs w:val="16"/>
      </w:rPr>
      <w:t xml:space="preserve"> </w:t>
    </w:r>
    <w:r w:rsidRPr="00077D37">
      <w:rPr>
        <w:rFonts w:ascii="Calibri" w:hAnsi="Calibri" w:cs="Calibri"/>
        <w:color w:val="000000"/>
        <w:sz w:val="16"/>
        <w:szCs w:val="16"/>
        <w:lang w:val="en-US"/>
      </w:rPr>
      <w:t>E</w:t>
    </w:r>
    <w:r w:rsidRPr="00077D37">
      <w:rPr>
        <w:rFonts w:ascii="Calibri" w:hAnsi="Calibri" w:cs="Calibri"/>
        <w:color w:val="000000"/>
        <w:sz w:val="16"/>
        <w:szCs w:val="16"/>
      </w:rPr>
      <w:t>-</w:t>
    </w:r>
    <w:r w:rsidRPr="00077D37">
      <w:rPr>
        <w:rFonts w:ascii="Calibri" w:hAnsi="Calibri" w:cs="Calibri"/>
        <w:color w:val="000000"/>
        <w:sz w:val="16"/>
        <w:szCs w:val="16"/>
        <w:lang w:val="en-US"/>
      </w:rPr>
      <w:t>mail</w:t>
    </w:r>
    <w:r w:rsidRPr="00077D37">
      <w:rPr>
        <w:rFonts w:ascii="Calibri" w:hAnsi="Calibri" w:cs="Calibri"/>
        <w:color w:val="000000"/>
        <w:sz w:val="16"/>
        <w:szCs w:val="16"/>
      </w:rPr>
      <w:t xml:space="preserve">: </w:t>
    </w:r>
    <w:r w:rsidRPr="00077D37">
      <w:rPr>
        <w:rFonts w:ascii="Calibri" w:hAnsi="Calibri" w:cs="Calibri"/>
        <w:sz w:val="16"/>
        <w:szCs w:val="16"/>
        <w:lang w:val="en-US"/>
      </w:rPr>
      <w:t>info</w:t>
    </w:r>
    <w:r w:rsidRPr="00077D37">
      <w:rPr>
        <w:rFonts w:ascii="Calibri" w:hAnsi="Calibri" w:cs="Calibri"/>
        <w:sz w:val="16"/>
        <w:szCs w:val="16"/>
      </w:rPr>
      <w:t>@</w:t>
    </w:r>
    <w:proofErr w:type="spellStart"/>
    <w:r w:rsidRPr="00077D37">
      <w:rPr>
        <w:rFonts w:ascii="Calibri" w:hAnsi="Calibri" w:cs="Calibri"/>
        <w:sz w:val="16"/>
        <w:szCs w:val="16"/>
        <w:lang w:val="en-US"/>
      </w:rPr>
      <w:t>kedke</w:t>
    </w:r>
    <w:proofErr w:type="spellEnd"/>
    <w:r w:rsidRPr="00077D37">
      <w:rPr>
        <w:rFonts w:ascii="Calibri" w:hAnsi="Calibri" w:cs="Calibri"/>
        <w:sz w:val="16"/>
        <w:szCs w:val="16"/>
      </w:rPr>
      <w:t>.</w:t>
    </w:r>
    <w:r w:rsidRPr="00077D37">
      <w:rPr>
        <w:rFonts w:ascii="Calibri" w:hAnsi="Calibri" w:cs="Calibri"/>
        <w:sz w:val="16"/>
        <w:szCs w:val="16"/>
        <w:lang w:val="en-US"/>
      </w:rPr>
      <w:t>gr</w:t>
    </w:r>
  </w:p>
  <w:p w14:paraId="6D58840F" w14:textId="77777777" w:rsidR="002F5F1D" w:rsidRPr="00077D37" w:rsidRDefault="002F5F1D">
    <w:pPr>
      <w:pStyle w:val="a5"/>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1BAEE" w14:textId="77777777" w:rsidR="00200B1B" w:rsidRDefault="00200B1B" w:rsidP="00A56C3F">
      <w:r>
        <w:separator/>
      </w:r>
    </w:p>
  </w:footnote>
  <w:footnote w:type="continuationSeparator" w:id="0">
    <w:p w14:paraId="220F61DE" w14:textId="77777777" w:rsidR="00200B1B" w:rsidRDefault="00200B1B" w:rsidP="00A56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1DD"/>
    <w:multiLevelType w:val="hybridMultilevel"/>
    <w:tmpl w:val="37F2C9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CB07EF"/>
    <w:multiLevelType w:val="multilevel"/>
    <w:tmpl w:val="FBDCB51A"/>
    <w:lvl w:ilvl="0">
      <w:numFmt w:val="bullet"/>
      <w:lvlText w:val="-"/>
      <w:lvlJc w:val="left"/>
      <w:pPr>
        <w:tabs>
          <w:tab w:val="num" w:pos="240"/>
        </w:tabs>
        <w:ind w:left="240" w:hanging="240"/>
      </w:pPr>
      <w:rPr>
        <w:rFonts w:ascii="Arial" w:eastAsia="Arial" w:hAnsi="Arial" w:cs="Arial"/>
        <w:color w:val="000000"/>
        <w:position w:val="0"/>
        <w:sz w:val="22"/>
        <w:szCs w:val="22"/>
      </w:rPr>
    </w:lvl>
    <w:lvl w:ilvl="1">
      <w:start w:val="1"/>
      <w:numFmt w:val="bullet"/>
      <w:lvlText w:val="o"/>
      <w:lvlJc w:val="left"/>
      <w:pPr>
        <w:tabs>
          <w:tab w:val="num" w:pos="1156"/>
        </w:tabs>
        <w:ind w:left="1156" w:hanging="360"/>
      </w:pPr>
      <w:rPr>
        <w:rFonts w:ascii="Arial" w:eastAsia="Arial" w:hAnsi="Arial" w:cs="Arial"/>
        <w:color w:val="000000"/>
        <w:position w:val="0"/>
        <w:sz w:val="24"/>
        <w:szCs w:val="24"/>
      </w:rPr>
    </w:lvl>
    <w:lvl w:ilvl="2">
      <w:start w:val="1"/>
      <w:numFmt w:val="bullet"/>
      <w:lvlText w:val="▪"/>
      <w:lvlJc w:val="left"/>
      <w:pPr>
        <w:tabs>
          <w:tab w:val="num" w:pos="1876"/>
        </w:tabs>
        <w:ind w:left="1876" w:hanging="360"/>
      </w:pPr>
      <w:rPr>
        <w:rFonts w:ascii="Arial" w:eastAsia="Arial" w:hAnsi="Arial" w:cs="Arial"/>
        <w:color w:val="000000"/>
        <w:position w:val="0"/>
        <w:sz w:val="24"/>
        <w:szCs w:val="24"/>
      </w:rPr>
    </w:lvl>
    <w:lvl w:ilvl="3">
      <w:start w:val="1"/>
      <w:numFmt w:val="bullet"/>
      <w:lvlText w:val="•"/>
      <w:lvlJc w:val="left"/>
      <w:pPr>
        <w:tabs>
          <w:tab w:val="num" w:pos="2596"/>
        </w:tabs>
        <w:ind w:left="2596" w:hanging="360"/>
      </w:pPr>
      <w:rPr>
        <w:rFonts w:ascii="Arial" w:eastAsia="Arial" w:hAnsi="Arial" w:cs="Arial"/>
        <w:color w:val="000000"/>
        <w:position w:val="0"/>
        <w:sz w:val="24"/>
        <w:szCs w:val="24"/>
      </w:rPr>
    </w:lvl>
    <w:lvl w:ilvl="4">
      <w:start w:val="1"/>
      <w:numFmt w:val="bullet"/>
      <w:lvlText w:val="o"/>
      <w:lvlJc w:val="left"/>
      <w:pPr>
        <w:tabs>
          <w:tab w:val="num" w:pos="3316"/>
        </w:tabs>
        <w:ind w:left="3316" w:hanging="360"/>
      </w:pPr>
      <w:rPr>
        <w:rFonts w:ascii="Arial" w:eastAsia="Arial" w:hAnsi="Arial" w:cs="Arial"/>
        <w:color w:val="000000"/>
        <w:position w:val="0"/>
        <w:sz w:val="24"/>
        <w:szCs w:val="24"/>
      </w:rPr>
    </w:lvl>
    <w:lvl w:ilvl="5">
      <w:start w:val="1"/>
      <w:numFmt w:val="bullet"/>
      <w:lvlText w:val="▪"/>
      <w:lvlJc w:val="left"/>
      <w:pPr>
        <w:tabs>
          <w:tab w:val="num" w:pos="4036"/>
        </w:tabs>
        <w:ind w:left="4036" w:hanging="360"/>
      </w:pPr>
      <w:rPr>
        <w:rFonts w:ascii="Arial" w:eastAsia="Arial" w:hAnsi="Arial" w:cs="Arial"/>
        <w:color w:val="000000"/>
        <w:position w:val="0"/>
        <w:sz w:val="24"/>
        <w:szCs w:val="24"/>
      </w:rPr>
    </w:lvl>
    <w:lvl w:ilvl="6">
      <w:start w:val="1"/>
      <w:numFmt w:val="bullet"/>
      <w:lvlText w:val="•"/>
      <w:lvlJc w:val="left"/>
      <w:pPr>
        <w:tabs>
          <w:tab w:val="num" w:pos="4756"/>
        </w:tabs>
        <w:ind w:left="4756" w:hanging="360"/>
      </w:pPr>
      <w:rPr>
        <w:rFonts w:ascii="Arial" w:eastAsia="Arial" w:hAnsi="Arial" w:cs="Arial"/>
        <w:color w:val="000000"/>
        <w:position w:val="0"/>
        <w:sz w:val="24"/>
        <w:szCs w:val="24"/>
      </w:rPr>
    </w:lvl>
    <w:lvl w:ilvl="7">
      <w:start w:val="1"/>
      <w:numFmt w:val="bullet"/>
      <w:lvlText w:val="o"/>
      <w:lvlJc w:val="left"/>
      <w:pPr>
        <w:tabs>
          <w:tab w:val="num" w:pos="5476"/>
        </w:tabs>
        <w:ind w:left="5476" w:hanging="360"/>
      </w:pPr>
      <w:rPr>
        <w:rFonts w:ascii="Arial" w:eastAsia="Arial" w:hAnsi="Arial" w:cs="Arial"/>
        <w:color w:val="000000"/>
        <w:position w:val="0"/>
        <w:sz w:val="24"/>
        <w:szCs w:val="24"/>
      </w:rPr>
    </w:lvl>
    <w:lvl w:ilvl="8">
      <w:start w:val="1"/>
      <w:numFmt w:val="bullet"/>
      <w:lvlText w:val="▪"/>
      <w:lvlJc w:val="left"/>
      <w:pPr>
        <w:tabs>
          <w:tab w:val="num" w:pos="6196"/>
        </w:tabs>
        <w:ind w:left="6196" w:hanging="360"/>
      </w:pPr>
      <w:rPr>
        <w:rFonts w:ascii="Arial" w:eastAsia="Arial" w:hAnsi="Arial" w:cs="Arial"/>
        <w:color w:val="000000"/>
        <w:position w:val="0"/>
        <w:sz w:val="24"/>
        <w:szCs w:val="24"/>
      </w:rPr>
    </w:lvl>
  </w:abstractNum>
  <w:abstractNum w:abstractNumId="2" w15:restartNumberingAfterBreak="0">
    <w:nsid w:val="06965EDD"/>
    <w:multiLevelType w:val="hybridMultilevel"/>
    <w:tmpl w:val="F9F8297E"/>
    <w:lvl w:ilvl="0" w:tplc="906600C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863DE3"/>
    <w:multiLevelType w:val="hybridMultilevel"/>
    <w:tmpl w:val="94E0DE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B6C662F"/>
    <w:multiLevelType w:val="hybridMultilevel"/>
    <w:tmpl w:val="66A41AB8"/>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55A6577"/>
    <w:multiLevelType w:val="hybridMultilevel"/>
    <w:tmpl w:val="D67278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B426DB7"/>
    <w:multiLevelType w:val="hybridMultilevel"/>
    <w:tmpl w:val="FBAA3E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F1D1B33"/>
    <w:multiLevelType w:val="multilevel"/>
    <w:tmpl w:val="448E637E"/>
    <w:styleLink w:val="31"/>
    <w:lvl w:ilvl="0">
      <w:start w:val="1"/>
      <w:numFmt w:val="decimal"/>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8" w15:restartNumberingAfterBreak="0">
    <w:nsid w:val="32744511"/>
    <w:multiLevelType w:val="hybridMultilevel"/>
    <w:tmpl w:val="9FF610E2"/>
    <w:lvl w:ilvl="0" w:tplc="425AEAF0">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B065A"/>
    <w:multiLevelType w:val="hybridMultilevel"/>
    <w:tmpl w:val="9FD419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A546E18"/>
    <w:multiLevelType w:val="hybridMultilevel"/>
    <w:tmpl w:val="0680DDDE"/>
    <w:lvl w:ilvl="0" w:tplc="34BA3DB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3EB55442"/>
    <w:multiLevelType w:val="hybridMultilevel"/>
    <w:tmpl w:val="72EA175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3D1387"/>
    <w:multiLevelType w:val="hybridMultilevel"/>
    <w:tmpl w:val="BAF2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4F80E71"/>
    <w:multiLevelType w:val="hybridMultilevel"/>
    <w:tmpl w:val="4E50C6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5B746B2"/>
    <w:multiLevelType w:val="hybridMultilevel"/>
    <w:tmpl w:val="D9AA0D3E"/>
    <w:lvl w:ilvl="0" w:tplc="A95EF310">
      <w:start w:val="1"/>
      <w:numFmt w:val="decimal"/>
      <w:lvlText w:val="%1."/>
      <w:lvlJc w:val="left"/>
      <w:pPr>
        <w:ind w:left="360" w:hanging="360"/>
      </w:pPr>
      <w:rPr>
        <w:rFonts w:hint="default"/>
        <w:b/>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4C4773A8"/>
    <w:multiLevelType w:val="hybridMultilevel"/>
    <w:tmpl w:val="916418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4E91443D"/>
    <w:multiLevelType w:val="hybridMultilevel"/>
    <w:tmpl w:val="A8A67ADC"/>
    <w:lvl w:ilvl="0" w:tplc="874032AE">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2CB6C76"/>
    <w:multiLevelType w:val="multilevel"/>
    <w:tmpl w:val="8C8E8736"/>
    <w:lvl w:ilvl="0">
      <w:numFmt w:val="bullet"/>
      <w:lvlText w:val="-"/>
      <w:lvlJc w:val="left"/>
      <w:rPr>
        <w:rFonts w:ascii="Arial" w:eastAsia="Arial" w:hAnsi="Arial" w:cs="Arial"/>
        <w:b/>
        <w:bCs/>
        <w:color w:val="000000"/>
        <w:position w:val="0"/>
      </w:rPr>
    </w:lvl>
    <w:lvl w:ilvl="1">
      <w:start w:val="1"/>
      <w:numFmt w:val="bullet"/>
      <w:lvlText w:val="o"/>
      <w:lvlJc w:val="left"/>
      <w:rPr>
        <w:rFonts w:ascii="Arial" w:eastAsia="Arial" w:hAnsi="Arial" w:cs="Arial"/>
        <w:b/>
        <w:bCs/>
        <w:color w:val="000000"/>
        <w:position w:val="0"/>
      </w:rPr>
    </w:lvl>
    <w:lvl w:ilvl="2">
      <w:start w:val="1"/>
      <w:numFmt w:val="bullet"/>
      <w:lvlText w:val="▪"/>
      <w:lvlJc w:val="left"/>
      <w:rPr>
        <w:rFonts w:ascii="Arial" w:eastAsia="Arial" w:hAnsi="Arial" w:cs="Arial"/>
        <w:b/>
        <w:bCs/>
        <w:color w:val="000000"/>
        <w:position w:val="0"/>
      </w:rPr>
    </w:lvl>
    <w:lvl w:ilvl="3">
      <w:start w:val="1"/>
      <w:numFmt w:val="bullet"/>
      <w:lvlText w:val="•"/>
      <w:lvlJc w:val="left"/>
      <w:rPr>
        <w:rFonts w:ascii="Arial" w:eastAsia="Arial" w:hAnsi="Arial" w:cs="Arial"/>
        <w:b/>
        <w:bCs/>
        <w:color w:val="000000"/>
        <w:position w:val="0"/>
      </w:rPr>
    </w:lvl>
    <w:lvl w:ilvl="4">
      <w:start w:val="1"/>
      <w:numFmt w:val="bullet"/>
      <w:lvlText w:val="o"/>
      <w:lvlJc w:val="left"/>
      <w:rPr>
        <w:rFonts w:ascii="Arial" w:eastAsia="Arial" w:hAnsi="Arial" w:cs="Arial"/>
        <w:b/>
        <w:bCs/>
        <w:color w:val="000000"/>
        <w:position w:val="0"/>
      </w:rPr>
    </w:lvl>
    <w:lvl w:ilvl="5">
      <w:start w:val="1"/>
      <w:numFmt w:val="bullet"/>
      <w:lvlText w:val="▪"/>
      <w:lvlJc w:val="left"/>
      <w:rPr>
        <w:rFonts w:ascii="Arial" w:eastAsia="Arial" w:hAnsi="Arial" w:cs="Arial"/>
        <w:b/>
        <w:bCs/>
        <w:color w:val="000000"/>
        <w:position w:val="0"/>
      </w:rPr>
    </w:lvl>
    <w:lvl w:ilvl="6">
      <w:start w:val="1"/>
      <w:numFmt w:val="bullet"/>
      <w:lvlText w:val="•"/>
      <w:lvlJc w:val="left"/>
      <w:rPr>
        <w:rFonts w:ascii="Arial" w:eastAsia="Arial" w:hAnsi="Arial" w:cs="Arial"/>
        <w:b/>
        <w:bCs/>
        <w:color w:val="000000"/>
        <w:position w:val="0"/>
      </w:rPr>
    </w:lvl>
    <w:lvl w:ilvl="7">
      <w:start w:val="1"/>
      <w:numFmt w:val="bullet"/>
      <w:lvlText w:val="o"/>
      <w:lvlJc w:val="left"/>
      <w:rPr>
        <w:rFonts w:ascii="Arial" w:eastAsia="Arial" w:hAnsi="Arial" w:cs="Arial"/>
        <w:b/>
        <w:bCs/>
        <w:color w:val="000000"/>
        <w:position w:val="0"/>
      </w:rPr>
    </w:lvl>
    <w:lvl w:ilvl="8">
      <w:start w:val="1"/>
      <w:numFmt w:val="bullet"/>
      <w:lvlText w:val="▪"/>
      <w:lvlJc w:val="left"/>
      <w:rPr>
        <w:rFonts w:ascii="Arial" w:eastAsia="Arial" w:hAnsi="Arial" w:cs="Arial"/>
        <w:b/>
        <w:bCs/>
        <w:color w:val="000000"/>
        <w:position w:val="0"/>
      </w:rPr>
    </w:lvl>
  </w:abstractNum>
  <w:abstractNum w:abstractNumId="18" w15:restartNumberingAfterBreak="0">
    <w:nsid w:val="554C086D"/>
    <w:multiLevelType w:val="hybridMultilevel"/>
    <w:tmpl w:val="1E1A52E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E73301C"/>
    <w:multiLevelType w:val="hybridMultilevel"/>
    <w:tmpl w:val="E334E2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14E4A4F"/>
    <w:multiLevelType w:val="hybridMultilevel"/>
    <w:tmpl w:val="1BBC7C4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7015C1A"/>
    <w:multiLevelType w:val="multilevel"/>
    <w:tmpl w:val="16DEC700"/>
    <w:styleLink w:val="51"/>
    <w:lvl w:ilvl="0">
      <w:numFmt w:val="bullet"/>
      <w:lvlText w:val="-"/>
      <w:lvlJc w:val="left"/>
      <w:pPr>
        <w:tabs>
          <w:tab w:val="num" w:pos="240"/>
        </w:tabs>
        <w:ind w:left="240" w:hanging="240"/>
      </w:pPr>
      <w:rPr>
        <w:rFonts w:ascii="Arial" w:eastAsia="Arial" w:hAnsi="Arial" w:cs="Arial"/>
        <w:b/>
        <w:bCs/>
        <w:color w:val="000000"/>
        <w:position w:val="0"/>
        <w:sz w:val="22"/>
        <w:szCs w:val="22"/>
      </w:rPr>
    </w:lvl>
    <w:lvl w:ilvl="1">
      <w:start w:val="1"/>
      <w:numFmt w:val="bullet"/>
      <w:lvlText w:val="o"/>
      <w:lvlJc w:val="left"/>
      <w:pPr>
        <w:tabs>
          <w:tab w:val="num" w:pos="1156"/>
        </w:tabs>
        <w:ind w:left="1156" w:hanging="360"/>
      </w:pPr>
      <w:rPr>
        <w:rFonts w:ascii="Arial" w:eastAsia="Arial" w:hAnsi="Arial" w:cs="Arial"/>
        <w:b/>
        <w:bCs/>
        <w:color w:val="000000"/>
        <w:position w:val="0"/>
        <w:sz w:val="24"/>
        <w:szCs w:val="24"/>
      </w:rPr>
    </w:lvl>
    <w:lvl w:ilvl="2">
      <w:start w:val="1"/>
      <w:numFmt w:val="bullet"/>
      <w:lvlText w:val="▪"/>
      <w:lvlJc w:val="left"/>
      <w:pPr>
        <w:tabs>
          <w:tab w:val="num" w:pos="1876"/>
        </w:tabs>
        <w:ind w:left="1876" w:hanging="360"/>
      </w:pPr>
      <w:rPr>
        <w:rFonts w:ascii="Arial" w:eastAsia="Arial" w:hAnsi="Arial" w:cs="Arial"/>
        <w:b/>
        <w:bCs/>
        <w:color w:val="000000"/>
        <w:position w:val="0"/>
        <w:sz w:val="24"/>
        <w:szCs w:val="24"/>
      </w:rPr>
    </w:lvl>
    <w:lvl w:ilvl="3">
      <w:start w:val="1"/>
      <w:numFmt w:val="bullet"/>
      <w:lvlText w:val="•"/>
      <w:lvlJc w:val="left"/>
      <w:pPr>
        <w:tabs>
          <w:tab w:val="num" w:pos="2596"/>
        </w:tabs>
        <w:ind w:left="2596" w:hanging="360"/>
      </w:pPr>
      <w:rPr>
        <w:rFonts w:ascii="Arial" w:eastAsia="Arial" w:hAnsi="Arial" w:cs="Arial"/>
        <w:b/>
        <w:bCs/>
        <w:color w:val="000000"/>
        <w:position w:val="0"/>
        <w:sz w:val="24"/>
        <w:szCs w:val="24"/>
      </w:rPr>
    </w:lvl>
    <w:lvl w:ilvl="4">
      <w:start w:val="1"/>
      <w:numFmt w:val="bullet"/>
      <w:lvlText w:val="o"/>
      <w:lvlJc w:val="left"/>
      <w:pPr>
        <w:tabs>
          <w:tab w:val="num" w:pos="3316"/>
        </w:tabs>
        <w:ind w:left="3316" w:hanging="360"/>
      </w:pPr>
      <w:rPr>
        <w:rFonts w:ascii="Arial" w:eastAsia="Arial" w:hAnsi="Arial" w:cs="Arial"/>
        <w:b/>
        <w:bCs/>
        <w:color w:val="000000"/>
        <w:position w:val="0"/>
        <w:sz w:val="24"/>
        <w:szCs w:val="24"/>
      </w:rPr>
    </w:lvl>
    <w:lvl w:ilvl="5">
      <w:start w:val="1"/>
      <w:numFmt w:val="bullet"/>
      <w:lvlText w:val="▪"/>
      <w:lvlJc w:val="left"/>
      <w:pPr>
        <w:tabs>
          <w:tab w:val="num" w:pos="4036"/>
        </w:tabs>
        <w:ind w:left="4036" w:hanging="360"/>
      </w:pPr>
      <w:rPr>
        <w:rFonts w:ascii="Arial" w:eastAsia="Arial" w:hAnsi="Arial" w:cs="Arial"/>
        <w:b/>
        <w:bCs/>
        <w:color w:val="000000"/>
        <w:position w:val="0"/>
        <w:sz w:val="24"/>
        <w:szCs w:val="24"/>
      </w:rPr>
    </w:lvl>
    <w:lvl w:ilvl="6">
      <w:start w:val="1"/>
      <w:numFmt w:val="bullet"/>
      <w:lvlText w:val="•"/>
      <w:lvlJc w:val="left"/>
      <w:pPr>
        <w:tabs>
          <w:tab w:val="num" w:pos="4756"/>
        </w:tabs>
        <w:ind w:left="4756" w:hanging="360"/>
      </w:pPr>
      <w:rPr>
        <w:rFonts w:ascii="Arial" w:eastAsia="Arial" w:hAnsi="Arial" w:cs="Arial"/>
        <w:b/>
        <w:bCs/>
        <w:color w:val="000000"/>
        <w:position w:val="0"/>
        <w:sz w:val="24"/>
        <w:szCs w:val="24"/>
      </w:rPr>
    </w:lvl>
    <w:lvl w:ilvl="7">
      <w:start w:val="1"/>
      <w:numFmt w:val="bullet"/>
      <w:lvlText w:val="o"/>
      <w:lvlJc w:val="left"/>
      <w:pPr>
        <w:tabs>
          <w:tab w:val="num" w:pos="5476"/>
        </w:tabs>
        <w:ind w:left="5476" w:hanging="360"/>
      </w:pPr>
      <w:rPr>
        <w:rFonts w:ascii="Arial" w:eastAsia="Arial" w:hAnsi="Arial" w:cs="Arial"/>
        <w:b/>
        <w:bCs/>
        <w:color w:val="000000"/>
        <w:position w:val="0"/>
        <w:sz w:val="24"/>
        <w:szCs w:val="24"/>
      </w:rPr>
    </w:lvl>
    <w:lvl w:ilvl="8">
      <w:start w:val="1"/>
      <w:numFmt w:val="bullet"/>
      <w:lvlText w:val="▪"/>
      <w:lvlJc w:val="left"/>
      <w:pPr>
        <w:tabs>
          <w:tab w:val="num" w:pos="6196"/>
        </w:tabs>
        <w:ind w:left="6196" w:hanging="360"/>
      </w:pPr>
      <w:rPr>
        <w:rFonts w:ascii="Arial" w:eastAsia="Arial" w:hAnsi="Arial" w:cs="Arial"/>
        <w:b/>
        <w:bCs/>
        <w:color w:val="000000"/>
        <w:position w:val="0"/>
        <w:sz w:val="24"/>
        <w:szCs w:val="24"/>
      </w:rPr>
    </w:lvl>
  </w:abstractNum>
  <w:abstractNum w:abstractNumId="22" w15:restartNumberingAfterBreak="0">
    <w:nsid w:val="67103075"/>
    <w:multiLevelType w:val="hybridMultilevel"/>
    <w:tmpl w:val="B93A7F6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640107"/>
    <w:multiLevelType w:val="hybridMultilevel"/>
    <w:tmpl w:val="3D7887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93C024F"/>
    <w:multiLevelType w:val="multilevel"/>
    <w:tmpl w:val="9380F92E"/>
    <w:styleLink w:val="List6"/>
    <w:lvl w:ilvl="0">
      <w:numFmt w:val="bullet"/>
      <w:lvlText w:val="-"/>
      <w:lvlJc w:val="left"/>
      <w:rPr>
        <w:rFonts w:ascii="Arial" w:eastAsia="Arial" w:hAnsi="Arial" w:cs="Arial"/>
        <w:b/>
        <w:bCs/>
        <w:color w:val="000000"/>
        <w:position w:val="0"/>
      </w:rPr>
    </w:lvl>
    <w:lvl w:ilvl="1">
      <w:start w:val="1"/>
      <w:numFmt w:val="bullet"/>
      <w:lvlText w:val="o"/>
      <w:lvlJc w:val="left"/>
      <w:rPr>
        <w:rFonts w:ascii="Arial" w:eastAsia="Arial" w:hAnsi="Arial" w:cs="Arial"/>
        <w:b/>
        <w:bCs/>
        <w:color w:val="000000"/>
        <w:position w:val="0"/>
      </w:rPr>
    </w:lvl>
    <w:lvl w:ilvl="2">
      <w:start w:val="1"/>
      <w:numFmt w:val="bullet"/>
      <w:lvlText w:val="▪"/>
      <w:lvlJc w:val="left"/>
      <w:rPr>
        <w:rFonts w:ascii="Arial" w:eastAsia="Arial" w:hAnsi="Arial" w:cs="Arial"/>
        <w:b/>
        <w:bCs/>
        <w:color w:val="000000"/>
        <w:position w:val="0"/>
      </w:rPr>
    </w:lvl>
    <w:lvl w:ilvl="3">
      <w:start w:val="1"/>
      <w:numFmt w:val="bullet"/>
      <w:lvlText w:val="•"/>
      <w:lvlJc w:val="left"/>
      <w:rPr>
        <w:rFonts w:ascii="Arial" w:eastAsia="Arial" w:hAnsi="Arial" w:cs="Arial"/>
        <w:b/>
        <w:bCs/>
        <w:color w:val="000000"/>
        <w:position w:val="0"/>
      </w:rPr>
    </w:lvl>
    <w:lvl w:ilvl="4">
      <w:start w:val="1"/>
      <w:numFmt w:val="bullet"/>
      <w:lvlText w:val="o"/>
      <w:lvlJc w:val="left"/>
      <w:rPr>
        <w:rFonts w:ascii="Arial" w:eastAsia="Arial" w:hAnsi="Arial" w:cs="Arial"/>
        <w:b/>
        <w:bCs/>
        <w:color w:val="000000"/>
        <w:position w:val="0"/>
      </w:rPr>
    </w:lvl>
    <w:lvl w:ilvl="5">
      <w:start w:val="1"/>
      <w:numFmt w:val="bullet"/>
      <w:lvlText w:val="▪"/>
      <w:lvlJc w:val="left"/>
      <w:rPr>
        <w:rFonts w:ascii="Arial" w:eastAsia="Arial" w:hAnsi="Arial" w:cs="Arial"/>
        <w:b/>
        <w:bCs/>
        <w:color w:val="000000"/>
        <w:position w:val="0"/>
      </w:rPr>
    </w:lvl>
    <w:lvl w:ilvl="6">
      <w:start w:val="1"/>
      <w:numFmt w:val="bullet"/>
      <w:lvlText w:val="•"/>
      <w:lvlJc w:val="left"/>
      <w:rPr>
        <w:rFonts w:ascii="Arial" w:eastAsia="Arial" w:hAnsi="Arial" w:cs="Arial"/>
        <w:b/>
        <w:bCs/>
        <w:color w:val="000000"/>
        <w:position w:val="0"/>
      </w:rPr>
    </w:lvl>
    <w:lvl w:ilvl="7">
      <w:start w:val="1"/>
      <w:numFmt w:val="bullet"/>
      <w:lvlText w:val="o"/>
      <w:lvlJc w:val="left"/>
      <w:rPr>
        <w:rFonts w:ascii="Arial" w:eastAsia="Arial" w:hAnsi="Arial" w:cs="Arial"/>
        <w:b/>
        <w:bCs/>
        <w:color w:val="000000"/>
        <w:position w:val="0"/>
      </w:rPr>
    </w:lvl>
    <w:lvl w:ilvl="8">
      <w:start w:val="1"/>
      <w:numFmt w:val="bullet"/>
      <w:lvlText w:val="▪"/>
      <w:lvlJc w:val="left"/>
      <w:rPr>
        <w:rFonts w:ascii="Arial" w:eastAsia="Arial" w:hAnsi="Arial" w:cs="Arial"/>
        <w:b/>
        <w:bCs/>
        <w:color w:val="000000"/>
        <w:position w:val="0"/>
      </w:rPr>
    </w:lvl>
  </w:abstractNum>
  <w:abstractNum w:abstractNumId="25" w15:restartNumberingAfterBreak="0">
    <w:nsid w:val="6990126A"/>
    <w:multiLevelType w:val="hybridMultilevel"/>
    <w:tmpl w:val="3A5C6DD4"/>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6AD1204D"/>
    <w:multiLevelType w:val="hybridMultilevel"/>
    <w:tmpl w:val="C0CA9A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C0B2018"/>
    <w:multiLevelType w:val="hybridMultilevel"/>
    <w:tmpl w:val="4F2496DA"/>
    <w:lvl w:ilvl="0" w:tplc="6AEE8A7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C70489C"/>
    <w:multiLevelType w:val="hybridMultilevel"/>
    <w:tmpl w:val="9E0474F8"/>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9" w15:restartNumberingAfterBreak="0">
    <w:nsid w:val="6DF50DE2"/>
    <w:multiLevelType w:val="multilevel"/>
    <w:tmpl w:val="92AC3DE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0" w15:restartNumberingAfterBreak="0">
    <w:nsid w:val="704C5F56"/>
    <w:multiLevelType w:val="hybridMultilevel"/>
    <w:tmpl w:val="540CCB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31709F2"/>
    <w:multiLevelType w:val="multilevel"/>
    <w:tmpl w:val="5E1E1DE8"/>
    <w:lvl w:ilvl="0">
      <w:numFmt w:val="bullet"/>
      <w:lvlText w:val="-"/>
      <w:lvlJc w:val="left"/>
      <w:rPr>
        <w:rFonts w:ascii="Arial" w:eastAsia="Arial" w:hAnsi="Arial" w:cs="Arial"/>
        <w:b/>
        <w:bCs/>
        <w:color w:val="000000"/>
        <w:position w:val="0"/>
      </w:rPr>
    </w:lvl>
    <w:lvl w:ilvl="1">
      <w:start w:val="1"/>
      <w:numFmt w:val="bullet"/>
      <w:lvlText w:val="o"/>
      <w:lvlJc w:val="left"/>
      <w:rPr>
        <w:rFonts w:ascii="Arial" w:eastAsia="Arial" w:hAnsi="Arial" w:cs="Arial"/>
        <w:b/>
        <w:bCs/>
        <w:color w:val="000000"/>
        <w:position w:val="0"/>
      </w:rPr>
    </w:lvl>
    <w:lvl w:ilvl="2">
      <w:start w:val="1"/>
      <w:numFmt w:val="bullet"/>
      <w:lvlText w:val="▪"/>
      <w:lvlJc w:val="left"/>
      <w:rPr>
        <w:rFonts w:ascii="Arial" w:eastAsia="Arial" w:hAnsi="Arial" w:cs="Arial"/>
        <w:b/>
        <w:bCs/>
        <w:color w:val="000000"/>
        <w:position w:val="0"/>
      </w:rPr>
    </w:lvl>
    <w:lvl w:ilvl="3">
      <w:start w:val="1"/>
      <w:numFmt w:val="bullet"/>
      <w:lvlText w:val="•"/>
      <w:lvlJc w:val="left"/>
      <w:rPr>
        <w:rFonts w:ascii="Arial" w:eastAsia="Arial" w:hAnsi="Arial" w:cs="Arial"/>
        <w:b/>
        <w:bCs/>
        <w:color w:val="000000"/>
        <w:position w:val="0"/>
      </w:rPr>
    </w:lvl>
    <w:lvl w:ilvl="4">
      <w:start w:val="1"/>
      <w:numFmt w:val="bullet"/>
      <w:lvlText w:val="o"/>
      <w:lvlJc w:val="left"/>
      <w:rPr>
        <w:rFonts w:ascii="Arial" w:eastAsia="Arial" w:hAnsi="Arial" w:cs="Arial"/>
        <w:b/>
        <w:bCs/>
        <w:color w:val="000000"/>
        <w:position w:val="0"/>
      </w:rPr>
    </w:lvl>
    <w:lvl w:ilvl="5">
      <w:start w:val="1"/>
      <w:numFmt w:val="bullet"/>
      <w:lvlText w:val="▪"/>
      <w:lvlJc w:val="left"/>
      <w:rPr>
        <w:rFonts w:ascii="Arial" w:eastAsia="Arial" w:hAnsi="Arial" w:cs="Arial"/>
        <w:b/>
        <w:bCs/>
        <w:color w:val="000000"/>
        <w:position w:val="0"/>
      </w:rPr>
    </w:lvl>
    <w:lvl w:ilvl="6">
      <w:start w:val="1"/>
      <w:numFmt w:val="bullet"/>
      <w:lvlText w:val="•"/>
      <w:lvlJc w:val="left"/>
      <w:rPr>
        <w:rFonts w:ascii="Arial" w:eastAsia="Arial" w:hAnsi="Arial" w:cs="Arial"/>
        <w:b/>
        <w:bCs/>
        <w:color w:val="000000"/>
        <w:position w:val="0"/>
      </w:rPr>
    </w:lvl>
    <w:lvl w:ilvl="7">
      <w:start w:val="1"/>
      <w:numFmt w:val="bullet"/>
      <w:lvlText w:val="o"/>
      <w:lvlJc w:val="left"/>
      <w:rPr>
        <w:rFonts w:ascii="Arial" w:eastAsia="Arial" w:hAnsi="Arial" w:cs="Arial"/>
        <w:b/>
        <w:bCs/>
        <w:color w:val="000000"/>
        <w:position w:val="0"/>
      </w:rPr>
    </w:lvl>
    <w:lvl w:ilvl="8">
      <w:start w:val="1"/>
      <w:numFmt w:val="bullet"/>
      <w:lvlText w:val="▪"/>
      <w:lvlJc w:val="left"/>
      <w:rPr>
        <w:rFonts w:ascii="Arial" w:eastAsia="Arial" w:hAnsi="Arial" w:cs="Arial"/>
        <w:b/>
        <w:bCs/>
        <w:color w:val="000000"/>
        <w:position w:val="0"/>
      </w:rPr>
    </w:lvl>
  </w:abstractNum>
  <w:abstractNum w:abstractNumId="32" w15:restartNumberingAfterBreak="0">
    <w:nsid w:val="767E0A67"/>
    <w:multiLevelType w:val="hybridMultilevel"/>
    <w:tmpl w:val="9FBEE6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BCE5C14"/>
    <w:multiLevelType w:val="hybridMultilevel"/>
    <w:tmpl w:val="97EA57B2"/>
    <w:lvl w:ilvl="0" w:tplc="04080001">
      <w:start w:val="1"/>
      <w:numFmt w:val="bullet"/>
      <w:lvlText w:val=""/>
      <w:lvlJc w:val="left"/>
      <w:pPr>
        <w:ind w:left="789" w:hanging="360"/>
      </w:pPr>
      <w:rPr>
        <w:rFonts w:ascii="Symbol" w:hAnsi="Symbol" w:hint="default"/>
      </w:rPr>
    </w:lvl>
    <w:lvl w:ilvl="1" w:tplc="04080003" w:tentative="1">
      <w:start w:val="1"/>
      <w:numFmt w:val="bullet"/>
      <w:lvlText w:val="o"/>
      <w:lvlJc w:val="left"/>
      <w:pPr>
        <w:ind w:left="1509" w:hanging="360"/>
      </w:pPr>
      <w:rPr>
        <w:rFonts w:ascii="Courier New" w:hAnsi="Courier New" w:cs="Courier New" w:hint="default"/>
      </w:rPr>
    </w:lvl>
    <w:lvl w:ilvl="2" w:tplc="04080005" w:tentative="1">
      <w:start w:val="1"/>
      <w:numFmt w:val="bullet"/>
      <w:lvlText w:val=""/>
      <w:lvlJc w:val="left"/>
      <w:pPr>
        <w:ind w:left="2229" w:hanging="360"/>
      </w:pPr>
      <w:rPr>
        <w:rFonts w:ascii="Wingdings" w:hAnsi="Wingdings" w:hint="default"/>
      </w:rPr>
    </w:lvl>
    <w:lvl w:ilvl="3" w:tplc="04080001" w:tentative="1">
      <w:start w:val="1"/>
      <w:numFmt w:val="bullet"/>
      <w:lvlText w:val=""/>
      <w:lvlJc w:val="left"/>
      <w:pPr>
        <w:ind w:left="2949" w:hanging="360"/>
      </w:pPr>
      <w:rPr>
        <w:rFonts w:ascii="Symbol" w:hAnsi="Symbol" w:hint="default"/>
      </w:rPr>
    </w:lvl>
    <w:lvl w:ilvl="4" w:tplc="04080003" w:tentative="1">
      <w:start w:val="1"/>
      <w:numFmt w:val="bullet"/>
      <w:lvlText w:val="o"/>
      <w:lvlJc w:val="left"/>
      <w:pPr>
        <w:ind w:left="3669" w:hanging="360"/>
      </w:pPr>
      <w:rPr>
        <w:rFonts w:ascii="Courier New" w:hAnsi="Courier New" w:cs="Courier New" w:hint="default"/>
      </w:rPr>
    </w:lvl>
    <w:lvl w:ilvl="5" w:tplc="04080005" w:tentative="1">
      <w:start w:val="1"/>
      <w:numFmt w:val="bullet"/>
      <w:lvlText w:val=""/>
      <w:lvlJc w:val="left"/>
      <w:pPr>
        <w:ind w:left="4389" w:hanging="360"/>
      </w:pPr>
      <w:rPr>
        <w:rFonts w:ascii="Wingdings" w:hAnsi="Wingdings" w:hint="default"/>
      </w:rPr>
    </w:lvl>
    <w:lvl w:ilvl="6" w:tplc="04080001" w:tentative="1">
      <w:start w:val="1"/>
      <w:numFmt w:val="bullet"/>
      <w:lvlText w:val=""/>
      <w:lvlJc w:val="left"/>
      <w:pPr>
        <w:ind w:left="5109" w:hanging="360"/>
      </w:pPr>
      <w:rPr>
        <w:rFonts w:ascii="Symbol" w:hAnsi="Symbol" w:hint="default"/>
      </w:rPr>
    </w:lvl>
    <w:lvl w:ilvl="7" w:tplc="04080003" w:tentative="1">
      <w:start w:val="1"/>
      <w:numFmt w:val="bullet"/>
      <w:lvlText w:val="o"/>
      <w:lvlJc w:val="left"/>
      <w:pPr>
        <w:ind w:left="5829" w:hanging="360"/>
      </w:pPr>
      <w:rPr>
        <w:rFonts w:ascii="Courier New" w:hAnsi="Courier New" w:cs="Courier New" w:hint="default"/>
      </w:rPr>
    </w:lvl>
    <w:lvl w:ilvl="8" w:tplc="04080005" w:tentative="1">
      <w:start w:val="1"/>
      <w:numFmt w:val="bullet"/>
      <w:lvlText w:val=""/>
      <w:lvlJc w:val="left"/>
      <w:pPr>
        <w:ind w:left="6549" w:hanging="360"/>
      </w:pPr>
      <w:rPr>
        <w:rFonts w:ascii="Wingdings" w:hAnsi="Wingdings" w:hint="default"/>
      </w:rPr>
    </w:lvl>
  </w:abstractNum>
  <w:num w:numId="1" w16cid:durableId="727729829">
    <w:abstractNumId w:val="8"/>
  </w:num>
  <w:num w:numId="2" w16cid:durableId="1883639880">
    <w:abstractNumId w:val="33"/>
  </w:num>
  <w:num w:numId="3" w16cid:durableId="1268464016">
    <w:abstractNumId w:val="15"/>
  </w:num>
  <w:num w:numId="4" w16cid:durableId="1122503336">
    <w:abstractNumId w:val="13"/>
  </w:num>
  <w:num w:numId="5" w16cid:durableId="805706427">
    <w:abstractNumId w:val="20"/>
  </w:num>
  <w:num w:numId="6" w16cid:durableId="517428731">
    <w:abstractNumId w:val="6"/>
  </w:num>
  <w:num w:numId="7" w16cid:durableId="186867113">
    <w:abstractNumId w:val="5"/>
  </w:num>
  <w:num w:numId="8" w16cid:durableId="1389916417">
    <w:abstractNumId w:val="22"/>
  </w:num>
  <w:num w:numId="9" w16cid:durableId="781847643">
    <w:abstractNumId w:val="10"/>
  </w:num>
  <w:num w:numId="10" w16cid:durableId="1467158062">
    <w:abstractNumId w:val="4"/>
  </w:num>
  <w:num w:numId="11" w16cid:durableId="1100176386">
    <w:abstractNumId w:val="1"/>
  </w:num>
  <w:num w:numId="12" w16cid:durableId="868758013">
    <w:abstractNumId w:val="21"/>
  </w:num>
  <w:num w:numId="13" w16cid:durableId="1011836886">
    <w:abstractNumId w:val="17"/>
  </w:num>
  <w:num w:numId="14" w16cid:durableId="1271860199">
    <w:abstractNumId w:val="31"/>
  </w:num>
  <w:num w:numId="15" w16cid:durableId="375392967">
    <w:abstractNumId w:val="24"/>
  </w:num>
  <w:num w:numId="16" w16cid:durableId="495808655">
    <w:abstractNumId w:val="0"/>
  </w:num>
  <w:num w:numId="17" w16cid:durableId="1502547565">
    <w:abstractNumId w:val="29"/>
  </w:num>
  <w:num w:numId="18" w16cid:durableId="589582840">
    <w:abstractNumId w:val="7"/>
  </w:num>
  <w:num w:numId="19" w16cid:durableId="1850827887">
    <w:abstractNumId w:val="28"/>
  </w:num>
  <w:num w:numId="20" w16cid:durableId="980118092">
    <w:abstractNumId w:val="19"/>
  </w:num>
  <w:num w:numId="21" w16cid:durableId="1145976030">
    <w:abstractNumId w:val="11"/>
  </w:num>
  <w:num w:numId="22" w16cid:durableId="1514951927">
    <w:abstractNumId w:val="14"/>
  </w:num>
  <w:num w:numId="23" w16cid:durableId="878127337">
    <w:abstractNumId w:val="3"/>
  </w:num>
  <w:num w:numId="24" w16cid:durableId="103229901">
    <w:abstractNumId w:val="16"/>
  </w:num>
  <w:num w:numId="25" w16cid:durableId="1503082521">
    <w:abstractNumId w:val="18"/>
  </w:num>
  <w:num w:numId="26" w16cid:durableId="78643862">
    <w:abstractNumId w:val="23"/>
  </w:num>
  <w:num w:numId="27" w16cid:durableId="954217368">
    <w:abstractNumId w:val="12"/>
  </w:num>
  <w:num w:numId="28" w16cid:durableId="1752769866">
    <w:abstractNumId w:val="25"/>
  </w:num>
  <w:num w:numId="29" w16cid:durableId="179467884">
    <w:abstractNumId w:val="26"/>
  </w:num>
  <w:num w:numId="30" w16cid:durableId="38869110">
    <w:abstractNumId w:val="32"/>
  </w:num>
  <w:num w:numId="31" w16cid:durableId="1316226124">
    <w:abstractNumId w:val="2"/>
  </w:num>
  <w:num w:numId="32" w16cid:durableId="927808287">
    <w:abstractNumId w:val="9"/>
  </w:num>
  <w:num w:numId="33" w16cid:durableId="1374309360">
    <w:abstractNumId w:val="27"/>
  </w:num>
  <w:num w:numId="34" w16cid:durableId="23363588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36B"/>
    <w:rsid w:val="00005DB0"/>
    <w:rsid w:val="00013F24"/>
    <w:rsid w:val="00033ED0"/>
    <w:rsid w:val="00034152"/>
    <w:rsid w:val="000514B1"/>
    <w:rsid w:val="000549DA"/>
    <w:rsid w:val="0005527C"/>
    <w:rsid w:val="00077D37"/>
    <w:rsid w:val="000871A2"/>
    <w:rsid w:val="000A6123"/>
    <w:rsid w:val="000A67C2"/>
    <w:rsid w:val="000A757C"/>
    <w:rsid w:val="000B1C88"/>
    <w:rsid w:val="000C0C2E"/>
    <w:rsid w:val="000C6140"/>
    <w:rsid w:val="000E23F8"/>
    <w:rsid w:val="000E76EE"/>
    <w:rsid w:val="000F39CF"/>
    <w:rsid w:val="000F46DA"/>
    <w:rsid w:val="00107730"/>
    <w:rsid w:val="00117ACF"/>
    <w:rsid w:val="00123D21"/>
    <w:rsid w:val="001417C0"/>
    <w:rsid w:val="00175BE9"/>
    <w:rsid w:val="001773EA"/>
    <w:rsid w:val="00182C24"/>
    <w:rsid w:val="00195D9C"/>
    <w:rsid w:val="001A6847"/>
    <w:rsid w:val="001B253D"/>
    <w:rsid w:val="001B5851"/>
    <w:rsid w:val="001E13F7"/>
    <w:rsid w:val="001E7773"/>
    <w:rsid w:val="001E7E47"/>
    <w:rsid w:val="001F6935"/>
    <w:rsid w:val="00200B1B"/>
    <w:rsid w:val="0020106B"/>
    <w:rsid w:val="002014E1"/>
    <w:rsid w:val="002135C7"/>
    <w:rsid w:val="00220D4A"/>
    <w:rsid w:val="00220EE2"/>
    <w:rsid w:val="00233FFD"/>
    <w:rsid w:val="002360FA"/>
    <w:rsid w:val="00237092"/>
    <w:rsid w:val="002606FD"/>
    <w:rsid w:val="00274BDC"/>
    <w:rsid w:val="002849F0"/>
    <w:rsid w:val="002A0A97"/>
    <w:rsid w:val="002B70EE"/>
    <w:rsid w:val="002B738F"/>
    <w:rsid w:val="002C03FD"/>
    <w:rsid w:val="002F0633"/>
    <w:rsid w:val="002F2063"/>
    <w:rsid w:val="002F2E10"/>
    <w:rsid w:val="002F5F1D"/>
    <w:rsid w:val="003022A5"/>
    <w:rsid w:val="00314463"/>
    <w:rsid w:val="0033061E"/>
    <w:rsid w:val="0035247E"/>
    <w:rsid w:val="003613C4"/>
    <w:rsid w:val="00382103"/>
    <w:rsid w:val="00385177"/>
    <w:rsid w:val="0039165C"/>
    <w:rsid w:val="003A1E3E"/>
    <w:rsid w:val="003A3091"/>
    <w:rsid w:val="003A7DE7"/>
    <w:rsid w:val="003B1DE1"/>
    <w:rsid w:val="003B50DA"/>
    <w:rsid w:val="003C3669"/>
    <w:rsid w:val="003C5BA1"/>
    <w:rsid w:val="003D6195"/>
    <w:rsid w:val="003D7720"/>
    <w:rsid w:val="0040282E"/>
    <w:rsid w:val="00402FBB"/>
    <w:rsid w:val="004056D2"/>
    <w:rsid w:val="00412048"/>
    <w:rsid w:val="00412230"/>
    <w:rsid w:val="004313FB"/>
    <w:rsid w:val="0046041A"/>
    <w:rsid w:val="00492211"/>
    <w:rsid w:val="004966F8"/>
    <w:rsid w:val="004A0962"/>
    <w:rsid w:val="004A342A"/>
    <w:rsid w:val="004B1DA4"/>
    <w:rsid w:val="004B7512"/>
    <w:rsid w:val="004C3245"/>
    <w:rsid w:val="004F6A8D"/>
    <w:rsid w:val="005009B8"/>
    <w:rsid w:val="00502470"/>
    <w:rsid w:val="00503130"/>
    <w:rsid w:val="0050336B"/>
    <w:rsid w:val="00507624"/>
    <w:rsid w:val="00514598"/>
    <w:rsid w:val="00530F8F"/>
    <w:rsid w:val="00535631"/>
    <w:rsid w:val="00541E8C"/>
    <w:rsid w:val="005518B0"/>
    <w:rsid w:val="00552BA0"/>
    <w:rsid w:val="005637CA"/>
    <w:rsid w:val="00563B90"/>
    <w:rsid w:val="00570171"/>
    <w:rsid w:val="005841B7"/>
    <w:rsid w:val="005A77E2"/>
    <w:rsid w:val="005E4F3A"/>
    <w:rsid w:val="005E5A04"/>
    <w:rsid w:val="006074FC"/>
    <w:rsid w:val="006103D4"/>
    <w:rsid w:val="00623340"/>
    <w:rsid w:val="00632086"/>
    <w:rsid w:val="00641D1E"/>
    <w:rsid w:val="00642B9A"/>
    <w:rsid w:val="00642EBE"/>
    <w:rsid w:val="006468B1"/>
    <w:rsid w:val="00654649"/>
    <w:rsid w:val="006B0A71"/>
    <w:rsid w:val="006B11CE"/>
    <w:rsid w:val="006C2A9B"/>
    <w:rsid w:val="006D37D6"/>
    <w:rsid w:val="006D521A"/>
    <w:rsid w:val="006D7CCC"/>
    <w:rsid w:val="006E1C60"/>
    <w:rsid w:val="006F7A80"/>
    <w:rsid w:val="0070443A"/>
    <w:rsid w:val="00706679"/>
    <w:rsid w:val="00706CC8"/>
    <w:rsid w:val="00723E66"/>
    <w:rsid w:val="00730F46"/>
    <w:rsid w:val="00731126"/>
    <w:rsid w:val="0074026D"/>
    <w:rsid w:val="00743E82"/>
    <w:rsid w:val="00751DE3"/>
    <w:rsid w:val="00757263"/>
    <w:rsid w:val="007640A8"/>
    <w:rsid w:val="0076483A"/>
    <w:rsid w:val="00785494"/>
    <w:rsid w:val="007A3003"/>
    <w:rsid w:val="007B0281"/>
    <w:rsid w:val="007C017C"/>
    <w:rsid w:val="007D0C04"/>
    <w:rsid w:val="007D1438"/>
    <w:rsid w:val="007D6B50"/>
    <w:rsid w:val="007E07AC"/>
    <w:rsid w:val="007E2F8F"/>
    <w:rsid w:val="007F16C4"/>
    <w:rsid w:val="007F1CF9"/>
    <w:rsid w:val="008106B7"/>
    <w:rsid w:val="0081612C"/>
    <w:rsid w:val="008201DB"/>
    <w:rsid w:val="00823762"/>
    <w:rsid w:val="008404FD"/>
    <w:rsid w:val="00856C9C"/>
    <w:rsid w:val="00866169"/>
    <w:rsid w:val="008744F4"/>
    <w:rsid w:val="00890613"/>
    <w:rsid w:val="008910BE"/>
    <w:rsid w:val="008B381D"/>
    <w:rsid w:val="008B45B0"/>
    <w:rsid w:val="008C34F2"/>
    <w:rsid w:val="008D0584"/>
    <w:rsid w:val="008D17BD"/>
    <w:rsid w:val="008D2025"/>
    <w:rsid w:val="008E0813"/>
    <w:rsid w:val="00900F89"/>
    <w:rsid w:val="009054FD"/>
    <w:rsid w:val="009073D0"/>
    <w:rsid w:val="009106AD"/>
    <w:rsid w:val="00911AE2"/>
    <w:rsid w:val="00921D15"/>
    <w:rsid w:val="00924964"/>
    <w:rsid w:val="00936E36"/>
    <w:rsid w:val="0094392A"/>
    <w:rsid w:val="00962B10"/>
    <w:rsid w:val="00982824"/>
    <w:rsid w:val="0099010E"/>
    <w:rsid w:val="009A6743"/>
    <w:rsid w:val="009B4742"/>
    <w:rsid w:val="009C52FA"/>
    <w:rsid w:val="009C63EA"/>
    <w:rsid w:val="009D0C82"/>
    <w:rsid w:val="009E2D15"/>
    <w:rsid w:val="009E6C61"/>
    <w:rsid w:val="009F48FE"/>
    <w:rsid w:val="009F5BF7"/>
    <w:rsid w:val="00A00387"/>
    <w:rsid w:val="00A25B72"/>
    <w:rsid w:val="00A318EA"/>
    <w:rsid w:val="00A3514D"/>
    <w:rsid w:val="00A50078"/>
    <w:rsid w:val="00A5194F"/>
    <w:rsid w:val="00A547EA"/>
    <w:rsid w:val="00A56C3F"/>
    <w:rsid w:val="00A671E3"/>
    <w:rsid w:val="00A72488"/>
    <w:rsid w:val="00A777A9"/>
    <w:rsid w:val="00A77A0D"/>
    <w:rsid w:val="00A80262"/>
    <w:rsid w:val="00A90981"/>
    <w:rsid w:val="00A9344D"/>
    <w:rsid w:val="00AB6B59"/>
    <w:rsid w:val="00AD0392"/>
    <w:rsid w:val="00AE26E6"/>
    <w:rsid w:val="00AE66B8"/>
    <w:rsid w:val="00B011F7"/>
    <w:rsid w:val="00B078D8"/>
    <w:rsid w:val="00B21BCE"/>
    <w:rsid w:val="00B24887"/>
    <w:rsid w:val="00B327DD"/>
    <w:rsid w:val="00B32E59"/>
    <w:rsid w:val="00B66F16"/>
    <w:rsid w:val="00B732E0"/>
    <w:rsid w:val="00B7521E"/>
    <w:rsid w:val="00B962D5"/>
    <w:rsid w:val="00BA1883"/>
    <w:rsid w:val="00BA28CC"/>
    <w:rsid w:val="00BD76EA"/>
    <w:rsid w:val="00BE6B39"/>
    <w:rsid w:val="00BF5764"/>
    <w:rsid w:val="00C00F2D"/>
    <w:rsid w:val="00C011CA"/>
    <w:rsid w:val="00C1745B"/>
    <w:rsid w:val="00C30599"/>
    <w:rsid w:val="00C30934"/>
    <w:rsid w:val="00C3654E"/>
    <w:rsid w:val="00C36D83"/>
    <w:rsid w:val="00C50391"/>
    <w:rsid w:val="00C5773F"/>
    <w:rsid w:val="00C63D79"/>
    <w:rsid w:val="00C642CB"/>
    <w:rsid w:val="00C7128D"/>
    <w:rsid w:val="00C8393D"/>
    <w:rsid w:val="00C9482B"/>
    <w:rsid w:val="00CA0B40"/>
    <w:rsid w:val="00CA481D"/>
    <w:rsid w:val="00CB289E"/>
    <w:rsid w:val="00CB657F"/>
    <w:rsid w:val="00CC1F86"/>
    <w:rsid w:val="00CC5286"/>
    <w:rsid w:val="00CD31CF"/>
    <w:rsid w:val="00CE1192"/>
    <w:rsid w:val="00CE2ED6"/>
    <w:rsid w:val="00CE47A1"/>
    <w:rsid w:val="00CF01AA"/>
    <w:rsid w:val="00CF7444"/>
    <w:rsid w:val="00D07591"/>
    <w:rsid w:val="00D11CCB"/>
    <w:rsid w:val="00D31221"/>
    <w:rsid w:val="00D32D59"/>
    <w:rsid w:val="00D34080"/>
    <w:rsid w:val="00D44EE3"/>
    <w:rsid w:val="00D56E51"/>
    <w:rsid w:val="00D678D1"/>
    <w:rsid w:val="00D924DD"/>
    <w:rsid w:val="00DA0691"/>
    <w:rsid w:val="00DA0B23"/>
    <w:rsid w:val="00DB25A6"/>
    <w:rsid w:val="00DC116D"/>
    <w:rsid w:val="00DC49CA"/>
    <w:rsid w:val="00DD75D7"/>
    <w:rsid w:val="00DE1193"/>
    <w:rsid w:val="00DE6F4D"/>
    <w:rsid w:val="00DF4171"/>
    <w:rsid w:val="00DF6A8D"/>
    <w:rsid w:val="00E005F6"/>
    <w:rsid w:val="00E05BE2"/>
    <w:rsid w:val="00E256A7"/>
    <w:rsid w:val="00E333C2"/>
    <w:rsid w:val="00E42CF8"/>
    <w:rsid w:val="00E4425E"/>
    <w:rsid w:val="00E50D20"/>
    <w:rsid w:val="00E60C75"/>
    <w:rsid w:val="00E65927"/>
    <w:rsid w:val="00E74D13"/>
    <w:rsid w:val="00EC308B"/>
    <w:rsid w:val="00ED2BB3"/>
    <w:rsid w:val="00ED4C8C"/>
    <w:rsid w:val="00EE4BBE"/>
    <w:rsid w:val="00EE6EAC"/>
    <w:rsid w:val="00EF6067"/>
    <w:rsid w:val="00F00873"/>
    <w:rsid w:val="00F07385"/>
    <w:rsid w:val="00F0793A"/>
    <w:rsid w:val="00F16F12"/>
    <w:rsid w:val="00F20A0D"/>
    <w:rsid w:val="00F30015"/>
    <w:rsid w:val="00F31F5D"/>
    <w:rsid w:val="00F337B1"/>
    <w:rsid w:val="00F36124"/>
    <w:rsid w:val="00F40B37"/>
    <w:rsid w:val="00F54574"/>
    <w:rsid w:val="00F56C4F"/>
    <w:rsid w:val="00F60457"/>
    <w:rsid w:val="00F60B1B"/>
    <w:rsid w:val="00F61754"/>
    <w:rsid w:val="00F646F4"/>
    <w:rsid w:val="00F6722F"/>
    <w:rsid w:val="00F718E1"/>
    <w:rsid w:val="00F82374"/>
    <w:rsid w:val="00F96E84"/>
    <w:rsid w:val="00FA0EE5"/>
    <w:rsid w:val="00FC5C9B"/>
    <w:rsid w:val="00FD188E"/>
    <w:rsid w:val="00FD2852"/>
    <w:rsid w:val="00FD40FB"/>
    <w:rsid w:val="00FE3BAD"/>
    <w:rsid w:val="00FE44C3"/>
    <w:rsid w:val="00FF4A9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FF49"/>
  <w15:docId w15:val="{59C9D895-264A-49DA-BAA1-96366CD3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6B50"/>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BCE"/>
    <w:pPr>
      <w:ind w:left="720"/>
      <w:contextualSpacing/>
    </w:pPr>
  </w:style>
  <w:style w:type="paragraph" w:styleId="a4">
    <w:name w:val="header"/>
    <w:basedOn w:val="a"/>
    <w:link w:val="Char"/>
    <w:uiPriority w:val="99"/>
    <w:unhideWhenUsed/>
    <w:rsid w:val="00A56C3F"/>
    <w:pPr>
      <w:tabs>
        <w:tab w:val="center" w:pos="4153"/>
        <w:tab w:val="right" w:pos="8306"/>
      </w:tabs>
    </w:pPr>
  </w:style>
  <w:style w:type="character" w:customStyle="1" w:styleId="Char">
    <w:name w:val="Κεφαλίδα Char"/>
    <w:basedOn w:val="a0"/>
    <w:link w:val="a4"/>
    <w:uiPriority w:val="99"/>
    <w:rsid w:val="00A56C3F"/>
    <w:rPr>
      <w:lang w:val="el-GR"/>
    </w:rPr>
  </w:style>
  <w:style w:type="paragraph" w:styleId="a5">
    <w:name w:val="footer"/>
    <w:basedOn w:val="a"/>
    <w:link w:val="Char0"/>
    <w:uiPriority w:val="99"/>
    <w:unhideWhenUsed/>
    <w:rsid w:val="00A56C3F"/>
    <w:pPr>
      <w:tabs>
        <w:tab w:val="center" w:pos="4153"/>
        <w:tab w:val="right" w:pos="8306"/>
      </w:tabs>
    </w:pPr>
  </w:style>
  <w:style w:type="character" w:customStyle="1" w:styleId="Char0">
    <w:name w:val="Υποσέλιδο Char"/>
    <w:basedOn w:val="a0"/>
    <w:link w:val="a5"/>
    <w:uiPriority w:val="99"/>
    <w:rsid w:val="00A56C3F"/>
    <w:rPr>
      <w:lang w:val="el-GR"/>
    </w:rPr>
  </w:style>
  <w:style w:type="character" w:styleId="a6">
    <w:name w:val="Strong"/>
    <w:basedOn w:val="a0"/>
    <w:uiPriority w:val="22"/>
    <w:qFormat/>
    <w:rsid w:val="008B381D"/>
    <w:rPr>
      <w:b/>
      <w:bCs/>
    </w:rPr>
  </w:style>
  <w:style w:type="character" w:styleId="-">
    <w:name w:val="Hyperlink"/>
    <w:basedOn w:val="a0"/>
    <w:uiPriority w:val="99"/>
    <w:rsid w:val="000E76EE"/>
    <w:rPr>
      <w:color w:val="0000FF"/>
      <w:u w:val="single"/>
    </w:rPr>
  </w:style>
  <w:style w:type="paragraph" w:styleId="Web">
    <w:name w:val="Normal (Web)"/>
    <w:basedOn w:val="a"/>
    <w:uiPriority w:val="99"/>
    <w:rsid w:val="00507624"/>
    <w:pPr>
      <w:spacing w:before="100" w:beforeAutospacing="1" w:after="100" w:afterAutospacing="1"/>
    </w:pPr>
    <w:rPr>
      <w:rFonts w:ascii="Times New Roman" w:hAnsi="Times New Roman"/>
      <w:lang w:eastAsia="el-GR"/>
    </w:rPr>
  </w:style>
  <w:style w:type="paragraph" w:styleId="a7">
    <w:name w:val="Body Text"/>
    <w:basedOn w:val="a"/>
    <w:link w:val="Char1"/>
    <w:rsid w:val="00502470"/>
    <w:pPr>
      <w:spacing w:before="120" w:after="120" w:line="360" w:lineRule="auto"/>
      <w:jc w:val="both"/>
    </w:pPr>
    <w:rPr>
      <w:rFonts w:ascii="Times New Roman" w:hAnsi="Times New Roman"/>
      <w:sz w:val="22"/>
      <w:lang w:eastAsia="el-GR"/>
    </w:rPr>
  </w:style>
  <w:style w:type="character" w:customStyle="1" w:styleId="Char1">
    <w:name w:val="Σώμα κειμένου Char"/>
    <w:basedOn w:val="a0"/>
    <w:link w:val="a7"/>
    <w:rsid w:val="00502470"/>
    <w:rPr>
      <w:rFonts w:ascii="Times New Roman" w:hAnsi="Times New Roman"/>
      <w:sz w:val="22"/>
      <w:szCs w:val="24"/>
    </w:rPr>
  </w:style>
  <w:style w:type="paragraph" w:customStyle="1" w:styleId="Body">
    <w:name w:val="Body"/>
    <w:rsid w:val="00502470"/>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rPr>
  </w:style>
  <w:style w:type="numbering" w:customStyle="1" w:styleId="51">
    <w:name w:val="Λίστα 51"/>
    <w:basedOn w:val="a2"/>
    <w:rsid w:val="00502470"/>
    <w:pPr>
      <w:numPr>
        <w:numId w:val="12"/>
      </w:numPr>
    </w:pPr>
  </w:style>
  <w:style w:type="numbering" w:customStyle="1" w:styleId="List6">
    <w:name w:val="List 6"/>
    <w:basedOn w:val="a2"/>
    <w:rsid w:val="00502470"/>
    <w:pPr>
      <w:numPr>
        <w:numId w:val="15"/>
      </w:numPr>
    </w:pPr>
  </w:style>
  <w:style w:type="paragraph" w:customStyle="1" w:styleId="Default">
    <w:name w:val="Default"/>
    <w:rsid w:val="00502470"/>
    <w:pPr>
      <w:autoSpaceDE w:val="0"/>
      <w:autoSpaceDN w:val="0"/>
      <w:adjustRightInd w:val="0"/>
    </w:pPr>
    <w:rPr>
      <w:rFonts w:ascii="Wide Latin" w:eastAsia="Calibri" w:hAnsi="Wide Latin" w:cs="Wide Latin"/>
      <w:color w:val="000000"/>
      <w:sz w:val="24"/>
      <w:szCs w:val="24"/>
      <w:lang w:eastAsia="en-US"/>
    </w:rPr>
  </w:style>
  <w:style w:type="numbering" w:customStyle="1" w:styleId="31">
    <w:name w:val="Λίστα 31"/>
    <w:basedOn w:val="a2"/>
    <w:rsid w:val="00C50391"/>
    <w:pPr>
      <w:numPr>
        <w:numId w:val="18"/>
      </w:numPr>
    </w:pPr>
  </w:style>
  <w:style w:type="character" w:styleId="a8">
    <w:name w:val="page number"/>
    <w:basedOn w:val="a0"/>
    <w:rsid w:val="004056D2"/>
  </w:style>
  <w:style w:type="paragraph" w:styleId="a9">
    <w:name w:val="Balloon Text"/>
    <w:basedOn w:val="a"/>
    <w:link w:val="Char2"/>
    <w:uiPriority w:val="99"/>
    <w:semiHidden/>
    <w:unhideWhenUsed/>
    <w:rsid w:val="00D07591"/>
    <w:rPr>
      <w:rFonts w:ascii="Tahoma" w:hAnsi="Tahoma" w:cs="Tahoma"/>
      <w:sz w:val="16"/>
      <w:szCs w:val="16"/>
    </w:rPr>
  </w:style>
  <w:style w:type="character" w:customStyle="1" w:styleId="Char2">
    <w:name w:val="Κείμενο πλαισίου Char"/>
    <w:basedOn w:val="a0"/>
    <w:link w:val="a9"/>
    <w:uiPriority w:val="99"/>
    <w:semiHidden/>
    <w:rsid w:val="00D07591"/>
    <w:rPr>
      <w:rFonts w:ascii="Tahoma" w:hAnsi="Tahoma" w:cs="Tahoma"/>
      <w:sz w:val="16"/>
      <w:szCs w:val="16"/>
      <w:lang w:eastAsia="en-US"/>
    </w:rPr>
  </w:style>
  <w:style w:type="paragraph" w:customStyle="1" w:styleId="1">
    <w:name w:val="Βασικό1"/>
    <w:rsid w:val="00706679"/>
    <w:rPr>
      <w:rFonts w:ascii="Times New Roman" w:hAnsi="Times New Roman"/>
    </w:rPr>
  </w:style>
  <w:style w:type="paragraph" w:customStyle="1" w:styleId="Standard">
    <w:name w:val="Standard"/>
    <w:rsid w:val="00B32E59"/>
    <w:pPr>
      <w:widowControl w:val="0"/>
      <w:suppressAutoHyphens/>
    </w:pPr>
    <w:rPr>
      <w:rFonts w:ascii="Times New Roman" w:eastAsia="SimSun" w:hAnsi="Times New Roman" w:cs="Lucida Sans"/>
      <w:kern w:val="2"/>
      <w:sz w:val="24"/>
      <w:szCs w:val="2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0">
      <w:bodyDiv w:val="1"/>
      <w:marLeft w:val="0"/>
      <w:marRight w:val="0"/>
      <w:marTop w:val="0"/>
      <w:marBottom w:val="0"/>
      <w:divBdr>
        <w:top w:val="none" w:sz="0" w:space="0" w:color="auto"/>
        <w:left w:val="none" w:sz="0" w:space="0" w:color="auto"/>
        <w:bottom w:val="none" w:sz="0" w:space="0" w:color="auto"/>
        <w:right w:val="none" w:sz="0" w:space="0" w:color="auto"/>
      </w:divBdr>
      <w:divsChild>
        <w:div w:id="1839534079">
          <w:marLeft w:val="0"/>
          <w:marRight w:val="0"/>
          <w:marTop w:val="0"/>
          <w:marBottom w:val="0"/>
          <w:divBdr>
            <w:top w:val="none" w:sz="0" w:space="0" w:color="auto"/>
            <w:left w:val="none" w:sz="0" w:space="0" w:color="auto"/>
            <w:bottom w:val="none" w:sz="0" w:space="0" w:color="auto"/>
            <w:right w:val="none" w:sz="0" w:space="0" w:color="auto"/>
          </w:divBdr>
        </w:div>
        <w:div w:id="786974995">
          <w:marLeft w:val="0"/>
          <w:marRight w:val="0"/>
          <w:marTop w:val="0"/>
          <w:marBottom w:val="0"/>
          <w:divBdr>
            <w:top w:val="none" w:sz="0" w:space="0" w:color="auto"/>
            <w:left w:val="none" w:sz="0" w:space="0" w:color="auto"/>
            <w:bottom w:val="none" w:sz="0" w:space="0" w:color="auto"/>
            <w:right w:val="none" w:sz="0" w:space="0" w:color="auto"/>
          </w:divBdr>
        </w:div>
        <w:div w:id="738873">
          <w:marLeft w:val="0"/>
          <w:marRight w:val="0"/>
          <w:marTop w:val="0"/>
          <w:marBottom w:val="0"/>
          <w:divBdr>
            <w:top w:val="none" w:sz="0" w:space="0" w:color="auto"/>
            <w:left w:val="none" w:sz="0" w:space="0" w:color="auto"/>
            <w:bottom w:val="none" w:sz="0" w:space="0" w:color="auto"/>
            <w:right w:val="none" w:sz="0" w:space="0" w:color="auto"/>
          </w:divBdr>
        </w:div>
        <w:div w:id="459225058">
          <w:marLeft w:val="0"/>
          <w:marRight w:val="0"/>
          <w:marTop w:val="0"/>
          <w:marBottom w:val="0"/>
          <w:divBdr>
            <w:top w:val="none" w:sz="0" w:space="0" w:color="auto"/>
            <w:left w:val="none" w:sz="0" w:space="0" w:color="auto"/>
            <w:bottom w:val="none" w:sz="0" w:space="0" w:color="auto"/>
            <w:right w:val="none" w:sz="0" w:space="0" w:color="auto"/>
          </w:divBdr>
        </w:div>
        <w:div w:id="2059354443">
          <w:marLeft w:val="0"/>
          <w:marRight w:val="0"/>
          <w:marTop w:val="0"/>
          <w:marBottom w:val="0"/>
          <w:divBdr>
            <w:top w:val="none" w:sz="0" w:space="0" w:color="auto"/>
            <w:left w:val="none" w:sz="0" w:space="0" w:color="auto"/>
            <w:bottom w:val="none" w:sz="0" w:space="0" w:color="auto"/>
            <w:right w:val="none" w:sz="0" w:space="0" w:color="auto"/>
          </w:divBdr>
        </w:div>
        <w:div w:id="1970932776">
          <w:marLeft w:val="0"/>
          <w:marRight w:val="0"/>
          <w:marTop w:val="0"/>
          <w:marBottom w:val="0"/>
          <w:divBdr>
            <w:top w:val="none" w:sz="0" w:space="0" w:color="auto"/>
            <w:left w:val="none" w:sz="0" w:space="0" w:color="auto"/>
            <w:bottom w:val="none" w:sz="0" w:space="0" w:color="auto"/>
            <w:right w:val="none" w:sz="0" w:space="0" w:color="auto"/>
          </w:divBdr>
        </w:div>
        <w:div w:id="1604025694">
          <w:marLeft w:val="0"/>
          <w:marRight w:val="0"/>
          <w:marTop w:val="0"/>
          <w:marBottom w:val="0"/>
          <w:divBdr>
            <w:top w:val="none" w:sz="0" w:space="0" w:color="auto"/>
            <w:left w:val="none" w:sz="0" w:space="0" w:color="auto"/>
            <w:bottom w:val="none" w:sz="0" w:space="0" w:color="auto"/>
            <w:right w:val="none" w:sz="0" w:space="0" w:color="auto"/>
          </w:divBdr>
        </w:div>
        <w:div w:id="1017079135">
          <w:marLeft w:val="0"/>
          <w:marRight w:val="0"/>
          <w:marTop w:val="0"/>
          <w:marBottom w:val="0"/>
          <w:divBdr>
            <w:top w:val="none" w:sz="0" w:space="0" w:color="auto"/>
            <w:left w:val="none" w:sz="0" w:space="0" w:color="auto"/>
            <w:bottom w:val="none" w:sz="0" w:space="0" w:color="auto"/>
            <w:right w:val="none" w:sz="0" w:space="0" w:color="auto"/>
          </w:divBdr>
        </w:div>
        <w:div w:id="451021464">
          <w:marLeft w:val="0"/>
          <w:marRight w:val="0"/>
          <w:marTop w:val="0"/>
          <w:marBottom w:val="0"/>
          <w:divBdr>
            <w:top w:val="none" w:sz="0" w:space="0" w:color="auto"/>
            <w:left w:val="none" w:sz="0" w:space="0" w:color="auto"/>
            <w:bottom w:val="none" w:sz="0" w:space="0" w:color="auto"/>
            <w:right w:val="none" w:sz="0" w:space="0" w:color="auto"/>
          </w:divBdr>
        </w:div>
        <w:div w:id="1997220093">
          <w:marLeft w:val="0"/>
          <w:marRight w:val="0"/>
          <w:marTop w:val="0"/>
          <w:marBottom w:val="0"/>
          <w:divBdr>
            <w:top w:val="none" w:sz="0" w:space="0" w:color="auto"/>
            <w:left w:val="none" w:sz="0" w:space="0" w:color="auto"/>
            <w:bottom w:val="none" w:sz="0" w:space="0" w:color="auto"/>
            <w:right w:val="none" w:sz="0" w:space="0" w:color="auto"/>
          </w:divBdr>
        </w:div>
        <w:div w:id="176310150">
          <w:marLeft w:val="0"/>
          <w:marRight w:val="0"/>
          <w:marTop w:val="0"/>
          <w:marBottom w:val="0"/>
          <w:divBdr>
            <w:top w:val="none" w:sz="0" w:space="0" w:color="auto"/>
            <w:left w:val="none" w:sz="0" w:space="0" w:color="auto"/>
            <w:bottom w:val="none" w:sz="0" w:space="0" w:color="auto"/>
            <w:right w:val="none" w:sz="0" w:space="0" w:color="auto"/>
          </w:divBdr>
        </w:div>
        <w:div w:id="1802916785">
          <w:marLeft w:val="0"/>
          <w:marRight w:val="0"/>
          <w:marTop w:val="0"/>
          <w:marBottom w:val="0"/>
          <w:divBdr>
            <w:top w:val="none" w:sz="0" w:space="0" w:color="auto"/>
            <w:left w:val="none" w:sz="0" w:space="0" w:color="auto"/>
            <w:bottom w:val="none" w:sz="0" w:space="0" w:color="auto"/>
            <w:right w:val="none" w:sz="0" w:space="0" w:color="auto"/>
          </w:divBdr>
        </w:div>
        <w:div w:id="1280838126">
          <w:marLeft w:val="0"/>
          <w:marRight w:val="0"/>
          <w:marTop w:val="0"/>
          <w:marBottom w:val="0"/>
          <w:divBdr>
            <w:top w:val="none" w:sz="0" w:space="0" w:color="auto"/>
            <w:left w:val="none" w:sz="0" w:space="0" w:color="auto"/>
            <w:bottom w:val="none" w:sz="0" w:space="0" w:color="auto"/>
            <w:right w:val="none" w:sz="0" w:space="0" w:color="auto"/>
          </w:divBdr>
        </w:div>
        <w:div w:id="224611351">
          <w:marLeft w:val="0"/>
          <w:marRight w:val="0"/>
          <w:marTop w:val="0"/>
          <w:marBottom w:val="0"/>
          <w:divBdr>
            <w:top w:val="none" w:sz="0" w:space="0" w:color="auto"/>
            <w:left w:val="none" w:sz="0" w:space="0" w:color="auto"/>
            <w:bottom w:val="none" w:sz="0" w:space="0" w:color="auto"/>
            <w:right w:val="none" w:sz="0" w:space="0" w:color="auto"/>
          </w:divBdr>
        </w:div>
        <w:div w:id="1014652976">
          <w:marLeft w:val="0"/>
          <w:marRight w:val="0"/>
          <w:marTop w:val="0"/>
          <w:marBottom w:val="0"/>
          <w:divBdr>
            <w:top w:val="none" w:sz="0" w:space="0" w:color="auto"/>
            <w:left w:val="none" w:sz="0" w:space="0" w:color="auto"/>
            <w:bottom w:val="none" w:sz="0" w:space="0" w:color="auto"/>
            <w:right w:val="none" w:sz="0" w:space="0" w:color="auto"/>
          </w:divBdr>
        </w:div>
        <w:div w:id="1137259674">
          <w:marLeft w:val="0"/>
          <w:marRight w:val="0"/>
          <w:marTop w:val="0"/>
          <w:marBottom w:val="0"/>
          <w:divBdr>
            <w:top w:val="none" w:sz="0" w:space="0" w:color="auto"/>
            <w:left w:val="none" w:sz="0" w:space="0" w:color="auto"/>
            <w:bottom w:val="none" w:sz="0" w:space="0" w:color="auto"/>
            <w:right w:val="none" w:sz="0" w:space="0" w:color="auto"/>
          </w:divBdr>
        </w:div>
        <w:div w:id="2098137438">
          <w:marLeft w:val="0"/>
          <w:marRight w:val="0"/>
          <w:marTop w:val="0"/>
          <w:marBottom w:val="0"/>
          <w:divBdr>
            <w:top w:val="none" w:sz="0" w:space="0" w:color="auto"/>
            <w:left w:val="none" w:sz="0" w:space="0" w:color="auto"/>
            <w:bottom w:val="none" w:sz="0" w:space="0" w:color="auto"/>
            <w:right w:val="none" w:sz="0" w:space="0" w:color="auto"/>
          </w:divBdr>
        </w:div>
      </w:divsChild>
    </w:div>
    <w:div w:id="721556542">
      <w:bodyDiv w:val="1"/>
      <w:marLeft w:val="0"/>
      <w:marRight w:val="0"/>
      <w:marTop w:val="0"/>
      <w:marBottom w:val="0"/>
      <w:divBdr>
        <w:top w:val="none" w:sz="0" w:space="0" w:color="auto"/>
        <w:left w:val="none" w:sz="0" w:space="0" w:color="auto"/>
        <w:bottom w:val="none" w:sz="0" w:space="0" w:color="auto"/>
        <w:right w:val="none" w:sz="0" w:space="0" w:color="auto"/>
      </w:divBdr>
    </w:div>
    <w:div w:id="808983494">
      <w:bodyDiv w:val="1"/>
      <w:marLeft w:val="0"/>
      <w:marRight w:val="0"/>
      <w:marTop w:val="0"/>
      <w:marBottom w:val="0"/>
      <w:divBdr>
        <w:top w:val="none" w:sz="0" w:space="0" w:color="auto"/>
        <w:left w:val="none" w:sz="0" w:space="0" w:color="auto"/>
        <w:bottom w:val="none" w:sz="0" w:space="0" w:color="auto"/>
        <w:right w:val="none" w:sz="0" w:space="0" w:color="auto"/>
      </w:divBdr>
      <w:divsChild>
        <w:div w:id="14504707">
          <w:marLeft w:val="0"/>
          <w:marRight w:val="0"/>
          <w:marTop w:val="0"/>
          <w:marBottom w:val="0"/>
          <w:divBdr>
            <w:top w:val="none" w:sz="0" w:space="0" w:color="auto"/>
            <w:left w:val="none" w:sz="0" w:space="0" w:color="auto"/>
            <w:bottom w:val="none" w:sz="0" w:space="0" w:color="auto"/>
            <w:right w:val="none" w:sz="0" w:space="0" w:color="auto"/>
          </w:divBdr>
        </w:div>
        <w:div w:id="84960639">
          <w:marLeft w:val="0"/>
          <w:marRight w:val="0"/>
          <w:marTop w:val="0"/>
          <w:marBottom w:val="0"/>
          <w:divBdr>
            <w:top w:val="none" w:sz="0" w:space="0" w:color="auto"/>
            <w:left w:val="none" w:sz="0" w:space="0" w:color="auto"/>
            <w:bottom w:val="none" w:sz="0" w:space="0" w:color="auto"/>
            <w:right w:val="none" w:sz="0" w:space="0" w:color="auto"/>
          </w:divBdr>
        </w:div>
        <w:div w:id="220554918">
          <w:marLeft w:val="0"/>
          <w:marRight w:val="0"/>
          <w:marTop w:val="0"/>
          <w:marBottom w:val="0"/>
          <w:divBdr>
            <w:top w:val="none" w:sz="0" w:space="0" w:color="auto"/>
            <w:left w:val="none" w:sz="0" w:space="0" w:color="auto"/>
            <w:bottom w:val="none" w:sz="0" w:space="0" w:color="auto"/>
            <w:right w:val="none" w:sz="0" w:space="0" w:color="auto"/>
          </w:divBdr>
        </w:div>
        <w:div w:id="379285376">
          <w:marLeft w:val="0"/>
          <w:marRight w:val="0"/>
          <w:marTop w:val="0"/>
          <w:marBottom w:val="0"/>
          <w:divBdr>
            <w:top w:val="none" w:sz="0" w:space="0" w:color="auto"/>
            <w:left w:val="none" w:sz="0" w:space="0" w:color="auto"/>
            <w:bottom w:val="none" w:sz="0" w:space="0" w:color="auto"/>
            <w:right w:val="none" w:sz="0" w:space="0" w:color="auto"/>
          </w:divBdr>
        </w:div>
        <w:div w:id="401952363">
          <w:marLeft w:val="0"/>
          <w:marRight w:val="0"/>
          <w:marTop w:val="0"/>
          <w:marBottom w:val="0"/>
          <w:divBdr>
            <w:top w:val="none" w:sz="0" w:space="0" w:color="auto"/>
            <w:left w:val="none" w:sz="0" w:space="0" w:color="auto"/>
            <w:bottom w:val="none" w:sz="0" w:space="0" w:color="auto"/>
            <w:right w:val="none" w:sz="0" w:space="0" w:color="auto"/>
          </w:divBdr>
        </w:div>
        <w:div w:id="406615739">
          <w:marLeft w:val="0"/>
          <w:marRight w:val="0"/>
          <w:marTop w:val="0"/>
          <w:marBottom w:val="0"/>
          <w:divBdr>
            <w:top w:val="none" w:sz="0" w:space="0" w:color="auto"/>
            <w:left w:val="none" w:sz="0" w:space="0" w:color="auto"/>
            <w:bottom w:val="none" w:sz="0" w:space="0" w:color="auto"/>
            <w:right w:val="none" w:sz="0" w:space="0" w:color="auto"/>
          </w:divBdr>
        </w:div>
        <w:div w:id="540215374">
          <w:marLeft w:val="0"/>
          <w:marRight w:val="0"/>
          <w:marTop w:val="0"/>
          <w:marBottom w:val="0"/>
          <w:divBdr>
            <w:top w:val="none" w:sz="0" w:space="0" w:color="auto"/>
            <w:left w:val="none" w:sz="0" w:space="0" w:color="auto"/>
            <w:bottom w:val="none" w:sz="0" w:space="0" w:color="auto"/>
            <w:right w:val="none" w:sz="0" w:space="0" w:color="auto"/>
          </w:divBdr>
        </w:div>
        <w:div w:id="602881568">
          <w:marLeft w:val="0"/>
          <w:marRight w:val="0"/>
          <w:marTop w:val="0"/>
          <w:marBottom w:val="0"/>
          <w:divBdr>
            <w:top w:val="none" w:sz="0" w:space="0" w:color="auto"/>
            <w:left w:val="none" w:sz="0" w:space="0" w:color="auto"/>
            <w:bottom w:val="none" w:sz="0" w:space="0" w:color="auto"/>
            <w:right w:val="none" w:sz="0" w:space="0" w:color="auto"/>
          </w:divBdr>
        </w:div>
        <w:div w:id="648247731">
          <w:marLeft w:val="0"/>
          <w:marRight w:val="0"/>
          <w:marTop w:val="0"/>
          <w:marBottom w:val="0"/>
          <w:divBdr>
            <w:top w:val="none" w:sz="0" w:space="0" w:color="auto"/>
            <w:left w:val="none" w:sz="0" w:space="0" w:color="auto"/>
            <w:bottom w:val="none" w:sz="0" w:space="0" w:color="auto"/>
            <w:right w:val="none" w:sz="0" w:space="0" w:color="auto"/>
          </w:divBdr>
        </w:div>
        <w:div w:id="861742013">
          <w:marLeft w:val="0"/>
          <w:marRight w:val="0"/>
          <w:marTop w:val="0"/>
          <w:marBottom w:val="0"/>
          <w:divBdr>
            <w:top w:val="none" w:sz="0" w:space="0" w:color="auto"/>
            <w:left w:val="none" w:sz="0" w:space="0" w:color="auto"/>
            <w:bottom w:val="none" w:sz="0" w:space="0" w:color="auto"/>
            <w:right w:val="none" w:sz="0" w:space="0" w:color="auto"/>
          </w:divBdr>
        </w:div>
        <w:div w:id="1060979078">
          <w:marLeft w:val="0"/>
          <w:marRight w:val="0"/>
          <w:marTop w:val="0"/>
          <w:marBottom w:val="0"/>
          <w:divBdr>
            <w:top w:val="none" w:sz="0" w:space="0" w:color="auto"/>
            <w:left w:val="none" w:sz="0" w:space="0" w:color="auto"/>
            <w:bottom w:val="none" w:sz="0" w:space="0" w:color="auto"/>
            <w:right w:val="none" w:sz="0" w:space="0" w:color="auto"/>
          </w:divBdr>
        </w:div>
        <w:div w:id="1097677288">
          <w:marLeft w:val="0"/>
          <w:marRight w:val="0"/>
          <w:marTop w:val="0"/>
          <w:marBottom w:val="0"/>
          <w:divBdr>
            <w:top w:val="none" w:sz="0" w:space="0" w:color="auto"/>
            <w:left w:val="none" w:sz="0" w:space="0" w:color="auto"/>
            <w:bottom w:val="none" w:sz="0" w:space="0" w:color="auto"/>
            <w:right w:val="none" w:sz="0" w:space="0" w:color="auto"/>
          </w:divBdr>
        </w:div>
        <w:div w:id="1256089545">
          <w:marLeft w:val="0"/>
          <w:marRight w:val="0"/>
          <w:marTop w:val="0"/>
          <w:marBottom w:val="0"/>
          <w:divBdr>
            <w:top w:val="none" w:sz="0" w:space="0" w:color="auto"/>
            <w:left w:val="none" w:sz="0" w:space="0" w:color="auto"/>
            <w:bottom w:val="none" w:sz="0" w:space="0" w:color="auto"/>
            <w:right w:val="none" w:sz="0" w:space="0" w:color="auto"/>
          </w:divBdr>
        </w:div>
        <w:div w:id="1464616100">
          <w:marLeft w:val="0"/>
          <w:marRight w:val="0"/>
          <w:marTop w:val="0"/>
          <w:marBottom w:val="0"/>
          <w:divBdr>
            <w:top w:val="none" w:sz="0" w:space="0" w:color="auto"/>
            <w:left w:val="none" w:sz="0" w:space="0" w:color="auto"/>
            <w:bottom w:val="none" w:sz="0" w:space="0" w:color="auto"/>
            <w:right w:val="none" w:sz="0" w:space="0" w:color="auto"/>
          </w:divBdr>
        </w:div>
        <w:div w:id="1480994260">
          <w:marLeft w:val="0"/>
          <w:marRight w:val="0"/>
          <w:marTop w:val="0"/>
          <w:marBottom w:val="0"/>
          <w:divBdr>
            <w:top w:val="none" w:sz="0" w:space="0" w:color="auto"/>
            <w:left w:val="none" w:sz="0" w:space="0" w:color="auto"/>
            <w:bottom w:val="none" w:sz="0" w:space="0" w:color="auto"/>
            <w:right w:val="none" w:sz="0" w:space="0" w:color="auto"/>
          </w:divBdr>
        </w:div>
        <w:div w:id="1597976838">
          <w:marLeft w:val="0"/>
          <w:marRight w:val="0"/>
          <w:marTop w:val="0"/>
          <w:marBottom w:val="0"/>
          <w:divBdr>
            <w:top w:val="none" w:sz="0" w:space="0" w:color="auto"/>
            <w:left w:val="none" w:sz="0" w:space="0" w:color="auto"/>
            <w:bottom w:val="none" w:sz="0" w:space="0" w:color="auto"/>
            <w:right w:val="none" w:sz="0" w:space="0" w:color="auto"/>
          </w:divBdr>
        </w:div>
        <w:div w:id="1912546244">
          <w:marLeft w:val="0"/>
          <w:marRight w:val="0"/>
          <w:marTop w:val="0"/>
          <w:marBottom w:val="0"/>
          <w:divBdr>
            <w:top w:val="none" w:sz="0" w:space="0" w:color="auto"/>
            <w:left w:val="none" w:sz="0" w:space="0" w:color="auto"/>
            <w:bottom w:val="none" w:sz="0" w:space="0" w:color="auto"/>
            <w:right w:val="none" w:sz="0" w:space="0" w:color="auto"/>
          </w:divBdr>
        </w:div>
        <w:div w:id="1997831230">
          <w:marLeft w:val="0"/>
          <w:marRight w:val="0"/>
          <w:marTop w:val="0"/>
          <w:marBottom w:val="0"/>
          <w:divBdr>
            <w:top w:val="none" w:sz="0" w:space="0" w:color="auto"/>
            <w:left w:val="none" w:sz="0" w:space="0" w:color="auto"/>
            <w:bottom w:val="none" w:sz="0" w:space="0" w:color="auto"/>
            <w:right w:val="none" w:sz="0" w:space="0" w:color="auto"/>
          </w:divBdr>
        </w:div>
        <w:div w:id="2031056302">
          <w:marLeft w:val="0"/>
          <w:marRight w:val="0"/>
          <w:marTop w:val="0"/>
          <w:marBottom w:val="0"/>
          <w:divBdr>
            <w:top w:val="none" w:sz="0" w:space="0" w:color="auto"/>
            <w:left w:val="none" w:sz="0" w:space="0" w:color="auto"/>
            <w:bottom w:val="none" w:sz="0" w:space="0" w:color="auto"/>
            <w:right w:val="none" w:sz="0" w:space="0" w:color="auto"/>
          </w:divBdr>
        </w:div>
        <w:div w:id="2068603855">
          <w:marLeft w:val="0"/>
          <w:marRight w:val="0"/>
          <w:marTop w:val="0"/>
          <w:marBottom w:val="0"/>
          <w:divBdr>
            <w:top w:val="none" w:sz="0" w:space="0" w:color="auto"/>
            <w:left w:val="none" w:sz="0" w:space="0" w:color="auto"/>
            <w:bottom w:val="none" w:sz="0" w:space="0" w:color="auto"/>
            <w:right w:val="none" w:sz="0" w:space="0" w:color="auto"/>
          </w:divBdr>
        </w:div>
      </w:divsChild>
    </w:div>
    <w:div w:id="2122993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1562</Words>
  <Characters>8436</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macuser</dc:creator>
  <cp:lastModifiedBy>Argiro Kokori</cp:lastModifiedBy>
  <cp:revision>3</cp:revision>
  <cp:lastPrinted>2021-11-22T09:35:00Z</cp:lastPrinted>
  <dcterms:created xsi:type="dcterms:W3CDTF">2023-07-12T05:21:00Z</dcterms:created>
  <dcterms:modified xsi:type="dcterms:W3CDTF">2023-07-12T05:24:00Z</dcterms:modified>
</cp:coreProperties>
</file>